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158750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3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195580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August 31, 2014</w:t>
      </w:r>
    </w:p>
    <w:p>
      <w:pPr>
        <w:spacing w:after="0" w:line="149"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6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1-33376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180340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83"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SARATOGA INVESTMENT CORP.</w:t>
      </w:r>
    </w:p>
    <w:p>
      <w:pPr>
        <w:spacing w:after="0" w:line="5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167640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28" w:lineRule="exact"/>
        <w:rPr>
          <w:sz w:val="24"/>
          <w:szCs w:val="24"/>
          <w:color w:val="auto"/>
        </w:rPr>
      </w:pPr>
    </w:p>
    <w:tbl>
      <w:tblPr>
        <w:tblLayout w:type="fixed"/>
        <w:tblInd w:w="1720" w:type="dxa"/>
        <w:tblCellMar>
          <w:top w:w="0" w:type="dxa"/>
          <w:left w:w="0" w:type="dxa"/>
          <w:bottom w:w="0" w:type="dxa"/>
          <w:right w:w="0" w:type="dxa"/>
        </w:tblCellMar>
      </w:tblPr>
      <w:tr>
        <w:trPr>
          <w:trHeight w:val="212"/>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8"/>
              </w:rPr>
              <w:t>Maryland</w:t>
            </w:r>
          </w:p>
        </w:tc>
        <w:tc>
          <w:tcPr>
            <w:tcW w:w="5140" w:type="dxa"/>
            <w:vAlign w:val="bottom"/>
          </w:tcPr>
          <w:p>
            <w:pPr>
              <w:jc w:val="right"/>
              <w:ind w:right="59"/>
              <w:spacing w:after="0"/>
              <w:rPr>
                <w:sz w:val="20"/>
                <w:szCs w:val="20"/>
                <w:color w:val="auto"/>
              </w:rPr>
            </w:pPr>
            <w:r>
              <w:rPr>
                <w:rFonts w:ascii="Arial" w:cs="Arial" w:eastAsia="Arial" w:hAnsi="Arial"/>
                <w:sz w:val="18"/>
                <w:szCs w:val="18"/>
                <w:b w:val="1"/>
                <w:bCs w:val="1"/>
                <w:color w:val="auto"/>
              </w:rPr>
              <w:t>20-8700615</w:t>
            </w:r>
          </w:p>
        </w:tc>
      </w:tr>
      <w:tr>
        <w:trPr>
          <w:trHeight w:val="149"/>
        </w:trPr>
        <w:tc>
          <w:tcPr>
            <w:tcW w:w="23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5140" w:type="dxa"/>
            <w:vAlign w:val="bottom"/>
          </w:tcPr>
          <w:p>
            <w:pPr>
              <w:jc w:val="center"/>
              <w:ind w:left="3939"/>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4"/>
              </w:rPr>
              <w:t>incorporation or organization)</w:t>
            </w:r>
          </w:p>
        </w:tc>
        <w:tc>
          <w:tcPr>
            <w:tcW w:w="5140" w:type="dxa"/>
            <w:vAlign w:val="bottom"/>
          </w:tcPr>
          <w:p>
            <w:pPr>
              <w:jc w:val="center"/>
              <w:ind w:left="3919"/>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88"/>
              </w:rPr>
              <w:t>535 Madison Avenue</w:t>
            </w:r>
          </w:p>
        </w:tc>
        <w:tc>
          <w:tcPr>
            <w:tcW w:w="5140" w:type="dxa"/>
            <w:vAlign w:val="bottom"/>
          </w:tcPr>
          <w:p>
            <w:pPr>
              <w:spacing w:after="0"/>
              <w:rPr>
                <w:sz w:val="24"/>
                <w:szCs w:val="24"/>
                <w:color w:val="auto"/>
              </w:rPr>
            </w:pPr>
          </w:p>
        </w:tc>
      </w:tr>
      <w:tr>
        <w:trPr>
          <w:trHeight w:val="225"/>
        </w:trPr>
        <w:tc>
          <w:tcPr>
            <w:tcW w:w="2360" w:type="dxa"/>
            <w:vAlign w:val="bottom"/>
          </w:tcPr>
          <w:p>
            <w:pPr>
              <w:jc w:val="center"/>
              <w:spacing w:after="0"/>
              <w:rPr>
                <w:sz w:val="20"/>
                <w:szCs w:val="20"/>
                <w:color w:val="auto"/>
              </w:rPr>
            </w:pPr>
            <w:r>
              <w:rPr>
                <w:rFonts w:ascii="Arial" w:cs="Arial" w:eastAsia="Arial" w:hAnsi="Arial"/>
                <w:sz w:val="18"/>
                <w:szCs w:val="18"/>
                <w:b w:val="1"/>
                <w:bCs w:val="1"/>
                <w:color w:val="auto"/>
                <w:w w:val="93"/>
              </w:rPr>
              <w:t>New York, New York</w:t>
            </w:r>
          </w:p>
        </w:tc>
        <w:tc>
          <w:tcPr>
            <w:tcW w:w="5140" w:type="dxa"/>
            <w:vAlign w:val="bottom"/>
          </w:tcPr>
          <w:p>
            <w:pPr>
              <w:jc w:val="right"/>
              <w:ind w:right="259"/>
              <w:spacing w:after="0"/>
              <w:rPr>
                <w:sz w:val="20"/>
                <w:szCs w:val="20"/>
                <w:color w:val="auto"/>
              </w:rPr>
            </w:pPr>
            <w:r>
              <w:rPr>
                <w:rFonts w:ascii="Arial" w:cs="Arial" w:eastAsia="Arial" w:hAnsi="Arial"/>
                <w:sz w:val="18"/>
                <w:szCs w:val="18"/>
                <w:b w:val="1"/>
                <w:bCs w:val="1"/>
                <w:color w:val="auto"/>
              </w:rPr>
              <w:t>10022</w:t>
            </w:r>
          </w:p>
        </w:tc>
      </w:tr>
      <w:tr>
        <w:trPr>
          <w:trHeight w:val="186"/>
        </w:trPr>
        <w:tc>
          <w:tcPr>
            <w:tcW w:w="236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w:t>
            </w:r>
          </w:p>
        </w:tc>
        <w:tc>
          <w:tcPr>
            <w:tcW w:w="5140" w:type="dxa"/>
            <w:vAlign w:val="bottom"/>
          </w:tcPr>
          <w:p>
            <w:pPr>
              <w:jc w:val="center"/>
              <w:ind w:left="3919"/>
              <w:spacing w:after="0"/>
              <w:rPr>
                <w:sz w:val="20"/>
                <w:szCs w:val="20"/>
                <w:color w:val="auto"/>
              </w:rPr>
            </w:pPr>
            <w:r>
              <w:rPr>
                <w:rFonts w:ascii="Arial" w:cs="Arial" w:eastAsia="Arial" w:hAnsi="Arial"/>
                <w:sz w:val="14"/>
                <w:szCs w:val="14"/>
                <w:b w:val="1"/>
                <w:bCs w:val="1"/>
                <w:color w:val="auto"/>
                <w:w w:val="95"/>
              </w:rPr>
              <w:t>(Zip Code)</w:t>
            </w:r>
          </w:p>
        </w:tc>
      </w:tr>
      <w:tr>
        <w:trPr>
          <w:trHeight w:val="313"/>
        </w:trPr>
        <w:tc>
          <w:tcPr>
            <w:tcW w:w="2360" w:type="dxa"/>
            <w:vAlign w:val="bottom"/>
          </w:tcPr>
          <w:p>
            <w:pPr>
              <w:spacing w:after="0"/>
              <w:rPr>
                <w:sz w:val="24"/>
                <w:szCs w:val="24"/>
                <w:color w:val="auto"/>
              </w:rPr>
            </w:pPr>
          </w:p>
        </w:tc>
        <w:tc>
          <w:tcPr>
            <w:tcW w:w="5140" w:type="dxa"/>
            <w:vAlign w:val="bottom"/>
          </w:tcPr>
          <w:p>
            <w:pPr>
              <w:jc w:val="center"/>
              <w:ind w:right="1779"/>
              <w:spacing w:after="0"/>
              <w:rPr>
                <w:sz w:val="20"/>
                <w:szCs w:val="20"/>
                <w:color w:val="auto"/>
              </w:rPr>
            </w:pPr>
            <w:r>
              <w:rPr>
                <w:rFonts w:ascii="Arial" w:cs="Arial" w:eastAsia="Arial" w:hAnsi="Arial"/>
                <w:sz w:val="18"/>
                <w:szCs w:val="18"/>
                <w:b w:val="1"/>
                <w:bCs w:val="1"/>
                <w:color w:val="auto"/>
                <w:w w:val="90"/>
              </w:rPr>
              <w:t>(212) 906-7800</w:t>
            </w:r>
          </w:p>
        </w:tc>
      </w:tr>
      <w:tr>
        <w:trPr>
          <w:trHeight w:val="186"/>
        </w:trPr>
        <w:tc>
          <w:tcPr>
            <w:tcW w:w="2360" w:type="dxa"/>
            <w:vAlign w:val="bottom"/>
          </w:tcPr>
          <w:p>
            <w:pPr>
              <w:spacing w:after="0"/>
              <w:rPr>
                <w:sz w:val="16"/>
                <w:szCs w:val="16"/>
                <w:color w:val="auto"/>
              </w:rPr>
            </w:pPr>
          </w:p>
        </w:tc>
        <w:tc>
          <w:tcPr>
            <w:tcW w:w="51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1"/>
              </w:rPr>
              <w:t>(Registrant’s telephone number, including area code)</w:t>
            </w:r>
          </w:p>
        </w:tc>
      </w:tr>
      <w:tr>
        <w:trPr>
          <w:trHeight w:val="327"/>
        </w:trPr>
        <w:tc>
          <w:tcPr>
            <w:tcW w:w="2360" w:type="dxa"/>
            <w:vAlign w:val="bottom"/>
          </w:tcPr>
          <w:p>
            <w:pPr>
              <w:spacing w:after="0"/>
              <w:rPr>
                <w:sz w:val="24"/>
                <w:szCs w:val="24"/>
                <w:color w:val="auto"/>
              </w:rPr>
            </w:pPr>
          </w:p>
        </w:tc>
        <w:tc>
          <w:tcPr>
            <w:tcW w:w="5140" w:type="dxa"/>
            <w:vAlign w:val="bottom"/>
          </w:tcPr>
          <w:p>
            <w:pPr>
              <w:jc w:val="center"/>
              <w:ind w:right="1779"/>
              <w:spacing w:after="0"/>
              <w:rPr>
                <w:sz w:val="20"/>
                <w:szCs w:val="20"/>
                <w:color w:val="auto"/>
              </w:rPr>
            </w:pPr>
            <w:r>
              <w:rPr>
                <w:rFonts w:ascii="Arial" w:cs="Arial" w:eastAsia="Arial" w:hAnsi="Arial"/>
                <w:sz w:val="18"/>
                <w:szCs w:val="18"/>
                <w:b w:val="1"/>
                <w:bCs w:val="1"/>
                <w:color w:val="auto"/>
                <w:w w:val="90"/>
              </w:rPr>
              <w:t>Not applicable</w:t>
            </w:r>
          </w:p>
        </w:tc>
      </w:tr>
      <w:tr>
        <w:trPr>
          <w:trHeight w:val="186"/>
        </w:trPr>
        <w:tc>
          <w:tcPr>
            <w:tcW w:w="7500" w:type="dxa"/>
            <w:vAlign w:val="bottom"/>
            <w:gridSpan w:val="2"/>
          </w:tcPr>
          <w:p>
            <w:pPr>
              <w:jc w:val="center"/>
              <w:ind w:left="400"/>
              <w:spacing w:after="0"/>
              <w:rPr>
                <w:sz w:val="20"/>
                <w:szCs w:val="20"/>
                <w:color w:val="auto"/>
              </w:rPr>
            </w:pPr>
            <w:r>
              <w:rPr>
                <w:rFonts w:ascii="Arial" w:cs="Arial" w:eastAsia="Arial" w:hAnsi="Arial"/>
                <w:sz w:val="14"/>
                <w:szCs w:val="14"/>
                <w:b w:val="1"/>
                <w:bCs w:val="1"/>
                <w:color w:val="auto"/>
                <w:w w:val="93"/>
              </w:rPr>
              <w:t>(Former Name, Former Address and Former Fiscal Year, if Changed Since Last Report)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153670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69" w:lineRule="exact"/>
        <w:rPr>
          <w:sz w:val="24"/>
          <w:szCs w:val="24"/>
          <w:color w:val="auto"/>
        </w:rPr>
      </w:pPr>
    </w:p>
    <w:p>
      <w:pPr>
        <w:ind w:right="2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16" w:lineRule="exact"/>
        <w:rPr>
          <w:sz w:val="24"/>
          <w:szCs w:val="24"/>
          <w:color w:val="auto"/>
        </w:rPr>
      </w:pPr>
    </w:p>
    <w:p>
      <w:pPr>
        <w:ind w:right="40" w:firstLine="45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3"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55"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00" w:space="340"/>
            <w:col w:w="6000" w:space="720"/>
            <w:col w:w="17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4" w:lineRule="exact"/>
        <w:rPr>
          <w:sz w:val="24"/>
          <w:szCs w:val="24"/>
          <w:color w:val="auto"/>
        </w:rPr>
      </w:pPr>
    </w:p>
    <w:p>
      <w:pPr>
        <w:sectPr>
          <w:pgSz w:w="11900" w:h="16838" w:orient="portrait"/>
          <w:cols w:equalWidth="0" w:num="4">
            <w:col w:w="1620" w:space="420"/>
            <w:col w:w="6000" w:space="720"/>
            <w:col w:w="2060" w:space="440"/>
            <w:col w:w="160"/>
          </w:cols>
          <w:pgMar w:left="240" w:top="230" w:right="239" w:bottom="1440" w:gutter="0" w:footer="0" w:header="0"/>
          <w:type w:val="continuous"/>
        </w:sectPr>
      </w:pPr>
    </w:p>
    <w:p>
      <w:pPr>
        <w:spacing w:after="0" w:line="33" w:lineRule="exact"/>
        <w:rPr>
          <w:sz w:val="24"/>
          <w:szCs w:val="24"/>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37" w:lineRule="exact"/>
        <w:rPr>
          <w:sz w:val="24"/>
          <w:szCs w:val="24"/>
          <w:color w:val="auto"/>
        </w:rPr>
      </w:pPr>
    </w:p>
    <w:p>
      <w:pPr>
        <w:sectPr>
          <w:pgSz w:w="11900" w:h="16838" w:orient="portrait"/>
          <w:cols w:equalWidth="0" w:num="5">
            <w:col w:w="8640" w:space="160"/>
            <w:col w:w="260" w:space="100"/>
            <w:col w:w="160" w:space="180"/>
            <w:col w:w="220" w:space="140"/>
            <w:col w:w="1560"/>
          </w:cols>
          <w:pgMar w:left="240" w:top="230" w:right="23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The number of shares of the registrant’s common stock, $0.001 par value, outstanding as of October 14, 2014 was 5,379,616.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218440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248920</wp:posOffset>
            </wp:positionV>
            <wp:extent cx="15176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PART I</w:t>
            </w:r>
          </w:p>
        </w:tc>
        <w:tc>
          <w:tcPr>
            <w:tcW w:w="9900" w:type="dxa"/>
            <w:vAlign w:val="bottom"/>
            <w:gridSpan w:val="20"/>
            <w:vMerge w:val="restart"/>
          </w:tcPr>
          <w:p>
            <w:pPr>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FINANCIAL INFORMATION</w:t>
              </w:r>
            </w:hyperlink>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56"/>
        </w:trPr>
        <w:tc>
          <w:tcPr>
            <w:tcW w:w="1120" w:type="dxa"/>
            <w:vAlign w:val="bottom"/>
            <w:gridSpan w:val="2"/>
            <w:vMerge w:val="continue"/>
          </w:tcPr>
          <w:p>
            <w:pPr>
              <w:spacing w:after="0"/>
              <w:rPr>
                <w:sz w:val="13"/>
                <w:szCs w:val="13"/>
                <w:color w:val="auto"/>
              </w:rPr>
            </w:pPr>
          </w:p>
        </w:tc>
        <w:tc>
          <w:tcPr>
            <w:tcW w:w="9900" w:type="dxa"/>
            <w:vAlign w:val="bottom"/>
            <w:gridSpan w:val="20"/>
            <w:vMerge w:val="continue"/>
          </w:tcPr>
          <w:p>
            <w:pPr>
              <w:spacing w:after="0"/>
              <w:rPr>
                <w:sz w:val="13"/>
                <w:szCs w:val="13"/>
                <w:color w:val="auto"/>
              </w:rPr>
            </w:pPr>
          </w:p>
        </w:tc>
        <w:tc>
          <w:tcPr>
            <w:tcW w:w="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2380" w:type="dxa"/>
            <w:vAlign w:val="bottom"/>
            <w:tcBorders>
              <w:top w:val="single" w:sz="8" w:color="0000EE"/>
            </w:tcBorders>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p>
        </w:tc>
        <w:tc>
          <w:tcPr>
            <w:tcW w:w="7520" w:type="dxa"/>
            <w:vAlign w:val="bottom"/>
            <w:gridSpan w:val="10"/>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Statements of Assets and Liabilities as of August 31, 2014 (unaudited) and February 28, 2014</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Consolidated Statements of Operations for the three and six months ended August 31, 2014 and August 31, 2013 (unaudited)</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0" w:type="dxa"/>
            <w:vAlign w:val="bottom"/>
            <w:tcBorders>
              <w:top w:val="single" w:sz="8" w:color="0000EE"/>
            </w:tcBorders>
            <w:gridSpan w:val="18"/>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Schedules of Investments as of August 31, 2014 (unaudited) and February 28, 2014</w:t>
              </w:r>
            </w:hyperlink>
          </w:p>
        </w:tc>
        <w:tc>
          <w:tcPr>
            <w:tcW w:w="900" w:type="dxa"/>
            <w:vAlign w:val="bottom"/>
            <w:gridSpan w:val="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900" w:type="dxa"/>
            <w:vAlign w:val="bottom"/>
            <w:gridSpan w:val="20"/>
          </w:tcPr>
          <w:p>
            <w:pPr>
              <w:spacing w:after="0"/>
              <w:rPr>
                <w:rFonts w:ascii="Arial" w:cs="Arial" w:eastAsia="Arial" w:hAnsi="Arial"/>
                <w:sz w:val="18"/>
                <w:szCs w:val="18"/>
                <w:color w:val="0000EE"/>
                <w:w w:val="97"/>
              </w:rPr>
            </w:pPr>
            <w:hyperlink w:anchor="page13">
              <w:r>
                <w:rPr>
                  <w:rFonts w:ascii="Arial" w:cs="Arial" w:eastAsia="Arial" w:hAnsi="Arial"/>
                  <w:sz w:val="18"/>
                  <w:szCs w:val="18"/>
                  <w:color w:val="0000EE"/>
                  <w:w w:val="97"/>
                </w:rPr>
                <w:t>Consolidated Statements of Changes in Net Assets for the six months ended August 31, 2014 and August 31, 2013 (unaudited)</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120" w:type="dxa"/>
            <w:vAlign w:val="bottom"/>
            <w:tcBorders>
              <w:top w:val="single" w:sz="8" w:color="0000EE"/>
            </w:tcBorders>
            <w:gridSpan w:val="19"/>
          </w:tcPr>
          <w:p>
            <w:pPr>
              <w:spacing w:after="0"/>
              <w:rPr>
                <w:rFonts w:ascii="Arial" w:cs="Arial" w:eastAsia="Arial" w:hAnsi="Arial"/>
                <w:sz w:val="18"/>
                <w:szCs w:val="18"/>
                <w:color w:val="0000EE"/>
                <w:w w:val="98"/>
              </w:rPr>
            </w:pPr>
            <w:hyperlink w:anchor="page14">
              <w:r>
                <w:rPr>
                  <w:rFonts w:ascii="Arial" w:cs="Arial" w:eastAsia="Arial" w:hAnsi="Arial"/>
                  <w:sz w:val="18"/>
                  <w:szCs w:val="18"/>
                  <w:color w:val="0000EE"/>
                  <w:w w:val="98"/>
                </w:rPr>
                <w:t>Consolidated Statements of Cash Flows for the six months ended August 31, 2014 and August 31, 2013 (unaudited)</w:t>
              </w:r>
            </w:hyperlink>
          </w:p>
        </w:tc>
        <w:tc>
          <w:tcPr>
            <w:tcW w:w="7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304"/>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340" w:type="dxa"/>
            <w:vAlign w:val="bottom"/>
            <w:tcBorders>
              <w:top w:val="single" w:sz="8" w:color="0000EE"/>
            </w:tcBorders>
            <w:gridSpan w:val="17"/>
          </w:tcPr>
          <w:p>
            <w:pPr>
              <w:spacing w:after="0"/>
              <w:rPr>
                <w:rFonts w:ascii="Arial" w:cs="Arial" w:eastAsia="Arial" w:hAnsi="Arial"/>
                <w:sz w:val="18"/>
                <w:szCs w:val="18"/>
                <w:color w:val="0000EE"/>
              </w:rPr>
            </w:pPr>
            <w:hyperlink w:anchor="page15">
              <w:r>
                <w:rPr>
                  <w:rFonts w:ascii="Arial" w:cs="Arial" w:eastAsia="Arial" w:hAnsi="Arial"/>
                  <w:sz w:val="18"/>
                  <w:szCs w:val="18"/>
                  <w:color w:val="0000EE"/>
                </w:rPr>
                <w:t>Notes to Consolidated Financial Statements as of August 31, 2014 (unaudited)</w:t>
              </w:r>
            </w:hyperlink>
          </w:p>
        </w:tc>
        <w:tc>
          <w:tcPr>
            <w:tcW w:w="1560" w:type="dxa"/>
            <w:vAlign w:val="bottom"/>
            <w:gridSpan w:val="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20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440" w:type="dxa"/>
            <w:vAlign w:val="bottom"/>
            <w:gridSpan w:val="6"/>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45">
              <w:r>
                <w:rPr>
                  <w:rFonts w:ascii="Arial" w:cs="Arial" w:eastAsia="Arial" w:hAnsi="Arial"/>
                  <w:sz w:val="18"/>
                  <w:szCs w:val="18"/>
                  <w:color w:val="0000EE"/>
                  <w:w w:val="90"/>
                </w:rPr>
                <w:t>Management’s Discussion and Analysis of Financial Condition and Results of Operations</w:t>
              </w:r>
            </w:hyperlink>
          </w:p>
        </w:tc>
        <w:tc>
          <w:tcPr>
            <w:tcW w:w="3440" w:type="dxa"/>
            <w:vAlign w:val="bottom"/>
            <w:gridSpan w:val="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4360" w:type="dxa"/>
            <w:vAlign w:val="bottom"/>
            <w:tcBorders>
              <w:bottom w:val="single" w:sz="8" w:color="0000EE"/>
            </w:tcBorders>
            <w:gridSpan w:val="12"/>
          </w:tcPr>
          <w:p>
            <w:pPr>
              <w:spacing w:after="0"/>
              <w:rPr>
                <w:rFonts w:ascii="Arial" w:cs="Arial" w:eastAsia="Arial" w:hAnsi="Arial"/>
                <w:sz w:val="18"/>
                <w:szCs w:val="18"/>
                <w:color w:val="0000EE"/>
                <w:w w:val="92"/>
              </w:rPr>
            </w:pPr>
            <w:hyperlink w:anchor="page65">
              <w:r>
                <w:rPr>
                  <w:rFonts w:ascii="Arial" w:cs="Arial" w:eastAsia="Arial" w:hAnsi="Arial"/>
                  <w:sz w:val="18"/>
                  <w:szCs w:val="18"/>
                  <w:color w:val="0000EE"/>
                  <w:w w:val="92"/>
                </w:rPr>
                <w:t>Quantitative and Qualitative Disclosures About Market Risk</w:t>
              </w:r>
            </w:hyperlink>
          </w:p>
        </w:tc>
        <w:tc>
          <w:tcPr>
            <w:tcW w:w="5540" w:type="dxa"/>
            <w:vAlign w:val="bottom"/>
            <w:gridSpan w:val="8"/>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1780" w:type="dxa"/>
            <w:vAlign w:val="bottom"/>
            <w:tcBorders>
              <w:bottom w:val="single" w:sz="8" w:color="0000EE"/>
            </w:tcBorders>
            <w:gridSpan w:val="7"/>
          </w:tcPr>
          <w:p>
            <w:pPr>
              <w:spacing w:after="0"/>
              <w:rPr>
                <w:rFonts w:ascii="Arial" w:cs="Arial" w:eastAsia="Arial" w:hAnsi="Arial"/>
                <w:sz w:val="18"/>
                <w:szCs w:val="18"/>
                <w:color w:val="0000EE"/>
                <w:w w:val="88"/>
              </w:rPr>
            </w:pPr>
            <w:hyperlink w:anchor="page65">
              <w:r>
                <w:rPr>
                  <w:rFonts w:ascii="Arial" w:cs="Arial" w:eastAsia="Arial" w:hAnsi="Arial"/>
                  <w:sz w:val="18"/>
                  <w:szCs w:val="18"/>
                  <w:color w:val="0000EE"/>
                  <w:w w:val="88"/>
                </w:rPr>
                <w:t>Controls and Procedures</w:t>
              </w:r>
            </w:hyperlink>
          </w:p>
        </w:tc>
        <w:tc>
          <w:tcPr>
            <w:tcW w:w="8120" w:type="dxa"/>
            <w:vAlign w:val="bottom"/>
            <w:gridSpan w:val="13"/>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b w:val="1"/>
                <w:bCs w:val="1"/>
                <w:color w:val="auto"/>
              </w:rPr>
              <w:t>PART II</w:t>
            </w:r>
          </w:p>
        </w:tc>
        <w:tc>
          <w:tcPr>
            <w:tcW w:w="2020" w:type="dxa"/>
            <w:vAlign w:val="bottom"/>
            <w:tcBorders>
              <w:bottom w:val="single" w:sz="8" w:color="0000EE"/>
            </w:tcBorders>
            <w:gridSpan w:val="8"/>
          </w:tcPr>
          <w:p>
            <w:pPr>
              <w:spacing w:after="0"/>
              <w:rPr>
                <w:rFonts w:ascii="Arial" w:cs="Arial" w:eastAsia="Arial" w:hAnsi="Arial"/>
                <w:sz w:val="18"/>
                <w:szCs w:val="18"/>
                <w:b w:val="1"/>
                <w:bCs w:val="1"/>
                <w:color w:val="0000EE"/>
              </w:rPr>
            </w:pPr>
            <w:hyperlink w:anchor="page66">
              <w:r>
                <w:rPr>
                  <w:rFonts w:ascii="Arial" w:cs="Arial" w:eastAsia="Arial" w:hAnsi="Arial"/>
                  <w:sz w:val="18"/>
                  <w:szCs w:val="18"/>
                  <w:b w:val="1"/>
                  <w:bCs w:val="1"/>
                  <w:color w:val="0000EE"/>
                </w:rPr>
                <w:t>OTHER INFORMATION</w:t>
              </w:r>
            </w:hyperlink>
          </w:p>
        </w:tc>
        <w:tc>
          <w:tcPr>
            <w:tcW w:w="7880" w:type="dxa"/>
            <w:vAlign w:val="bottom"/>
            <w:gridSpan w:val="12"/>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59</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900" w:type="dxa"/>
            <w:vAlign w:val="bottom"/>
            <w:gridSpan w:val="2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Legal Proceedings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4"/>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Risk Factors</w:t>
              </w:r>
            </w:hyperlink>
          </w:p>
        </w:tc>
        <w:tc>
          <w:tcPr>
            <w:tcW w:w="8580" w:type="dxa"/>
            <w:vAlign w:val="bottom"/>
            <w:gridSpan w:val="16"/>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060" w:type="dxa"/>
            <w:vAlign w:val="bottom"/>
            <w:gridSpan w:val="2"/>
          </w:tcPr>
          <w:p>
            <w:pPr>
              <w:spacing w:after="0" w:line="20" w:lineRule="exact"/>
              <w:rPr>
                <w:sz w:val="1"/>
                <w:szCs w:val="1"/>
                <w:color w:val="auto"/>
              </w:rPr>
            </w:pPr>
          </w:p>
        </w:tc>
        <w:tc>
          <w:tcPr>
            <w:tcW w:w="5560" w:type="dxa"/>
            <w:vAlign w:val="bottom"/>
            <w:gridSpan w:val="9"/>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900" w:type="dxa"/>
            <w:vAlign w:val="bottom"/>
            <w:gridSpan w:val="2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Unregistered Sales of Equity Securities and Use of Proceeds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28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89"/>
              </w:rPr>
            </w:pPr>
            <w:hyperlink w:anchor="page66">
              <w:r>
                <w:rPr>
                  <w:rFonts w:ascii="Arial" w:cs="Arial" w:eastAsia="Arial" w:hAnsi="Arial"/>
                  <w:sz w:val="18"/>
                  <w:szCs w:val="18"/>
                  <w:color w:val="0000EE"/>
                  <w:w w:val="89"/>
                </w:rPr>
                <w:t>Defaults upon Senior Securities</w:t>
              </w:r>
            </w:hyperlink>
          </w:p>
        </w:tc>
        <w:tc>
          <w:tcPr>
            <w:tcW w:w="2060" w:type="dxa"/>
            <w:vAlign w:val="bottom"/>
            <w:tcBorders>
              <w:top w:val="single" w:sz="8" w:color="0000EE"/>
            </w:tcBorders>
            <w:gridSpan w:val="2"/>
          </w:tcPr>
          <w:p>
            <w:pPr>
              <w:spacing w:after="0"/>
              <w:rPr>
                <w:sz w:val="24"/>
                <w:szCs w:val="24"/>
                <w:color w:val="auto"/>
              </w:rPr>
            </w:pPr>
          </w:p>
        </w:tc>
        <w:tc>
          <w:tcPr>
            <w:tcW w:w="5560" w:type="dxa"/>
            <w:vAlign w:val="bottom"/>
            <w:gridSpan w:val="9"/>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900" w:type="dxa"/>
            <w:vAlign w:val="bottom"/>
            <w:gridSpan w:val="20"/>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Mine Safety Disclosures</w:t>
              </w:r>
            </w:hyperlink>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6"/>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Other Information</w:t>
              </w:r>
            </w:hyperlink>
          </w:p>
        </w:tc>
        <w:tc>
          <w:tcPr>
            <w:tcW w:w="8140" w:type="dxa"/>
            <w:vAlign w:val="bottom"/>
            <w:gridSpan w:val="14"/>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3"/>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Exhibits</w:t>
              </w:r>
            </w:hyperlink>
          </w:p>
        </w:tc>
        <w:tc>
          <w:tcPr>
            <w:tcW w:w="8600" w:type="dxa"/>
            <w:vAlign w:val="bottom"/>
            <w:gridSpan w:val="17"/>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304"/>
        </w:trPr>
        <w:tc>
          <w:tcPr>
            <w:tcW w:w="1120" w:type="dxa"/>
            <w:vAlign w:val="bottom"/>
            <w:gridSpan w:val="2"/>
          </w:tcPr>
          <w:p>
            <w:pPr>
              <w:spacing w:after="0"/>
              <w:rPr>
                <w:rFonts w:ascii="Arial" w:cs="Arial" w:eastAsia="Arial" w:hAnsi="Arial"/>
                <w:sz w:val="18"/>
                <w:szCs w:val="18"/>
                <w:color w:val="0000EE"/>
              </w:rPr>
            </w:pPr>
            <w:hyperlink w:anchor="page68">
              <w:r>
                <w:rPr>
                  <w:rFonts w:ascii="Arial" w:cs="Arial" w:eastAsia="Arial" w:hAnsi="Arial"/>
                  <w:sz w:val="18"/>
                  <w:szCs w:val="18"/>
                  <w:color w:val="0000EE"/>
                </w:rPr>
                <w:t>Signatures</w:t>
              </w:r>
            </w:hyperlink>
          </w:p>
        </w:tc>
        <w:tc>
          <w:tcPr>
            <w:tcW w:w="60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385"/>
        </w:trPr>
        <w:tc>
          <w:tcPr>
            <w:tcW w:w="7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5640" w:type="dxa"/>
            <w:vAlign w:val="bottom"/>
            <w:gridSpan w:val="13"/>
          </w:tcPr>
          <w:p>
            <w:pPr>
              <w:ind w:left="4540"/>
              <w:spacing w:after="0"/>
              <w:rPr>
                <w:sz w:val="20"/>
                <w:szCs w:val="20"/>
                <w:color w:val="auto"/>
              </w:rPr>
            </w:pPr>
            <w:r>
              <w:rPr>
                <w:rFonts w:ascii="Arial" w:cs="Arial" w:eastAsia="Arial" w:hAnsi="Arial"/>
                <w:sz w:val="18"/>
                <w:szCs w:val="18"/>
                <w:color w:val="auto"/>
              </w:rPr>
              <w:t>2</w:t>
            </w:r>
          </w:p>
        </w:tc>
        <w:tc>
          <w:tcPr>
            <w:tcW w:w="8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20"/>
          </w:cols>
          <w:pgMar w:left="240" w:top="459" w:right="3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7280" w:type="dxa"/>
            <w:vAlign w:val="bottom"/>
          </w:tcPr>
          <w:p>
            <w:pPr>
              <w:jc w:val="center"/>
              <w:ind w:left="225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0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280" w:type="dxa"/>
            <w:vAlign w:val="bottom"/>
          </w:tcPr>
          <w:p>
            <w:pPr>
              <w:jc w:val="center"/>
              <w:ind w:right="5550"/>
              <w:spacing w:after="0"/>
              <w:rPr>
                <w:sz w:val="20"/>
                <w:szCs w:val="20"/>
                <w:color w:val="auto"/>
              </w:rPr>
            </w:pPr>
            <w:r>
              <w:rPr>
                <w:rFonts w:ascii="Arial" w:cs="Arial" w:eastAsia="Arial" w:hAnsi="Arial"/>
                <w:sz w:val="18"/>
                <w:szCs w:val="18"/>
                <w:b w:val="1"/>
                <w:bCs w:val="1"/>
                <w:color w:val="auto"/>
                <w:w w:val="88"/>
              </w:rPr>
              <w:t>Financial Statements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80" w:type="dxa"/>
            <w:vAlign w:val="bottom"/>
          </w:tcPr>
          <w:p>
            <w:pPr>
              <w:jc w:val="center"/>
              <w:ind w:left="2270"/>
              <w:spacing w:after="0"/>
              <w:rPr>
                <w:sz w:val="20"/>
                <w:szCs w:val="20"/>
                <w:color w:val="auto"/>
              </w:rPr>
            </w:pPr>
            <w:r>
              <w:rPr>
                <w:rFonts w:ascii="Arial" w:cs="Arial" w:eastAsia="Arial" w:hAnsi="Arial"/>
                <w:sz w:val="18"/>
                <w:szCs w:val="18"/>
                <w:b w:val="1"/>
                <w:bCs w:val="1"/>
                <w:color w:val="auto"/>
                <w:w w:val="90"/>
              </w:rPr>
              <w:t>Saratoga Investment Corp.</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80" w:type="dxa"/>
            <w:vAlign w:val="bottom"/>
          </w:tcPr>
          <w:p>
            <w:pPr>
              <w:jc w:val="center"/>
              <w:ind w:left="2250"/>
              <w:spacing w:after="0"/>
              <w:rPr>
                <w:sz w:val="20"/>
                <w:szCs w:val="20"/>
                <w:color w:val="auto"/>
              </w:rPr>
            </w:pPr>
            <w:r>
              <w:rPr>
                <w:rFonts w:ascii="Arial" w:cs="Arial" w:eastAsia="Arial" w:hAnsi="Arial"/>
                <w:sz w:val="18"/>
                <w:szCs w:val="18"/>
                <w:b w:val="1"/>
                <w:bCs w:val="1"/>
                <w:color w:val="auto"/>
                <w:w w:val="88"/>
              </w:rPr>
              <w:t>Consolidated Statements of Assets and Liabilities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5"/>
              </w:rPr>
              <w:t>As of</w:t>
            </w: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40" w:type="dxa"/>
            <w:vAlign w:val="bottom"/>
            <w:gridSpan w:val="2"/>
          </w:tcPr>
          <w:p>
            <w:pPr>
              <w:jc w:val="right"/>
              <w:ind w:right="428"/>
              <w:spacing w:after="0" w:line="142" w:lineRule="exact"/>
              <w:rPr>
                <w:sz w:val="20"/>
                <w:szCs w:val="20"/>
                <w:color w:val="auto"/>
              </w:rPr>
            </w:pPr>
            <w:r>
              <w:rPr>
                <w:rFonts w:ascii="Arial" w:cs="Arial" w:eastAsia="Arial" w:hAnsi="Arial"/>
                <w:sz w:val="14"/>
                <w:szCs w:val="14"/>
                <w:b w:val="1"/>
                <w:bCs w:val="1"/>
                <w:color w:val="auto"/>
                <w:w w:val="95"/>
              </w:rPr>
              <w:t>August 31, 2014</w:t>
            </w:r>
          </w:p>
        </w:tc>
        <w:tc>
          <w:tcPr>
            <w:tcW w:w="120" w:type="dxa"/>
            <w:vAlign w:val="bottom"/>
          </w:tcPr>
          <w:p>
            <w:pPr>
              <w:spacing w:after="0"/>
              <w:rPr>
                <w:sz w:val="12"/>
                <w:szCs w:val="12"/>
                <w:color w:val="auto"/>
              </w:rPr>
            </w:pPr>
          </w:p>
        </w:tc>
        <w:tc>
          <w:tcPr>
            <w:tcW w:w="126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w w:val="94"/>
              </w:rPr>
              <w:t>February 28, 2014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728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(unaudited)</w:t>
            </w:r>
          </w:p>
        </w:tc>
        <w:tc>
          <w:tcPr>
            <w:tcW w:w="3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7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Investments at fair value</w:t>
            </w: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5"/>
              </w:rPr>
              <w:t>Non-control/non-affiliate investments (amortized cost of $215,422,798 and $185,266,607,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216,229,627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186,275,106</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Control investments (cost of $16,555,808 and $16,555,808, respectively)</w:t>
            </w:r>
          </w:p>
        </w:tc>
        <w:tc>
          <w:tcPr>
            <w:tcW w:w="140" w:type="dxa"/>
            <w:vAlign w:val="bottom"/>
          </w:tcPr>
          <w:p>
            <w:pPr>
              <w:spacing w:after="0"/>
              <w:rPr>
                <w:sz w:val="18"/>
                <w:szCs w:val="18"/>
                <w:color w:val="auto"/>
              </w:rPr>
            </w:pP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20,090,075</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19,569,596</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investments at fair value (amortized cost of $231,978,606 and $201,822,415, respectively)</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236,319,702</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205,844,702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spacing w:after="0"/>
              <w:rPr>
                <w:sz w:val="18"/>
                <w:szCs w:val="18"/>
                <w:color w:val="auto"/>
              </w:rPr>
            </w:pP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271,378</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3,293,898</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reserve accounts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3,215,671</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3,293,113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Interest receivable (net of reserve of $184,818 and $150,058, respectively)</w:t>
            </w:r>
          </w:p>
        </w:tc>
        <w:tc>
          <w:tcPr>
            <w:tcW w:w="140" w:type="dxa"/>
            <w:vAlign w:val="bottom"/>
          </w:tcPr>
          <w:p>
            <w:pPr>
              <w:spacing w:after="0"/>
              <w:rPr>
                <w:sz w:val="18"/>
                <w:szCs w:val="18"/>
                <w:color w:val="auto"/>
              </w:rPr>
            </w:pP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3,314,407</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2,571,853</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Deferred debt financing costs, net</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3,879,035</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4,008,704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Management fee receivable</w:t>
            </w:r>
          </w:p>
        </w:tc>
        <w:tc>
          <w:tcPr>
            <w:tcW w:w="140" w:type="dxa"/>
            <w:vAlign w:val="bottom"/>
          </w:tcPr>
          <w:p>
            <w:pPr>
              <w:spacing w:after="0"/>
              <w:rPr>
                <w:sz w:val="18"/>
                <w:szCs w:val="18"/>
                <w:color w:val="auto"/>
              </w:rPr>
            </w:pP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167,031</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150,106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 w:type="dxa"/>
            <w:vAlign w:val="bottom"/>
            <w:shd w:val="clear" w:color="auto" w:fill="CCEEFF"/>
          </w:tcPr>
          <w:p>
            <w:pPr>
              <w:spacing w:after="0"/>
              <w:rPr>
                <w:sz w:val="20"/>
                <w:szCs w:val="20"/>
                <w:color w:val="auto"/>
              </w:rPr>
            </w:pPr>
            <w:r>
              <w:rPr>
                <w:rFonts w:ascii="Arial" w:cs="Arial" w:eastAsia="Arial" w:hAnsi="Arial"/>
                <w:sz w:val="18"/>
                <w:szCs w:val="18"/>
                <w:color w:val="auto"/>
                <w:w w:val="84"/>
              </w:rPr>
              <w:t>Other assets</w:t>
            </w:r>
          </w:p>
        </w:tc>
        <w:tc>
          <w:tcPr>
            <w:tcW w:w="7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62,769</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gridSpan w:val="2"/>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247,229,993</w:t>
            </w:r>
          </w:p>
        </w:tc>
        <w:tc>
          <w:tcPr>
            <w:tcW w:w="32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219,176,837</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Revolving credit facility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8,900,000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SBA debentures payable</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64,000,000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Notes payable</w:t>
            </w:r>
          </w:p>
        </w:tc>
        <w:tc>
          <w:tcPr>
            <w:tcW w:w="140" w:type="dxa"/>
            <w:vAlign w:val="bottom"/>
          </w:tcPr>
          <w:p>
            <w:pPr>
              <w:spacing w:after="0"/>
              <w:rPr>
                <w:sz w:val="18"/>
                <w:szCs w:val="18"/>
                <w:color w:val="auto"/>
              </w:rPr>
            </w:pP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48,300,000</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48,300,000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Management and incentive fees payable</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4,221,591</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3,856,962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Accounts payable and accrued expenses</w:t>
            </w:r>
          </w:p>
        </w:tc>
        <w:tc>
          <w:tcPr>
            <w:tcW w:w="140" w:type="dxa"/>
            <w:vAlign w:val="bottom"/>
          </w:tcPr>
          <w:p>
            <w:pPr>
              <w:spacing w:after="0"/>
              <w:rPr>
                <w:sz w:val="18"/>
                <w:szCs w:val="18"/>
                <w:color w:val="auto"/>
              </w:rPr>
            </w:pP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536,355</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824,568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and debt fees payable</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1,036,073</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873,135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Due to manager</w:t>
            </w:r>
          </w:p>
        </w:tc>
        <w:tc>
          <w:tcPr>
            <w:tcW w:w="140" w:type="dxa"/>
            <w:vAlign w:val="bottom"/>
          </w:tcPr>
          <w:p>
            <w:pPr>
              <w:spacing w:after="0"/>
              <w:rPr>
                <w:sz w:val="18"/>
                <w:szCs w:val="18"/>
                <w:color w:val="auto"/>
              </w:rPr>
            </w:pP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418,154</w:t>
            </w:r>
          </w:p>
        </w:tc>
        <w:tc>
          <w:tcPr>
            <w:tcW w:w="12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398,154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127,412,173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104,252,819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3"/>
            <w:vMerge w:val="restart"/>
          </w:tcPr>
          <w:p>
            <w:pPr>
              <w:spacing w:after="0"/>
              <w:rPr>
                <w:sz w:val="20"/>
                <w:szCs w:val="20"/>
                <w:color w:val="auto"/>
              </w:rPr>
            </w:pPr>
            <w:r>
              <w:rPr>
                <w:rFonts w:ascii="Arial" w:cs="Arial" w:eastAsia="Arial" w:hAnsi="Arial"/>
                <w:sz w:val="18"/>
                <w:szCs w:val="18"/>
                <w:color w:val="auto"/>
              </w:rPr>
              <w:t>Commitments and contingencies (See Note 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18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6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gridSpan w:val="2"/>
          </w:tcPr>
          <w:p>
            <w:pPr>
              <w:spacing w:after="0" w:line="201" w:lineRule="exact"/>
              <w:rPr>
                <w:sz w:val="20"/>
                <w:szCs w:val="20"/>
                <w:color w:val="auto"/>
              </w:rPr>
            </w:pPr>
            <w:r>
              <w:rPr>
                <w:rFonts w:ascii="Arial" w:cs="Arial" w:eastAsia="Arial" w:hAnsi="Arial"/>
                <w:sz w:val="18"/>
                <w:szCs w:val="18"/>
                <w:color w:val="auto"/>
                <w:w w:val="93"/>
              </w:rPr>
              <w:t>Common stock, par value $.001, 100,000,000 common shares authorized, 5,379,616 and 5,379,616 common</w:t>
            </w: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gridSpan w:val="2"/>
          </w:tcPr>
          <w:p>
            <w:pPr>
              <w:jc w:val="center"/>
              <w:ind w:right="4650"/>
              <w:spacing w:after="0"/>
              <w:rPr>
                <w:sz w:val="20"/>
                <w:szCs w:val="20"/>
                <w:color w:val="auto"/>
              </w:rPr>
            </w:pPr>
            <w:r>
              <w:rPr>
                <w:rFonts w:ascii="Arial" w:cs="Arial" w:eastAsia="Arial" w:hAnsi="Arial"/>
                <w:sz w:val="18"/>
                <w:szCs w:val="18"/>
                <w:color w:val="auto"/>
                <w:w w:val="88"/>
              </w:rPr>
              <w:t>shares issued and outstanding, respectively</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5,380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5,380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184,851,154</w:t>
            </w: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184,851,154</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Distribution in excess of net investment income</w:t>
            </w:r>
          </w:p>
        </w:tc>
        <w:tc>
          <w:tcPr>
            <w:tcW w:w="140" w:type="dxa"/>
            <w:vAlign w:val="bottom"/>
          </w:tcPr>
          <w:p>
            <w:pPr>
              <w:spacing w:after="0"/>
              <w:rPr>
                <w:sz w:val="18"/>
                <w:szCs w:val="18"/>
                <w:color w:val="auto"/>
              </w:rPr>
            </w:pPr>
          </w:p>
        </w:tc>
        <w:tc>
          <w:tcPr>
            <w:tcW w:w="1540" w:type="dxa"/>
            <w:vAlign w:val="bottom"/>
            <w:gridSpan w:val="2"/>
          </w:tcPr>
          <w:p>
            <w:pPr>
              <w:jc w:val="right"/>
              <w:ind w:right="188"/>
              <w:spacing w:after="0"/>
              <w:rPr>
                <w:sz w:val="20"/>
                <w:szCs w:val="20"/>
                <w:color w:val="auto"/>
              </w:rPr>
            </w:pPr>
            <w:r>
              <w:rPr>
                <w:rFonts w:ascii="Arial" w:cs="Arial" w:eastAsia="Arial" w:hAnsi="Arial"/>
                <w:sz w:val="18"/>
                <w:szCs w:val="18"/>
                <w:color w:val="auto"/>
              </w:rPr>
              <w:t>(25,494,426)</w:t>
            </w:r>
          </w:p>
        </w:tc>
        <w:tc>
          <w:tcPr>
            <w:tcW w:w="12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Arial" w:cs="Arial" w:eastAsia="Arial" w:hAnsi="Arial"/>
                <w:sz w:val="18"/>
                <w:szCs w:val="18"/>
                <w:color w:val="auto"/>
              </w:rPr>
              <w:t>(29,627,578)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Accumulated net realized loss from investments and derivatives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(43,885,384)</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(44,327,225)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tcPr>
          <w:p>
            <w:pPr>
              <w:spacing w:after="0"/>
              <w:rPr>
                <w:sz w:val="20"/>
                <w:szCs w:val="20"/>
                <w:color w:val="auto"/>
              </w:rPr>
            </w:pPr>
            <w:r>
              <w:rPr>
                <w:rFonts w:ascii="Arial" w:cs="Arial" w:eastAsia="Arial" w:hAnsi="Arial"/>
                <w:sz w:val="18"/>
                <w:szCs w:val="18"/>
                <w:color w:val="auto"/>
              </w:rPr>
              <w:t>Net unrealized appreciation on investments and derivatives</w:t>
            </w:r>
          </w:p>
        </w:tc>
        <w:tc>
          <w:tcPr>
            <w:tcW w:w="140" w:type="dxa"/>
            <w:vAlign w:val="bottom"/>
          </w:tcPr>
          <w:p>
            <w:pPr>
              <w:spacing w:after="0"/>
              <w:rPr>
                <w:sz w:val="18"/>
                <w:szCs w:val="18"/>
                <w:color w:val="auto"/>
              </w:rPr>
            </w:pP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4,341,096</w:t>
            </w:r>
          </w:p>
        </w:tc>
        <w:tc>
          <w:tcPr>
            <w:tcW w:w="1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4,022,287</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 w:type="dxa"/>
            <w:vAlign w:val="bottom"/>
          </w:tcPr>
          <w:p>
            <w:pPr>
              <w:spacing w:after="0"/>
              <w:rPr>
                <w:sz w:val="2"/>
                <w:szCs w:val="2"/>
                <w:color w:val="auto"/>
              </w:rPr>
            </w:pPr>
          </w:p>
        </w:tc>
        <w:tc>
          <w:tcPr>
            <w:tcW w:w="7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Net Assets</w:t>
            </w:r>
          </w:p>
        </w:tc>
        <w:tc>
          <w:tcPr>
            <w:tcW w:w="14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119,817,820</w:t>
            </w:r>
          </w:p>
        </w:tc>
        <w:tc>
          <w:tcPr>
            <w:tcW w:w="1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114,924,018</w:t>
            </w:r>
          </w:p>
        </w:tc>
        <w:tc>
          <w:tcPr>
            <w:tcW w:w="0" w:type="dxa"/>
            <w:vAlign w:val="bottom"/>
          </w:tcPr>
          <w:p>
            <w:pPr>
              <w:spacing w:after="0"/>
              <w:rPr>
                <w:sz w:val="1"/>
                <w:szCs w:val="1"/>
                <w:color w:val="auto"/>
              </w:rPr>
            </w:pPr>
          </w:p>
        </w:tc>
      </w:tr>
      <w:tr>
        <w:trPr>
          <w:trHeight w:val="20"/>
        </w:trPr>
        <w:tc>
          <w:tcPr>
            <w:tcW w:w="8180" w:type="dxa"/>
            <w:vAlign w:val="bottom"/>
            <w:gridSpan w:val="3"/>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180" w:type="dxa"/>
            <w:vAlign w:val="bottom"/>
            <w:gridSpan w:val="3"/>
          </w:tcPr>
          <w:p>
            <w:pPr>
              <w:spacing w:after="0"/>
              <w:rPr>
                <w:sz w:val="20"/>
                <w:szCs w:val="20"/>
                <w:color w:val="auto"/>
              </w:rPr>
            </w:pPr>
            <w:r>
              <w:rPr>
                <w:rFonts w:ascii="Arial" w:cs="Arial" w:eastAsia="Arial" w:hAnsi="Arial"/>
                <w:sz w:val="18"/>
                <w:szCs w:val="18"/>
                <w:color w:val="auto"/>
              </w:rPr>
              <w:t>Total liabilities and Net Assets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tcPr>
          <w:p>
            <w:pPr>
              <w:jc w:val="right"/>
              <w:ind w:right="248"/>
              <w:spacing w:after="0"/>
              <w:rPr>
                <w:sz w:val="20"/>
                <w:szCs w:val="20"/>
                <w:color w:val="auto"/>
              </w:rPr>
            </w:pPr>
            <w:r>
              <w:rPr>
                <w:rFonts w:ascii="Arial" w:cs="Arial" w:eastAsia="Arial" w:hAnsi="Arial"/>
                <w:sz w:val="18"/>
                <w:szCs w:val="18"/>
                <w:color w:val="auto"/>
              </w:rPr>
              <w:t>247,229,993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219,176,837</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7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ASSET VALUE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22.27</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280" w:type="dxa"/>
            <w:vAlign w:val="bottom"/>
            <w:vMerge w:val="restart"/>
          </w:tcPr>
          <w:p>
            <w:pPr>
              <w:jc w:val="center"/>
              <w:ind w:left="227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80" w:type="dxa"/>
            <w:vAlign w:val="bottom"/>
          </w:tcPr>
          <w:p>
            <w:pPr>
              <w:jc w:val="center"/>
              <w:ind w:left="2250"/>
              <w:spacing w:after="0"/>
              <w:rPr>
                <w:sz w:val="20"/>
                <w:szCs w:val="20"/>
                <w:color w:val="auto"/>
              </w:rPr>
            </w:pPr>
            <w:r>
              <w:rPr>
                <w:rFonts w:ascii="Arial" w:cs="Arial" w:eastAsia="Arial" w:hAnsi="Arial"/>
                <w:sz w:val="18"/>
                <w:szCs w:val="18"/>
                <w:color w:val="auto"/>
                <w:w w:val="99"/>
              </w:rPr>
              <w:t>3</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7"/>
              </w:rPr>
              <w:t>For the three months ended</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gridSpan w:val="5"/>
          </w:tcPr>
          <w:p>
            <w:pPr>
              <w:jc w:val="right"/>
              <w:ind w:right="900"/>
              <w:spacing w:after="0"/>
              <w:rPr>
                <w:sz w:val="20"/>
                <w:szCs w:val="20"/>
                <w:color w:val="auto"/>
              </w:rPr>
            </w:pPr>
            <w:r>
              <w:rPr>
                <w:rFonts w:ascii="Arial" w:cs="Arial" w:eastAsia="Arial" w:hAnsi="Arial"/>
                <w:sz w:val="14"/>
                <w:szCs w:val="14"/>
                <w:b w:val="1"/>
                <w:bCs w:val="1"/>
                <w:color w:val="auto"/>
              </w:rPr>
              <w:t>August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4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5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2014</w:t>
            </w:r>
          </w:p>
        </w:tc>
        <w:tc>
          <w:tcPr>
            <w:tcW w:w="4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INVESTMENT INCOME</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Interest from investments</w:t>
            </w: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Non-control/Non-affiliate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5,047,571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3,385,362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9,755,465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7,254,826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Payment-in-kind interest income from Non-control/Non-affiliate investments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329,614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296,802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582,542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472,923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Control investments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660,031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1,109,535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1,301,369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2,235,539</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560" w:type="dxa"/>
            <w:vAlign w:val="bottom"/>
          </w:tcPr>
          <w:p>
            <w:pPr>
              <w:ind w:left="700"/>
              <w:spacing w:after="0"/>
              <w:rPr>
                <w:sz w:val="20"/>
                <w:szCs w:val="20"/>
                <w:color w:val="auto"/>
              </w:rPr>
            </w:pPr>
            <w:r>
              <w:rPr>
                <w:rFonts w:ascii="Arial" w:cs="Arial" w:eastAsia="Arial" w:hAnsi="Arial"/>
                <w:sz w:val="18"/>
                <w:szCs w:val="18"/>
                <w:color w:val="auto"/>
              </w:rPr>
              <w:t>Total interest income</w:t>
            </w:r>
          </w:p>
        </w:tc>
        <w:tc>
          <w:tcPr>
            <w:tcW w:w="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6,037,216</w:t>
            </w:r>
          </w:p>
        </w:tc>
        <w:tc>
          <w:tcPr>
            <w:tcW w:w="4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4,791,699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11,639,376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9,963,288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7"/>
        </w:trPr>
        <w:tc>
          <w:tcPr>
            <w:tcW w:w="20" w:type="dxa"/>
            <w:vAlign w:val="bottom"/>
            <w:vMerge w:val="restart"/>
          </w:tcPr>
          <w:p>
            <w:pPr>
              <w:spacing w:after="0"/>
              <w:rPr>
                <w:sz w:val="9"/>
                <w:szCs w:val="9"/>
                <w:color w:val="auto"/>
              </w:rPr>
            </w:pPr>
          </w:p>
        </w:tc>
        <w:tc>
          <w:tcPr>
            <w:tcW w:w="656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82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3,959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Management fee income</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375,459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480,750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767,493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978,841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Other income</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61,495</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111,300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210,830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457,476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Total investment income</w:t>
            </w: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6,475,290</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5,387,708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12,619,413</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11,405,470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Interest and debt financing expenses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1,809,516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1,603,581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3,597,103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2,731,436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Base management fees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1,037,186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811,106</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2,005,665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1,547,822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Professional fees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275,933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235,191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711,307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566,255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Administrator expenses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Incentive management fees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789,714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(39,770)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1,170,617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781,352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Insurance</w:t>
            </w:r>
          </w:p>
        </w:tc>
        <w:tc>
          <w:tcPr>
            <w:tcW w:w="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84,127</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119,234</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168,614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Directors fees and expenses</w:t>
            </w:r>
          </w:p>
        </w:tc>
        <w:tc>
          <w:tcPr>
            <w:tcW w:w="80" w:type="dxa"/>
            <w:vAlign w:val="bottom"/>
          </w:tcPr>
          <w:p>
            <w:pPr>
              <w:spacing w:after="0"/>
              <w:rPr>
                <w:sz w:val="18"/>
                <w:szCs w:val="18"/>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55,586</w:t>
            </w: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45,000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108,761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96,000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General &amp; administrative</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100,568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91,425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224,194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189,786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Other expense</w:t>
            </w:r>
          </w:p>
        </w:tc>
        <w:tc>
          <w:tcPr>
            <w:tcW w:w="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expenses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4,402,630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3,115,842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8,486,261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6,663,915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89"/>
              </w:rPr>
              <w:t>2,072,660</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w w:val="94"/>
              </w:rPr>
              <w:t>2,271,866</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4,133,152</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4,741,555</w:t>
            </w: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REALIZED AND UNREALIZED GAIN (LOSS) ON INVESTMENTS: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tcPr>
          <w:p>
            <w:pPr>
              <w:spacing w:after="0"/>
              <w:rPr>
                <w:sz w:val="20"/>
                <w:szCs w:val="20"/>
                <w:color w:val="auto"/>
              </w:rPr>
            </w:pPr>
            <w:r>
              <w:rPr>
                <w:rFonts w:ascii="Arial" w:cs="Arial" w:eastAsia="Arial" w:hAnsi="Arial"/>
                <w:sz w:val="18"/>
                <w:szCs w:val="18"/>
                <w:color w:val="auto"/>
              </w:rPr>
              <w:t>Net realized gain from investments</w:t>
            </w: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360,161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545,642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441,841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1,074,942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appreciation (depreciation) on investments</w:t>
            </w: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(2,858,805)</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318,809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3"/>
              </w:rPr>
              <w:t>(2,057,943)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60" w:type="dxa"/>
            <w:vAlign w:val="bottom"/>
          </w:tcPr>
          <w:p>
            <w:pPr>
              <w:ind w:left="340"/>
              <w:spacing w:after="0"/>
              <w:rPr>
                <w:sz w:val="20"/>
                <w:szCs w:val="20"/>
                <w:color w:val="auto"/>
              </w:rPr>
            </w:pPr>
            <w:r>
              <w:rPr>
                <w:rFonts w:ascii="Arial" w:cs="Arial" w:eastAsia="Arial" w:hAnsi="Arial"/>
                <w:sz w:val="18"/>
                <w:szCs w:val="18"/>
                <w:color w:val="auto"/>
              </w:rPr>
              <w:t>Net gain/(loss) on investments</w:t>
            </w:r>
          </w:p>
        </w:tc>
        <w:tc>
          <w:tcPr>
            <w:tcW w:w="80" w:type="dxa"/>
            <w:vAlign w:val="bottom"/>
            <w:tcBorders>
              <w:top w:val="single" w:sz="8" w:color="auto"/>
              <w:bottom w:val="single" w:sz="8" w:color="auto"/>
            </w:tcBorders>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1,063,667</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(2,313,163</w:t>
            </w:r>
          </w:p>
        </w:tc>
        <w:tc>
          <w:tcPr>
            <w:tcW w:w="240" w:type="dxa"/>
            <w:vAlign w:val="bottom"/>
          </w:tcPr>
          <w:p>
            <w:pPr>
              <w:jc w:val="right"/>
              <w:ind w:right="100"/>
              <w:spacing w:after="0"/>
              <w:rPr>
                <w:sz w:val="20"/>
                <w:szCs w:val="20"/>
                <w:color w:val="auto"/>
              </w:rPr>
            </w:pPr>
            <w:r>
              <w:rPr>
                <w:rFonts w:ascii="Arial" w:cs="Arial" w:eastAsia="Arial" w:hAnsi="Arial"/>
                <w:sz w:val="16"/>
                <w:szCs w:val="16"/>
                <w:color w:val="auto"/>
                <w:w w:val="74"/>
              </w:rPr>
              <w:t>)</w:t>
            </w:r>
          </w:p>
        </w:tc>
        <w:tc>
          <w:tcPr>
            <w:tcW w:w="1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760,650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(983,001)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INCREASE (DECREASE) IN NET ASSETS RESULTING FROM</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3,136,327</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(41,297)</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4,893,802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3,758,554</w:t>
            </w:r>
          </w:p>
        </w:tc>
        <w:tc>
          <w:tcPr>
            <w:tcW w:w="0" w:type="dxa"/>
            <w:vAlign w:val="bottom"/>
          </w:tcPr>
          <w:p>
            <w:pPr>
              <w:spacing w:after="0"/>
              <w:rPr>
                <w:sz w:val="1"/>
                <w:szCs w:val="1"/>
                <w:color w:val="auto"/>
              </w:rPr>
            </w:pPr>
          </w:p>
        </w:tc>
      </w:tr>
      <w:tr>
        <w:trPr>
          <w:trHeight w:val="20"/>
        </w:trPr>
        <w:tc>
          <w:tcPr>
            <w:tcW w:w="6580" w:type="dxa"/>
            <w:vAlign w:val="bottom"/>
            <w:gridSpan w:val="2"/>
            <w:vMerge w:val="restart"/>
          </w:tcPr>
          <w:p>
            <w:pPr>
              <w:spacing w:after="0"/>
              <w:rPr>
                <w:sz w:val="20"/>
                <w:szCs w:val="20"/>
                <w:color w:val="auto"/>
              </w:rPr>
            </w:pPr>
            <w:r>
              <w:rPr>
                <w:rFonts w:ascii="Arial" w:cs="Arial" w:eastAsia="Arial" w:hAnsi="Arial"/>
                <w:sz w:val="18"/>
                <w:szCs w:val="18"/>
                <w:color w:val="auto"/>
              </w:rPr>
              <w:t>WEIGHTED AVERAGE - BASIC AND DILUTED EARNINGS (LOSS) PER</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658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tcPr>
          <w:p>
            <w:pPr>
              <w:ind w:left="160"/>
              <w:spacing w:after="0"/>
              <w:rPr>
                <w:sz w:val="20"/>
                <w:szCs w:val="20"/>
                <w:color w:val="auto"/>
              </w:rPr>
            </w:pPr>
            <w:r>
              <w:rPr>
                <w:rFonts w:ascii="Arial" w:cs="Arial" w:eastAsia="Arial" w:hAnsi="Arial"/>
                <w:sz w:val="18"/>
                <w:szCs w:val="18"/>
                <w:color w:val="auto"/>
              </w:rPr>
              <w:t>COMMON SHARE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400"/>
              <w:spacing w:after="0"/>
              <w:rPr>
                <w:sz w:val="20"/>
                <w:szCs w:val="20"/>
                <w:color w:val="auto"/>
              </w:rPr>
            </w:pPr>
            <w:r>
              <w:rPr>
                <w:rFonts w:ascii="Arial" w:cs="Arial" w:eastAsia="Arial" w:hAnsi="Arial"/>
                <w:sz w:val="18"/>
                <w:szCs w:val="18"/>
                <w:color w:val="auto"/>
              </w:rPr>
              <w:t>0.58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0.91</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r>
        <w:trPr>
          <w:trHeight w:val="176"/>
        </w:trPr>
        <w:tc>
          <w:tcPr>
            <w:tcW w:w="20" w:type="dxa"/>
            <w:vAlign w:val="bottom"/>
            <w:vMerge w:val="restart"/>
          </w:tcPr>
          <w:p>
            <w:pPr>
              <w:spacing w:after="0"/>
              <w:rPr>
                <w:sz w:val="15"/>
                <w:szCs w:val="15"/>
                <w:color w:val="auto"/>
              </w:rPr>
            </w:pPr>
          </w:p>
        </w:tc>
        <w:tc>
          <w:tcPr>
            <w:tcW w:w="6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5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WEIGHTED AVERAGE COMMON STOCK OUTSTANDING - BASIC AND</w:t>
            </w: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5,379,616</w:t>
            </w: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4,730,116</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5,379,616</w:t>
            </w:r>
          </w:p>
        </w:tc>
        <w:tc>
          <w:tcPr>
            <w:tcW w:w="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4,730,116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4" w:name="page5"/>
    <w:bookmarkEnd w:id="4"/>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31,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80" w:type="dxa"/>
            <w:vAlign w:val="bottom"/>
          </w:tcPr>
          <w:p>
            <w:pPr>
              <w:spacing w:after="0"/>
              <w:rPr>
                <w:sz w:val="14"/>
                <w:szCs w:val="14"/>
                <w:color w:val="auto"/>
              </w:rPr>
            </w:pPr>
          </w:p>
        </w:tc>
        <w:tc>
          <w:tcPr>
            <w:tcW w:w="134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Industry</w:t>
            </w: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3"/>
              </w:rPr>
              <w:t>Investment Interest</w:t>
            </w:r>
          </w:p>
        </w:tc>
        <w:tc>
          <w:tcPr>
            <w:tcW w:w="160" w:type="dxa"/>
            <w:vAlign w:val="bottom"/>
          </w:tcPr>
          <w:p>
            <w:pPr>
              <w:spacing w:after="0"/>
              <w:rPr>
                <w:sz w:val="14"/>
                <w:szCs w:val="14"/>
                <w:color w:val="auto"/>
              </w:rPr>
            </w:pPr>
          </w:p>
        </w:tc>
        <w:tc>
          <w:tcPr>
            <w:tcW w:w="1020" w:type="dxa"/>
            <w:vAlign w:val="bottom"/>
            <w:gridSpan w:val="2"/>
          </w:tcPr>
          <w:p>
            <w:pPr>
              <w:ind w:left="10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Cost</w:t>
            </w:r>
          </w:p>
        </w:tc>
        <w:tc>
          <w:tcPr>
            <w:tcW w:w="9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3"/>
              </w:rPr>
              <w:t>Fair Value ( c )</w:t>
            </w:r>
          </w:p>
        </w:tc>
        <w:tc>
          <w:tcPr>
            <w:tcW w:w="140" w:type="dxa"/>
            <w:vAlign w:val="bottom"/>
          </w:tcPr>
          <w:p>
            <w:pPr>
              <w:spacing w:after="0"/>
              <w:rPr>
                <w:sz w:val="14"/>
                <w:szCs w:val="14"/>
                <w:color w:val="auto"/>
              </w:rPr>
            </w:pPr>
          </w:p>
        </w:tc>
        <w:tc>
          <w:tcPr>
            <w:tcW w:w="8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6"/>
        </w:trPr>
        <w:tc>
          <w:tcPr>
            <w:tcW w:w="43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2"/>
            <w:vMerge w:val="continue"/>
          </w:tcPr>
          <w:p>
            <w:pPr>
              <w:spacing w:after="0"/>
              <w:rPr>
                <w:sz w:val="15"/>
                <w:szCs w:val="15"/>
                <w:color w:val="auto"/>
              </w:rPr>
            </w:pPr>
          </w:p>
        </w:tc>
        <w:tc>
          <w:tcPr>
            <w:tcW w:w="16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9"/>
              </w:rPr>
              <w:t>Rate / Maturity</w:t>
            </w:r>
          </w:p>
        </w:tc>
        <w:tc>
          <w:tcPr>
            <w:tcW w:w="1180" w:type="dxa"/>
            <w:vAlign w:val="bottom"/>
            <w:gridSpan w:val="3"/>
          </w:tcPr>
          <w:p>
            <w:pPr>
              <w:spacing w:after="0"/>
              <w:rPr>
                <w:sz w:val="20"/>
                <w:szCs w:val="20"/>
                <w:color w:val="auto"/>
              </w:rPr>
            </w:pPr>
            <w:r>
              <w:rPr>
                <w:rFonts w:ascii="Arial" w:cs="Arial" w:eastAsia="Arial" w:hAnsi="Arial"/>
                <w:sz w:val="14"/>
                <w:szCs w:val="14"/>
                <w:b w:val="1"/>
                <w:bCs w:val="1"/>
                <w:color w:val="auto"/>
                <w:w w:val="96"/>
              </w:rPr>
              <w:t>Number of Shares</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vMerge w:val="continue"/>
          </w:tcPr>
          <w:p>
            <w:pPr>
              <w:spacing w:after="0"/>
              <w:rPr>
                <w:sz w:val="15"/>
                <w:szCs w:val="15"/>
                <w:color w:val="auto"/>
              </w:rPr>
            </w:pPr>
          </w:p>
        </w:tc>
        <w:tc>
          <w:tcPr>
            <w:tcW w:w="9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b w:val="1"/>
                <w:bCs w:val="1"/>
                <w:color w:val="auto"/>
              </w:rPr>
              <w:t>Non-control/Non-affiliated investments - 180.5% (b)</w:t>
            </w:r>
          </w:p>
        </w:tc>
        <w:tc>
          <w:tcPr>
            <w:tcW w:w="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80" w:type="dxa"/>
            <w:vAlign w:val="bottom"/>
          </w:tcPr>
          <w:p>
            <w:pPr>
              <w:spacing w:after="0"/>
              <w:rPr>
                <w:sz w:val="20"/>
                <w:szCs w:val="20"/>
                <w:color w:val="auto"/>
              </w:rPr>
            </w:pPr>
            <w:r>
              <w:rPr>
                <w:rFonts w:ascii="Arial" w:cs="Arial" w:eastAsia="Arial" w:hAnsi="Arial"/>
                <w:sz w:val="16"/>
                <w:szCs w:val="16"/>
                <w:color w:val="auto"/>
              </w:rPr>
              <w:t>National Truck Protection Co.,</w:t>
            </w:r>
          </w:p>
        </w:tc>
        <w:tc>
          <w:tcPr>
            <w:tcW w:w="1420" w:type="dxa"/>
            <w:vAlign w:val="bottom"/>
            <w:gridSpan w:val="3"/>
          </w:tcPr>
          <w:p>
            <w:pPr>
              <w:ind w:left="80"/>
              <w:spacing w:after="0"/>
              <w:rPr>
                <w:sz w:val="20"/>
                <w:szCs w:val="20"/>
                <w:color w:val="auto"/>
              </w:rPr>
            </w:pPr>
            <w:r>
              <w:rPr>
                <w:rFonts w:ascii="Arial" w:cs="Arial" w:eastAsia="Arial" w:hAnsi="Arial"/>
                <w:sz w:val="16"/>
                <w:szCs w:val="16"/>
                <w:color w:val="auto"/>
              </w:rPr>
              <w:t>Automotive</w:t>
            </w:r>
          </w:p>
        </w:tc>
        <w:tc>
          <w:tcPr>
            <w:tcW w:w="160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tcPr>
          <w:p>
            <w:pPr>
              <w:ind w:left="160"/>
              <w:spacing w:after="0"/>
              <w:rPr>
                <w:sz w:val="20"/>
                <w:szCs w:val="20"/>
                <w:color w:val="auto"/>
              </w:rPr>
            </w:pPr>
            <w:r>
              <w:rPr>
                <w:rFonts w:ascii="Arial" w:cs="Arial" w:eastAsia="Arial" w:hAnsi="Arial"/>
                <w:sz w:val="16"/>
                <w:szCs w:val="16"/>
                <w:color w:val="auto"/>
              </w:rPr>
              <w:t>Inc. (d), (g)</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1,116</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1,000,000</w:t>
            </w:r>
          </w:p>
        </w:tc>
        <w:tc>
          <w:tcPr>
            <w:tcW w:w="140" w:type="dxa"/>
            <w:vAlign w:val="bottom"/>
          </w:tcPr>
          <w:p>
            <w:pPr>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1,473,053</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National Truck Protection Co.,</w:t>
            </w:r>
          </w:p>
        </w:tc>
        <w:tc>
          <w:tcPr>
            <w:tcW w:w="14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Automotive</w:t>
            </w:r>
          </w:p>
        </w:tc>
        <w:tc>
          <w:tcPr>
            <w:tcW w:w="1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 Term Loan</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 (d)</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15.50% Cash,</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9/13/2018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7,737,848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7,737,848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7,737,848</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spacing w:after="0"/>
              <w:rPr>
                <w:sz w:val="20"/>
                <w:szCs w:val="20"/>
                <w:color w:val="auto"/>
              </w:rPr>
            </w:pPr>
            <w:r>
              <w:rPr>
                <w:rFonts w:ascii="Arial" w:cs="Arial" w:eastAsia="Arial" w:hAnsi="Arial"/>
                <w:sz w:val="16"/>
                <w:szCs w:val="16"/>
                <w:color w:val="auto"/>
              </w:rPr>
              <w:t>Take 5 Oil Change, L.L.C. (d), (g)</w:t>
            </w:r>
          </w:p>
        </w:tc>
        <w:tc>
          <w:tcPr>
            <w:tcW w:w="1420" w:type="dxa"/>
            <w:vAlign w:val="bottom"/>
            <w:gridSpan w:val="3"/>
          </w:tcPr>
          <w:p>
            <w:pPr>
              <w:ind w:left="80"/>
              <w:spacing w:after="0"/>
              <w:rPr>
                <w:sz w:val="20"/>
                <w:szCs w:val="20"/>
                <w:color w:val="auto"/>
              </w:rPr>
            </w:pPr>
            <w:r>
              <w:rPr>
                <w:rFonts w:ascii="Arial" w:cs="Arial" w:eastAsia="Arial" w:hAnsi="Arial"/>
                <w:sz w:val="16"/>
                <w:szCs w:val="16"/>
                <w:color w:val="auto"/>
              </w:rPr>
              <w:t>Automotive</w:t>
            </w:r>
          </w:p>
        </w:tc>
        <w:tc>
          <w:tcPr>
            <w:tcW w:w="160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1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7,128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712,800</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1,460,954</w:t>
            </w:r>
          </w:p>
        </w:tc>
        <w:tc>
          <w:tcPr>
            <w:tcW w:w="140" w:type="dxa"/>
            <w:vAlign w:val="bottom"/>
          </w:tcPr>
          <w:p>
            <w:pPr>
              <w:spacing w:after="0"/>
              <w:rPr>
                <w:sz w:val="17"/>
                <w:szCs w:val="17"/>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Total Automotive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9,450,648</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10,671,855</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200"/>
        </w:trPr>
        <w:tc>
          <w:tcPr>
            <w:tcW w:w="4300" w:type="dxa"/>
            <w:vAlign w:val="bottom"/>
            <w:gridSpan w:val="2"/>
          </w:tcPr>
          <w:p>
            <w:pPr>
              <w:spacing w:after="0"/>
              <w:rPr>
                <w:sz w:val="20"/>
                <w:szCs w:val="20"/>
                <w:color w:val="auto"/>
              </w:rPr>
            </w:pPr>
            <w:r>
              <w:rPr>
                <w:rFonts w:ascii="Arial" w:cs="Arial" w:eastAsia="Arial" w:hAnsi="Arial"/>
                <w:sz w:val="16"/>
                <w:szCs w:val="16"/>
                <w:color w:val="auto"/>
              </w:rPr>
              <w:t>Legacy Cabinets Holdings (d), (g)</w:t>
            </w:r>
          </w:p>
        </w:tc>
        <w:tc>
          <w:tcPr>
            <w:tcW w:w="1420" w:type="dxa"/>
            <w:vAlign w:val="bottom"/>
            <w:gridSpan w:val="3"/>
          </w:tcPr>
          <w:p>
            <w:pPr>
              <w:ind w:left="80"/>
              <w:spacing w:after="0"/>
              <w:rPr>
                <w:sz w:val="20"/>
                <w:szCs w:val="20"/>
                <w:color w:val="auto"/>
              </w:rPr>
            </w:pPr>
            <w:r>
              <w:rPr>
                <w:rFonts w:ascii="Arial" w:cs="Arial" w:eastAsia="Arial" w:hAnsi="Arial"/>
                <w:sz w:val="16"/>
                <w:szCs w:val="16"/>
                <w:color w:val="auto"/>
              </w:rPr>
              <w:t>Building Products</w:t>
            </w:r>
          </w:p>
        </w:tc>
        <w:tc>
          <w:tcPr>
            <w:tcW w:w="1600" w:type="dxa"/>
            <w:vAlign w:val="bottom"/>
            <w:gridSpan w:val="2"/>
          </w:tcPr>
          <w:p>
            <w:pPr>
              <w:spacing w:after="0"/>
              <w:rPr>
                <w:sz w:val="20"/>
                <w:szCs w:val="20"/>
                <w:color w:val="auto"/>
              </w:rPr>
            </w:pPr>
            <w:r>
              <w:rPr>
                <w:rFonts w:ascii="Arial" w:cs="Arial" w:eastAsia="Arial" w:hAnsi="Arial"/>
                <w:sz w:val="16"/>
                <w:szCs w:val="16"/>
                <w:color w:val="auto"/>
                <w:w w:val="99"/>
              </w:rPr>
              <w:t>Common Stock Voting</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Arial" w:cs="Arial" w:eastAsia="Arial" w:hAnsi="Arial"/>
                <w:sz w:val="16"/>
                <w:szCs w:val="16"/>
                <w:color w:val="auto"/>
              </w:rPr>
              <w:t>A-1</w:t>
            </w:r>
          </w:p>
        </w:tc>
        <w:tc>
          <w:tcPr>
            <w:tcW w:w="160" w:type="dxa"/>
            <w:vAlign w:val="bottom"/>
          </w:tcPr>
          <w:p>
            <w:pPr>
              <w:spacing w:after="0"/>
              <w:rPr>
                <w:sz w:val="17"/>
                <w:szCs w:val="17"/>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2,535</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220,900</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1,199,055</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Legacy Cabinets Holdings (d), (g)</w:t>
            </w:r>
          </w:p>
        </w:tc>
        <w:tc>
          <w:tcPr>
            <w:tcW w:w="14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Building Products</w:t>
            </w:r>
          </w:p>
        </w:tc>
        <w:tc>
          <w:tcPr>
            <w:tcW w:w="1600" w:type="dxa"/>
            <w:vAlign w:val="bottom"/>
            <w:gridSpan w:val="2"/>
            <w:shd w:val="clear" w:color="auto" w:fill="CCEEFF"/>
          </w:tcPr>
          <w:p>
            <w:pPr>
              <w:spacing w:after="0"/>
              <w:rPr>
                <w:sz w:val="20"/>
                <w:szCs w:val="20"/>
                <w:color w:val="auto"/>
              </w:rPr>
            </w:pPr>
            <w:r>
              <w:rPr>
                <w:rFonts w:ascii="Arial" w:cs="Arial" w:eastAsia="Arial" w:hAnsi="Arial"/>
                <w:sz w:val="16"/>
                <w:szCs w:val="16"/>
                <w:color w:val="auto"/>
                <w:w w:val="99"/>
              </w:rPr>
              <w:t>Common Stock Voting</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B-1</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139,424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756,800</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0.6%</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2"/>
          </w:tcPr>
          <w:p>
            <w:pPr>
              <w:ind w:left="320"/>
              <w:spacing w:after="0"/>
              <w:rPr>
                <w:sz w:val="20"/>
                <w:szCs w:val="20"/>
                <w:color w:val="auto"/>
              </w:rPr>
            </w:pPr>
            <w:r>
              <w:rPr>
                <w:rFonts w:ascii="Arial" w:cs="Arial" w:eastAsia="Arial" w:hAnsi="Arial"/>
                <w:sz w:val="16"/>
                <w:szCs w:val="16"/>
                <w:color w:val="auto"/>
              </w:rPr>
              <w:t>Total Building</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2"/>
          </w:tcPr>
          <w:p>
            <w:pPr>
              <w:jc w:val="center"/>
              <w:ind w:right="60"/>
              <w:spacing w:after="0"/>
              <w:rPr>
                <w:sz w:val="20"/>
                <w:szCs w:val="20"/>
                <w:color w:val="auto"/>
              </w:rPr>
            </w:pPr>
            <w:r>
              <w:rPr>
                <w:rFonts w:ascii="Arial" w:cs="Arial" w:eastAsia="Arial" w:hAnsi="Arial"/>
                <w:sz w:val="16"/>
                <w:szCs w:val="16"/>
                <w:color w:val="auto"/>
                <w:w w:val="91"/>
              </w:rPr>
              <w:t>Products</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360,324</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1,955,855</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BMC Software, Inc. (d)</w:t>
            </w:r>
          </w:p>
        </w:tc>
        <w:tc>
          <w:tcPr>
            <w:tcW w:w="14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Business Services</w:t>
            </w:r>
          </w:p>
        </w:tc>
        <w:tc>
          <w:tcPr>
            <w:tcW w:w="1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 Term Loan</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6"/>
              </w:rPr>
              <w:t>5.00% Cash, 9/10/2020 $</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5,761,667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5,713,227</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5,742,077</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80" w:type="dxa"/>
            <w:vAlign w:val="bottom"/>
          </w:tcPr>
          <w:p>
            <w:pPr>
              <w:spacing w:after="0"/>
              <w:rPr>
                <w:sz w:val="20"/>
                <w:szCs w:val="20"/>
                <w:color w:val="auto"/>
              </w:rPr>
            </w:pPr>
            <w:r>
              <w:rPr>
                <w:rFonts w:ascii="Arial" w:cs="Arial" w:eastAsia="Arial" w:hAnsi="Arial"/>
                <w:sz w:val="16"/>
                <w:szCs w:val="16"/>
                <w:color w:val="auto"/>
              </w:rPr>
              <w:t>Dispensing Dynamics</w:t>
            </w:r>
          </w:p>
        </w:tc>
        <w:tc>
          <w:tcPr>
            <w:tcW w:w="1420" w:type="dxa"/>
            <w:vAlign w:val="bottom"/>
            <w:gridSpan w:val="3"/>
          </w:tcPr>
          <w:p>
            <w:pPr>
              <w:ind w:left="80"/>
              <w:spacing w:after="0"/>
              <w:rPr>
                <w:sz w:val="20"/>
                <w:szCs w:val="20"/>
                <w:color w:val="auto"/>
              </w:rPr>
            </w:pPr>
            <w:r>
              <w:rPr>
                <w:rFonts w:ascii="Arial" w:cs="Arial" w:eastAsia="Arial" w:hAnsi="Arial"/>
                <w:sz w:val="16"/>
                <w:szCs w:val="16"/>
                <w:color w:val="auto"/>
              </w:rPr>
              <w:t>Business Services</w:t>
            </w:r>
          </w:p>
        </w:tc>
        <w:tc>
          <w:tcPr>
            <w:tcW w:w="1600" w:type="dxa"/>
            <w:vAlign w:val="bottom"/>
            <w:gridSpan w:val="2"/>
          </w:tcPr>
          <w:p>
            <w:pPr>
              <w:spacing w:after="0"/>
              <w:rPr>
                <w:sz w:val="20"/>
                <w:szCs w:val="20"/>
                <w:color w:val="auto"/>
              </w:rPr>
            </w:pPr>
            <w:r>
              <w:rPr>
                <w:rFonts w:ascii="Arial" w:cs="Arial" w:eastAsia="Arial" w:hAnsi="Arial"/>
                <w:sz w:val="16"/>
                <w:szCs w:val="16"/>
                <w:color w:val="auto"/>
              </w:rPr>
              <w:t>Senior Secured Note</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tcPr>
          <w:p>
            <w:pPr>
              <w:ind w:left="160"/>
              <w:spacing w:after="0"/>
              <w:rPr>
                <w:sz w:val="20"/>
                <w:szCs w:val="20"/>
                <w:color w:val="auto"/>
              </w:rPr>
            </w:pPr>
            <w:r>
              <w:rPr>
                <w:rFonts w:ascii="Arial" w:cs="Arial" w:eastAsia="Arial" w:hAnsi="Arial"/>
                <w:sz w:val="16"/>
                <w:szCs w:val="16"/>
                <w:color w:val="auto"/>
              </w:rPr>
              <w:t>International (d)</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60" w:type="dxa"/>
            <w:vAlign w:val="bottom"/>
            <w:gridSpan w:val="3"/>
          </w:tcPr>
          <w:p>
            <w:pPr>
              <w:spacing w:after="0"/>
              <w:rPr>
                <w:sz w:val="20"/>
                <w:szCs w:val="20"/>
                <w:color w:val="auto"/>
              </w:rPr>
            </w:pPr>
            <w:r>
              <w:rPr>
                <w:rFonts w:ascii="Arial" w:cs="Arial" w:eastAsia="Arial" w:hAnsi="Arial"/>
                <w:sz w:val="16"/>
                <w:szCs w:val="16"/>
                <w:color w:val="auto"/>
                <w:w w:val="96"/>
              </w:rPr>
              <w:t>12.50% Cash, 1/1/2018 $</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7,000,000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6,897,469</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7,560,000</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Easy Ice, LLC (d)</w:t>
            </w:r>
          </w:p>
        </w:tc>
        <w:tc>
          <w:tcPr>
            <w:tcW w:w="14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Business Services</w:t>
            </w:r>
          </w:p>
        </w:tc>
        <w:tc>
          <w:tcPr>
            <w:tcW w:w="1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 Term Loan</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14.00% (11.00%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Cash/3.00% PIK),</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3/29/2018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7,603,228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7,603,231</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7,603,228</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80" w:type="dxa"/>
            <w:vAlign w:val="bottom"/>
          </w:tcPr>
          <w:p>
            <w:pPr>
              <w:spacing w:after="0"/>
              <w:rPr>
                <w:sz w:val="20"/>
                <w:szCs w:val="20"/>
                <w:color w:val="auto"/>
              </w:rPr>
            </w:pPr>
            <w:r>
              <w:rPr>
                <w:rFonts w:ascii="Arial" w:cs="Arial" w:eastAsia="Arial" w:hAnsi="Arial"/>
                <w:sz w:val="16"/>
                <w:szCs w:val="16"/>
                <w:color w:val="auto"/>
              </w:rPr>
              <w:t>Emily Street Enterprises, L.L.C.</w:t>
            </w:r>
          </w:p>
        </w:tc>
        <w:tc>
          <w:tcPr>
            <w:tcW w:w="1420" w:type="dxa"/>
            <w:vAlign w:val="bottom"/>
            <w:gridSpan w:val="3"/>
          </w:tcPr>
          <w:p>
            <w:pPr>
              <w:ind w:left="80"/>
              <w:spacing w:after="0"/>
              <w:rPr>
                <w:sz w:val="20"/>
                <w:szCs w:val="20"/>
                <w:color w:val="auto"/>
              </w:rPr>
            </w:pPr>
            <w:r>
              <w:rPr>
                <w:rFonts w:ascii="Arial" w:cs="Arial" w:eastAsia="Arial" w:hAnsi="Arial"/>
                <w:sz w:val="16"/>
                <w:szCs w:val="16"/>
                <w:color w:val="auto"/>
              </w:rPr>
              <w:t>Business Services</w:t>
            </w:r>
          </w:p>
        </w:tc>
        <w:tc>
          <w:tcPr>
            <w:tcW w:w="1600" w:type="dxa"/>
            <w:vAlign w:val="bottom"/>
            <w:gridSpan w:val="2"/>
          </w:tcPr>
          <w:p>
            <w:pPr>
              <w:spacing w:after="0"/>
              <w:rPr>
                <w:sz w:val="20"/>
                <w:szCs w:val="20"/>
                <w:color w:val="auto"/>
              </w:rPr>
            </w:pPr>
            <w:r>
              <w:rPr>
                <w:rFonts w:ascii="Arial" w:cs="Arial" w:eastAsia="Arial" w:hAnsi="Arial"/>
                <w:sz w:val="16"/>
                <w:szCs w:val="16"/>
                <w:color w:val="auto"/>
              </w:rPr>
              <w:t>Senior Secured Note</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20"/>
                <w:szCs w:val="20"/>
                <w:color w:val="auto"/>
              </w:rPr>
            </w:pPr>
            <w:r>
              <w:rPr>
                <w:rFonts w:ascii="Arial" w:cs="Arial" w:eastAsia="Arial" w:hAnsi="Arial"/>
                <w:sz w:val="16"/>
                <w:szCs w:val="16"/>
                <w:color w:val="auto"/>
              </w:rPr>
              <w:t>12.00% (11.00%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Arial" w:cs="Arial" w:eastAsia="Arial" w:hAnsi="Arial"/>
                <w:sz w:val="16"/>
                <w:szCs w:val="16"/>
                <w:color w:val="auto"/>
              </w:rPr>
              <w:t>Cash/1.00% PIK),</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20"/>
                <w:szCs w:val="20"/>
                <w:color w:val="auto"/>
              </w:rPr>
            </w:pPr>
            <w:r>
              <w:rPr>
                <w:rFonts w:ascii="Arial" w:cs="Arial" w:eastAsia="Arial" w:hAnsi="Arial"/>
                <w:sz w:val="16"/>
                <w:szCs w:val="16"/>
                <w:color w:val="auto"/>
              </w:rPr>
              <w:t>12/28/2017</w:t>
            </w:r>
          </w:p>
        </w:tc>
        <w:tc>
          <w:tcPr>
            <w:tcW w:w="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5,792,538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5,709,596</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5,792,538</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Emily Street Enterprises,</w:t>
            </w:r>
          </w:p>
        </w:tc>
        <w:tc>
          <w:tcPr>
            <w:tcW w:w="14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Business Services</w:t>
            </w:r>
          </w:p>
        </w:tc>
        <w:tc>
          <w:tcPr>
            <w:tcW w:w="1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Warrant Membership</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L.L.C. (g)</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Interests</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49,318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400,000</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385,174</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80" w:type="dxa"/>
            <w:vAlign w:val="bottom"/>
          </w:tcPr>
          <w:p>
            <w:pPr>
              <w:spacing w:after="0"/>
              <w:rPr>
                <w:sz w:val="20"/>
                <w:szCs w:val="20"/>
                <w:color w:val="auto"/>
              </w:rPr>
            </w:pPr>
            <w:r>
              <w:rPr>
                <w:rFonts w:ascii="Arial" w:cs="Arial" w:eastAsia="Arial" w:hAnsi="Arial"/>
                <w:sz w:val="16"/>
                <w:szCs w:val="16"/>
                <w:color w:val="auto"/>
              </w:rPr>
              <w:t>Help/Systems Holdings, Inc.(Help/Systems, LLC) (d)</w:t>
            </w:r>
          </w:p>
        </w:tc>
        <w:tc>
          <w:tcPr>
            <w:tcW w:w="1420" w:type="dxa"/>
            <w:vAlign w:val="bottom"/>
            <w:gridSpan w:val="3"/>
          </w:tcPr>
          <w:p>
            <w:pPr>
              <w:ind w:left="80"/>
              <w:spacing w:after="0"/>
              <w:rPr>
                <w:sz w:val="20"/>
                <w:szCs w:val="20"/>
                <w:color w:val="auto"/>
              </w:rPr>
            </w:pPr>
            <w:r>
              <w:rPr>
                <w:rFonts w:ascii="Arial" w:cs="Arial" w:eastAsia="Arial" w:hAnsi="Arial"/>
                <w:sz w:val="16"/>
                <w:szCs w:val="16"/>
                <w:color w:val="auto"/>
              </w:rPr>
              <w:t>Business Services</w:t>
            </w:r>
          </w:p>
        </w:tc>
        <w:tc>
          <w:tcPr>
            <w:tcW w:w="1600" w:type="dxa"/>
            <w:vAlign w:val="bottom"/>
            <w:gridSpan w:val="2"/>
          </w:tcPr>
          <w:p>
            <w:pPr>
              <w:spacing w:after="0"/>
              <w:rPr>
                <w:sz w:val="20"/>
                <w:szCs w:val="20"/>
                <w:color w:val="auto"/>
              </w:rPr>
            </w:pPr>
            <w:r>
              <w:rPr>
                <w:rFonts w:ascii="Arial" w:cs="Arial" w:eastAsia="Arial" w:hAnsi="Arial"/>
                <w:sz w:val="16"/>
                <w:szCs w:val="16"/>
                <w:color w:val="auto"/>
              </w:rPr>
              <w:t>First Lien Term Loan</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760" w:type="dxa"/>
            <w:vAlign w:val="bottom"/>
            <w:gridSpan w:val="3"/>
          </w:tcPr>
          <w:p>
            <w:pPr>
              <w:spacing w:after="0"/>
              <w:rPr>
                <w:sz w:val="20"/>
                <w:szCs w:val="20"/>
                <w:color w:val="auto"/>
              </w:rPr>
            </w:pPr>
            <w:r>
              <w:rPr>
                <w:rFonts w:ascii="Arial" w:cs="Arial" w:eastAsia="Arial" w:hAnsi="Arial"/>
                <w:sz w:val="16"/>
                <w:szCs w:val="16"/>
                <w:color w:val="auto"/>
                <w:w w:val="96"/>
              </w:rPr>
              <w:t>5.50% Cash, 6/28/2019 $</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3,970,000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3,936,883</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3,930,300</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Help/Systems Holdings, Inc.(Help/Systems, LLC) (d)</w:t>
            </w:r>
          </w:p>
        </w:tc>
        <w:tc>
          <w:tcPr>
            <w:tcW w:w="14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Business Services</w:t>
            </w:r>
          </w:p>
        </w:tc>
        <w:tc>
          <w:tcPr>
            <w:tcW w:w="1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Second Lien Term</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Loan 9.50% Cash,</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6/28/2020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2,000,000</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1,973,818</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2,000,000</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80" w:type="dxa"/>
            <w:vAlign w:val="bottom"/>
          </w:tcPr>
          <w:p>
            <w:pPr>
              <w:spacing w:after="0"/>
              <w:rPr>
                <w:sz w:val="20"/>
                <w:szCs w:val="20"/>
                <w:color w:val="auto"/>
              </w:rPr>
            </w:pPr>
            <w:r>
              <w:rPr>
                <w:rFonts w:ascii="Arial" w:cs="Arial" w:eastAsia="Arial" w:hAnsi="Arial"/>
                <w:sz w:val="16"/>
                <w:szCs w:val="16"/>
                <w:color w:val="auto"/>
              </w:rPr>
              <w:t>Knowland Technology Holdings, L.L.C.</w:t>
            </w:r>
          </w:p>
        </w:tc>
        <w:tc>
          <w:tcPr>
            <w:tcW w:w="1420" w:type="dxa"/>
            <w:vAlign w:val="bottom"/>
            <w:gridSpan w:val="3"/>
          </w:tcPr>
          <w:p>
            <w:pPr>
              <w:ind w:left="80"/>
              <w:spacing w:after="0"/>
              <w:rPr>
                <w:sz w:val="20"/>
                <w:szCs w:val="20"/>
                <w:color w:val="auto"/>
              </w:rPr>
            </w:pPr>
            <w:r>
              <w:rPr>
                <w:rFonts w:ascii="Arial" w:cs="Arial" w:eastAsia="Arial" w:hAnsi="Arial"/>
                <w:sz w:val="16"/>
                <w:szCs w:val="16"/>
                <w:color w:val="auto"/>
              </w:rPr>
              <w:t>Business Services</w:t>
            </w:r>
          </w:p>
        </w:tc>
        <w:tc>
          <w:tcPr>
            <w:tcW w:w="1600" w:type="dxa"/>
            <w:vAlign w:val="bottom"/>
            <w:gridSpan w:val="2"/>
          </w:tcPr>
          <w:p>
            <w:pPr>
              <w:spacing w:after="0"/>
              <w:rPr>
                <w:sz w:val="20"/>
                <w:szCs w:val="20"/>
                <w:color w:val="auto"/>
              </w:rPr>
            </w:pPr>
            <w:r>
              <w:rPr>
                <w:rFonts w:ascii="Arial" w:cs="Arial" w:eastAsia="Arial" w:hAnsi="Arial"/>
                <w:sz w:val="16"/>
                <w:szCs w:val="16"/>
                <w:color w:val="auto"/>
              </w:rPr>
              <w:t>First Lien Term Loan</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Arial" w:cs="Arial" w:eastAsia="Arial" w:hAnsi="Arial"/>
                <w:sz w:val="16"/>
                <w:szCs w:val="16"/>
                <w:color w:val="auto"/>
              </w:rPr>
              <w:t>11.00% Cash,</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20"/>
                <w:szCs w:val="20"/>
                <w:color w:val="auto"/>
              </w:rPr>
            </w:pPr>
            <w:r>
              <w:rPr>
                <w:rFonts w:ascii="Arial" w:cs="Arial" w:eastAsia="Arial" w:hAnsi="Arial"/>
                <w:sz w:val="16"/>
                <w:szCs w:val="16"/>
                <w:color w:val="auto"/>
              </w:rPr>
              <w:t>11/29/2017</w:t>
            </w:r>
          </w:p>
        </w:tc>
        <w:tc>
          <w:tcPr>
            <w:tcW w:w="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5,259,171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5,215,608</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5,259,171</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Vector Controls Holding Co.,</w:t>
            </w:r>
          </w:p>
        </w:tc>
        <w:tc>
          <w:tcPr>
            <w:tcW w:w="14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rPr>
              <w:t>Business Services</w:t>
            </w:r>
          </w:p>
        </w:tc>
        <w:tc>
          <w:tcPr>
            <w:tcW w:w="1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 Term Loan,</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ind w:left="160"/>
              <w:spacing w:after="0"/>
              <w:rPr>
                <w:sz w:val="20"/>
                <w:szCs w:val="20"/>
                <w:color w:val="auto"/>
              </w:rPr>
            </w:pPr>
            <w:r>
              <w:rPr>
                <w:rFonts w:ascii="Arial" w:cs="Arial" w:eastAsia="Arial" w:hAnsi="Arial"/>
                <w:sz w:val="16"/>
                <w:szCs w:val="16"/>
                <w:color w:val="auto"/>
              </w:rPr>
              <w:t>LLC (d)</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14.00% (12.00%</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Cash/2.00% PIK),</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3/6/2018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9,340,061</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9,195,124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9,340,061</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80" w:type="dxa"/>
            <w:vAlign w:val="bottom"/>
          </w:tcPr>
          <w:p>
            <w:pPr>
              <w:spacing w:after="0"/>
              <w:rPr>
                <w:sz w:val="20"/>
                <w:szCs w:val="20"/>
                <w:color w:val="auto"/>
              </w:rPr>
            </w:pPr>
            <w:r>
              <w:rPr>
                <w:rFonts w:ascii="Arial" w:cs="Arial" w:eastAsia="Arial" w:hAnsi="Arial"/>
                <w:sz w:val="16"/>
                <w:szCs w:val="16"/>
                <w:color w:val="auto"/>
              </w:rPr>
              <w:t>Vector Controls Holding Co.,</w:t>
            </w:r>
          </w:p>
        </w:tc>
        <w:tc>
          <w:tcPr>
            <w:tcW w:w="1420" w:type="dxa"/>
            <w:vAlign w:val="bottom"/>
            <w:gridSpan w:val="3"/>
          </w:tcPr>
          <w:p>
            <w:pPr>
              <w:ind w:left="80"/>
              <w:spacing w:after="0"/>
              <w:rPr>
                <w:sz w:val="20"/>
                <w:szCs w:val="20"/>
                <w:color w:val="auto"/>
              </w:rPr>
            </w:pPr>
            <w:r>
              <w:rPr>
                <w:rFonts w:ascii="Arial" w:cs="Arial" w:eastAsia="Arial" w:hAnsi="Arial"/>
                <w:sz w:val="16"/>
                <w:szCs w:val="16"/>
                <w:color w:val="auto"/>
              </w:rPr>
              <w:t>Business Services</w:t>
            </w:r>
          </w:p>
        </w:tc>
        <w:tc>
          <w:tcPr>
            <w:tcW w:w="1600" w:type="dxa"/>
            <w:vAlign w:val="bottom"/>
            <w:gridSpan w:val="2"/>
          </w:tcPr>
          <w:p>
            <w:pPr>
              <w:spacing w:after="0"/>
              <w:rPr>
                <w:sz w:val="20"/>
                <w:szCs w:val="20"/>
                <w:color w:val="auto"/>
              </w:rPr>
            </w:pPr>
            <w:r>
              <w:rPr>
                <w:rFonts w:ascii="Arial" w:cs="Arial" w:eastAsia="Arial" w:hAnsi="Arial"/>
                <w:sz w:val="16"/>
                <w:szCs w:val="16"/>
                <w:color w:val="auto"/>
              </w:rPr>
              <w:t>Warrants to Purchase</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160"/>
              <w:spacing w:after="0"/>
              <w:rPr>
                <w:sz w:val="20"/>
                <w:szCs w:val="20"/>
                <w:color w:val="auto"/>
              </w:rPr>
            </w:pPr>
            <w:r>
              <w:rPr>
                <w:rFonts w:ascii="Arial" w:cs="Arial" w:eastAsia="Arial" w:hAnsi="Arial"/>
                <w:sz w:val="16"/>
                <w:szCs w:val="16"/>
                <w:color w:val="auto"/>
              </w:rPr>
              <w:t>LLC (d), (g)</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Arial" w:cs="Arial" w:eastAsia="Arial" w:hAnsi="Arial"/>
                <w:sz w:val="16"/>
                <w:szCs w:val="16"/>
                <w:color w:val="auto"/>
              </w:rPr>
              <w:t>Limited Liability</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0" w:type="dxa"/>
            <w:vAlign w:val="bottom"/>
            <w:gridSpan w:val="2"/>
          </w:tcPr>
          <w:p>
            <w:pPr>
              <w:spacing w:after="0"/>
              <w:rPr>
                <w:sz w:val="20"/>
                <w:szCs w:val="20"/>
                <w:color w:val="auto"/>
              </w:rPr>
            </w:pPr>
            <w:r>
              <w:rPr>
                <w:rFonts w:ascii="Arial" w:cs="Arial" w:eastAsia="Arial" w:hAnsi="Arial"/>
                <w:sz w:val="16"/>
                <w:szCs w:val="16"/>
                <w:color w:val="auto"/>
              </w:rPr>
              <w:t>Company Interests</w:t>
            </w:r>
          </w:p>
        </w:tc>
        <w:tc>
          <w:tcPr>
            <w:tcW w:w="16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101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ind w:left="5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87,600</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0" w:type="dxa"/>
            <w:vAlign w:val="bottom"/>
            <w:gridSpan w:val="2"/>
            <w:shd w:val="clear" w:color="auto" w:fill="CCEEFF"/>
          </w:tcPr>
          <w:p>
            <w:pPr>
              <w:ind w:left="320"/>
              <w:spacing w:after="0"/>
              <w:rPr>
                <w:sz w:val="20"/>
                <w:szCs w:val="20"/>
                <w:color w:val="auto"/>
              </w:rPr>
            </w:pPr>
            <w:r>
              <w:rPr>
                <w:rFonts w:ascii="Arial" w:cs="Arial" w:eastAsia="Arial" w:hAnsi="Arial"/>
                <w:sz w:val="16"/>
                <w:szCs w:val="16"/>
                <w:color w:val="auto"/>
              </w:rPr>
              <w:t>Total Business</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center"/>
              <w:ind w:right="80"/>
              <w:spacing w:after="0"/>
              <w:rPr>
                <w:sz w:val="20"/>
                <w:szCs w:val="20"/>
                <w:color w:val="auto"/>
              </w:rPr>
            </w:pPr>
            <w:r>
              <w:rPr>
                <w:rFonts w:ascii="Arial" w:cs="Arial" w:eastAsia="Arial" w:hAnsi="Arial"/>
                <w:sz w:val="16"/>
                <w:szCs w:val="16"/>
                <w:color w:val="auto"/>
                <w:w w:val="91"/>
              </w:rPr>
              <w:t>Services</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89"/>
              </w:rPr>
              <w:t>46,644,956</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47,700,149</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39.8%</w:t>
            </w:r>
          </w:p>
        </w:tc>
        <w:tc>
          <w:tcPr>
            <w:tcW w:w="0" w:type="dxa"/>
            <w:vAlign w:val="bottom"/>
          </w:tcPr>
          <w:p>
            <w:pPr>
              <w:spacing w:after="0"/>
              <w:rPr>
                <w:sz w:val="1"/>
                <w:szCs w:val="1"/>
                <w:color w:val="auto"/>
              </w:rPr>
            </w:pPr>
          </w:p>
        </w:tc>
      </w:tr>
      <w:tr>
        <w:trPr>
          <w:trHeight w:val="200"/>
        </w:trPr>
        <w:tc>
          <w:tcPr>
            <w:tcW w:w="4300" w:type="dxa"/>
            <w:vAlign w:val="bottom"/>
            <w:gridSpan w:val="2"/>
          </w:tcPr>
          <w:p>
            <w:pPr>
              <w:spacing w:after="0"/>
              <w:rPr>
                <w:sz w:val="20"/>
                <w:szCs w:val="20"/>
                <w:color w:val="auto"/>
              </w:rPr>
            </w:pPr>
            <w:r>
              <w:rPr>
                <w:rFonts w:ascii="Arial" w:cs="Arial" w:eastAsia="Arial" w:hAnsi="Arial"/>
                <w:sz w:val="16"/>
                <w:szCs w:val="16"/>
                <w:color w:val="auto"/>
              </w:rPr>
              <w:t>Targus Group International,</w:t>
            </w:r>
          </w:p>
        </w:tc>
        <w:tc>
          <w:tcPr>
            <w:tcW w:w="1420" w:type="dxa"/>
            <w:vAlign w:val="bottom"/>
            <w:gridSpan w:val="3"/>
          </w:tcPr>
          <w:p>
            <w:pPr>
              <w:ind w:left="80"/>
              <w:spacing w:after="0"/>
              <w:rPr>
                <w:sz w:val="20"/>
                <w:szCs w:val="20"/>
                <w:color w:val="auto"/>
              </w:rPr>
            </w:pPr>
            <w:r>
              <w:rPr>
                <w:rFonts w:ascii="Arial" w:cs="Arial" w:eastAsia="Arial" w:hAnsi="Arial"/>
                <w:sz w:val="16"/>
                <w:szCs w:val="16"/>
                <w:color w:val="auto"/>
                <w:w w:val="93"/>
              </w:rPr>
              <w:t>Consumer Products</w:t>
            </w:r>
          </w:p>
        </w:tc>
        <w:tc>
          <w:tcPr>
            <w:tcW w:w="1600" w:type="dxa"/>
            <w:vAlign w:val="bottom"/>
            <w:gridSpan w:val="2"/>
          </w:tcPr>
          <w:p>
            <w:pPr>
              <w:spacing w:after="0"/>
              <w:rPr>
                <w:sz w:val="20"/>
                <w:szCs w:val="20"/>
                <w:color w:val="auto"/>
              </w:rPr>
            </w:pPr>
            <w:r>
              <w:rPr>
                <w:rFonts w:ascii="Arial" w:cs="Arial" w:eastAsia="Arial" w:hAnsi="Arial"/>
                <w:sz w:val="16"/>
                <w:szCs w:val="16"/>
                <w:color w:val="auto"/>
              </w:rPr>
              <w:t>First Lien Term Loan</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ind w:left="160"/>
              <w:spacing w:after="0"/>
              <w:rPr>
                <w:sz w:val="20"/>
                <w:szCs w:val="20"/>
                <w:color w:val="auto"/>
              </w:rPr>
            </w:pPr>
            <w:r>
              <w:rPr>
                <w:rFonts w:ascii="Arial" w:cs="Arial" w:eastAsia="Arial" w:hAnsi="Arial"/>
                <w:sz w:val="16"/>
                <w:szCs w:val="16"/>
                <w:color w:val="auto"/>
              </w:rPr>
              <w:t>Inc. (d)</w:t>
            </w: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Arial" w:cs="Arial" w:eastAsia="Arial" w:hAnsi="Arial"/>
                <w:sz w:val="16"/>
                <w:szCs w:val="16"/>
                <w:color w:val="auto"/>
              </w:rPr>
              <w:t>11.00% Cash,</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20"/>
                <w:szCs w:val="20"/>
                <w:color w:val="auto"/>
              </w:rPr>
            </w:pPr>
            <w:r>
              <w:rPr>
                <w:rFonts w:ascii="Arial" w:cs="Arial" w:eastAsia="Arial" w:hAnsi="Arial"/>
                <w:sz w:val="16"/>
                <w:szCs w:val="16"/>
                <w:color w:val="auto"/>
              </w:rPr>
              <w:t>5/24/2016</w:t>
            </w:r>
          </w:p>
        </w:tc>
        <w:tc>
          <w:tcPr>
            <w:tcW w:w="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3,661,247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3,612,910</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3,503,447</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Targus Holdings, Inc. (d), (g)</w:t>
            </w:r>
          </w:p>
        </w:tc>
        <w:tc>
          <w:tcPr>
            <w:tcW w:w="14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w w:val="93"/>
              </w:rPr>
              <w:t>Consumer Products</w:t>
            </w:r>
          </w:p>
        </w:tc>
        <w:tc>
          <w:tcPr>
            <w:tcW w:w="1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Stock</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62,413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566,765</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80" w:type="dxa"/>
            <w:vAlign w:val="bottom"/>
          </w:tcPr>
          <w:p>
            <w:pPr>
              <w:spacing w:after="0"/>
              <w:rPr>
                <w:sz w:val="20"/>
                <w:szCs w:val="20"/>
                <w:color w:val="auto"/>
              </w:rPr>
            </w:pPr>
            <w:r>
              <w:rPr>
                <w:rFonts w:ascii="Arial" w:cs="Arial" w:eastAsia="Arial" w:hAnsi="Arial"/>
                <w:sz w:val="16"/>
                <w:szCs w:val="16"/>
                <w:color w:val="auto"/>
              </w:rPr>
              <w:t>Targus Holdings, Inc. (d)</w:t>
            </w:r>
          </w:p>
        </w:tc>
        <w:tc>
          <w:tcPr>
            <w:tcW w:w="1420" w:type="dxa"/>
            <w:vAlign w:val="bottom"/>
            <w:gridSpan w:val="3"/>
          </w:tcPr>
          <w:p>
            <w:pPr>
              <w:ind w:left="80"/>
              <w:spacing w:after="0"/>
              <w:rPr>
                <w:sz w:val="20"/>
                <w:szCs w:val="20"/>
                <w:color w:val="auto"/>
              </w:rPr>
            </w:pPr>
            <w:r>
              <w:rPr>
                <w:rFonts w:ascii="Arial" w:cs="Arial" w:eastAsia="Arial" w:hAnsi="Arial"/>
                <w:sz w:val="16"/>
                <w:szCs w:val="16"/>
                <w:color w:val="auto"/>
                <w:w w:val="93"/>
              </w:rPr>
              <w:t>Consumer Products</w:t>
            </w:r>
          </w:p>
        </w:tc>
        <w:tc>
          <w:tcPr>
            <w:tcW w:w="1600" w:type="dxa"/>
            <w:vAlign w:val="bottom"/>
            <w:gridSpan w:val="2"/>
          </w:tcPr>
          <w:p>
            <w:pPr>
              <w:spacing w:after="0"/>
              <w:rPr>
                <w:sz w:val="20"/>
                <w:szCs w:val="20"/>
                <w:color w:val="auto"/>
              </w:rPr>
            </w:pPr>
            <w:r>
              <w:rPr>
                <w:rFonts w:ascii="Arial" w:cs="Arial" w:eastAsia="Arial" w:hAnsi="Arial"/>
                <w:sz w:val="16"/>
                <w:szCs w:val="16"/>
                <w:color w:val="auto"/>
              </w:rPr>
              <w:t>Unsecured Note</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Arial" w:cs="Arial" w:eastAsia="Arial" w:hAnsi="Arial"/>
                <w:sz w:val="16"/>
                <w:szCs w:val="16"/>
                <w:color w:val="auto"/>
              </w:rPr>
              <w:t>10.00% PIK,</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20"/>
                <w:szCs w:val="20"/>
                <w:color w:val="auto"/>
              </w:rPr>
            </w:pPr>
            <w:r>
              <w:rPr>
                <w:rFonts w:ascii="Arial" w:cs="Arial" w:eastAsia="Arial" w:hAnsi="Arial"/>
                <w:sz w:val="16"/>
                <w:szCs w:val="16"/>
                <w:color w:val="auto"/>
              </w:rPr>
              <w:t>6/14/2019</w:t>
            </w:r>
          </w:p>
        </w:tc>
        <w:tc>
          <w:tcPr>
            <w:tcW w:w="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2,054,158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2,054,158</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1,499,104</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Targus Holdings, Inc. (d)</w:t>
            </w:r>
          </w:p>
        </w:tc>
        <w:tc>
          <w:tcPr>
            <w:tcW w:w="14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w w:val="93"/>
              </w:rPr>
              <w:t>Consumer Products</w:t>
            </w:r>
          </w:p>
        </w:tc>
        <w:tc>
          <w:tcPr>
            <w:tcW w:w="1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Unsecured Note</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16.00% Cash,</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20"/>
                <w:szCs w:val="20"/>
                <w:color w:val="auto"/>
              </w:rPr>
            </w:pPr>
            <w:r>
              <w:rPr>
                <w:rFonts w:ascii="Arial" w:cs="Arial" w:eastAsia="Arial" w:hAnsi="Arial"/>
                <w:sz w:val="16"/>
                <w:szCs w:val="16"/>
                <w:color w:val="auto"/>
              </w:rPr>
              <w:t>10/26/2018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399,152</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394,283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375,489</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2"/>
          </w:tcPr>
          <w:p>
            <w:pPr>
              <w:ind w:left="320"/>
              <w:spacing w:after="0"/>
              <w:rPr>
                <w:sz w:val="20"/>
                <w:szCs w:val="20"/>
                <w:color w:val="auto"/>
              </w:rPr>
            </w:pPr>
            <w:r>
              <w:rPr>
                <w:rFonts w:ascii="Arial" w:cs="Arial" w:eastAsia="Arial" w:hAnsi="Arial"/>
                <w:sz w:val="16"/>
                <w:szCs w:val="16"/>
                <w:color w:val="auto"/>
              </w:rPr>
              <w:t>Total Consumer</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0" w:type="dxa"/>
            <w:vAlign w:val="bottom"/>
            <w:gridSpan w:val="2"/>
          </w:tcPr>
          <w:p>
            <w:pPr>
              <w:jc w:val="center"/>
              <w:ind w:right="60"/>
              <w:spacing w:after="0"/>
              <w:rPr>
                <w:sz w:val="20"/>
                <w:szCs w:val="20"/>
                <w:color w:val="auto"/>
              </w:rPr>
            </w:pPr>
            <w:r>
              <w:rPr>
                <w:rFonts w:ascii="Arial" w:cs="Arial" w:eastAsia="Arial" w:hAnsi="Arial"/>
                <w:sz w:val="16"/>
                <w:szCs w:val="16"/>
                <w:color w:val="auto"/>
                <w:w w:val="91"/>
              </w:rPr>
              <w:t>Products</w:t>
            </w: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6,628,116</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5,378,040</w:t>
            </w: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4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Avionte Holdings, LLC (g)</w:t>
            </w:r>
          </w:p>
        </w:tc>
        <w:tc>
          <w:tcPr>
            <w:tcW w:w="14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w w:val="94"/>
              </w:rPr>
              <w:t>Consumer Services</w:t>
            </w:r>
          </w:p>
        </w:tc>
        <w:tc>
          <w:tcPr>
            <w:tcW w:w="1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Stock</w:t>
            </w:r>
          </w:p>
        </w:tc>
        <w:tc>
          <w:tcPr>
            <w:tcW w:w="16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100,000</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100,000</w:t>
            </w: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139,000</w:t>
            </w:r>
          </w:p>
        </w:tc>
        <w:tc>
          <w:tcPr>
            <w:tcW w:w="14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80" w:type="dxa"/>
            <w:vAlign w:val="bottom"/>
          </w:tcPr>
          <w:p>
            <w:pPr>
              <w:spacing w:after="0"/>
              <w:rPr>
                <w:sz w:val="20"/>
                <w:szCs w:val="20"/>
                <w:color w:val="auto"/>
              </w:rPr>
            </w:pPr>
            <w:r>
              <w:rPr>
                <w:rFonts w:ascii="Arial" w:cs="Arial" w:eastAsia="Arial" w:hAnsi="Arial"/>
                <w:sz w:val="16"/>
                <w:szCs w:val="16"/>
                <w:color w:val="auto"/>
              </w:rPr>
              <w:t>Avionte Holdings, LLC</w:t>
            </w:r>
          </w:p>
        </w:tc>
        <w:tc>
          <w:tcPr>
            <w:tcW w:w="1420" w:type="dxa"/>
            <w:vAlign w:val="bottom"/>
            <w:gridSpan w:val="3"/>
          </w:tcPr>
          <w:p>
            <w:pPr>
              <w:ind w:left="80"/>
              <w:spacing w:after="0"/>
              <w:rPr>
                <w:sz w:val="20"/>
                <w:szCs w:val="20"/>
                <w:color w:val="auto"/>
              </w:rPr>
            </w:pPr>
            <w:r>
              <w:rPr>
                <w:rFonts w:ascii="Arial" w:cs="Arial" w:eastAsia="Arial" w:hAnsi="Arial"/>
                <w:sz w:val="16"/>
                <w:szCs w:val="16"/>
                <w:color w:val="auto"/>
                <w:w w:val="94"/>
              </w:rPr>
              <w:t>Consumer Services</w:t>
            </w:r>
          </w:p>
        </w:tc>
        <w:tc>
          <w:tcPr>
            <w:tcW w:w="1600" w:type="dxa"/>
            <w:vAlign w:val="bottom"/>
            <w:gridSpan w:val="2"/>
          </w:tcPr>
          <w:p>
            <w:pPr>
              <w:spacing w:after="0"/>
              <w:rPr>
                <w:sz w:val="20"/>
                <w:szCs w:val="20"/>
                <w:color w:val="auto"/>
              </w:rPr>
            </w:pPr>
            <w:r>
              <w:rPr>
                <w:rFonts w:ascii="Arial" w:cs="Arial" w:eastAsia="Arial" w:hAnsi="Arial"/>
                <w:sz w:val="16"/>
                <w:szCs w:val="16"/>
                <w:color w:val="auto"/>
              </w:rPr>
              <w:t>First Lien Term Loan</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Arial" w:cs="Arial" w:eastAsia="Arial" w:hAnsi="Arial"/>
                <w:sz w:val="16"/>
                <w:szCs w:val="16"/>
                <w:color w:val="auto"/>
                <w:w w:val="99"/>
              </w:rPr>
              <w:t>8.25% Cash, 1/8/2019</w:t>
            </w: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3,000,000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2,946,920</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3,000,000</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CFF Acquisition L.L.C. (d)</w:t>
            </w:r>
          </w:p>
        </w:tc>
        <w:tc>
          <w:tcPr>
            <w:tcW w:w="14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w w:val="94"/>
              </w:rPr>
              <w:t>Consumer Services</w:t>
            </w:r>
          </w:p>
        </w:tc>
        <w:tc>
          <w:tcPr>
            <w:tcW w:w="1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 Term Loan</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60" w:type="dxa"/>
            <w:vAlign w:val="bottom"/>
            <w:gridSpan w:val="3"/>
            <w:shd w:val="clear" w:color="auto" w:fill="CCEEFF"/>
          </w:tcPr>
          <w:p>
            <w:pPr>
              <w:spacing w:after="0"/>
              <w:rPr>
                <w:sz w:val="20"/>
                <w:szCs w:val="20"/>
                <w:color w:val="auto"/>
              </w:rPr>
            </w:pPr>
            <w:r>
              <w:rPr>
                <w:rFonts w:ascii="Arial" w:cs="Arial" w:eastAsia="Arial" w:hAnsi="Arial"/>
                <w:sz w:val="16"/>
                <w:szCs w:val="16"/>
                <w:color w:val="auto"/>
                <w:w w:val="96"/>
              </w:rPr>
              <w:t>7.50% Cash, 7/31/2015 $</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996,679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990,974</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996,679</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0.9%</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4280" w:type="dxa"/>
            <w:vAlign w:val="bottom"/>
          </w:tcPr>
          <w:p>
            <w:pPr>
              <w:spacing w:after="0"/>
              <w:rPr>
                <w:sz w:val="20"/>
                <w:szCs w:val="20"/>
                <w:color w:val="auto"/>
              </w:rPr>
            </w:pPr>
            <w:r>
              <w:rPr>
                <w:rFonts w:ascii="Arial" w:cs="Arial" w:eastAsia="Arial" w:hAnsi="Arial"/>
                <w:sz w:val="16"/>
                <w:szCs w:val="16"/>
                <w:color w:val="auto"/>
              </w:rPr>
              <w:t>Expedited Travel L.L.C.</w:t>
            </w:r>
          </w:p>
        </w:tc>
        <w:tc>
          <w:tcPr>
            <w:tcW w:w="1420" w:type="dxa"/>
            <w:vAlign w:val="bottom"/>
            <w:gridSpan w:val="3"/>
          </w:tcPr>
          <w:p>
            <w:pPr>
              <w:ind w:left="80"/>
              <w:spacing w:after="0"/>
              <w:rPr>
                <w:sz w:val="20"/>
                <w:szCs w:val="20"/>
                <w:color w:val="auto"/>
              </w:rPr>
            </w:pPr>
            <w:r>
              <w:rPr>
                <w:rFonts w:ascii="Arial" w:cs="Arial" w:eastAsia="Arial" w:hAnsi="Arial"/>
                <w:sz w:val="16"/>
                <w:szCs w:val="16"/>
                <w:color w:val="auto"/>
                <w:w w:val="94"/>
              </w:rPr>
              <w:t>Consumer Services</w:t>
            </w:r>
          </w:p>
        </w:tc>
        <w:tc>
          <w:tcPr>
            <w:tcW w:w="1600" w:type="dxa"/>
            <w:vAlign w:val="bottom"/>
            <w:gridSpan w:val="2"/>
          </w:tcPr>
          <w:p>
            <w:pPr>
              <w:spacing w:after="0"/>
              <w:rPr>
                <w:sz w:val="20"/>
                <w:szCs w:val="20"/>
                <w:color w:val="auto"/>
              </w:rPr>
            </w:pPr>
            <w:r>
              <w:rPr>
                <w:rFonts w:ascii="Arial" w:cs="Arial" w:eastAsia="Arial" w:hAnsi="Arial"/>
                <w:sz w:val="16"/>
                <w:szCs w:val="16"/>
                <w:color w:val="auto"/>
              </w:rPr>
              <w:t>First Lien Term Loan</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0" w:type="dxa"/>
            <w:vAlign w:val="bottom"/>
            <w:gridSpan w:val="2"/>
          </w:tcPr>
          <w:p>
            <w:pPr>
              <w:spacing w:after="0"/>
              <w:rPr>
                <w:sz w:val="20"/>
                <w:szCs w:val="20"/>
                <w:color w:val="auto"/>
              </w:rPr>
            </w:pPr>
            <w:r>
              <w:rPr>
                <w:rFonts w:ascii="Arial" w:cs="Arial" w:eastAsia="Arial" w:hAnsi="Arial"/>
                <w:sz w:val="16"/>
                <w:szCs w:val="16"/>
                <w:color w:val="auto"/>
              </w:rPr>
              <w:t>9.00% Cash,</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20" w:type="dxa"/>
            <w:vAlign w:val="bottom"/>
          </w:tcPr>
          <w:p>
            <w:pPr>
              <w:spacing w:after="0"/>
              <w:rPr>
                <w:sz w:val="20"/>
                <w:szCs w:val="20"/>
                <w:color w:val="auto"/>
              </w:rPr>
            </w:pPr>
            <w:r>
              <w:rPr>
                <w:rFonts w:ascii="Arial" w:cs="Arial" w:eastAsia="Arial" w:hAnsi="Arial"/>
                <w:sz w:val="16"/>
                <w:szCs w:val="16"/>
                <w:color w:val="auto"/>
              </w:rPr>
              <w:t>12/28/2017</w:t>
            </w:r>
          </w:p>
        </w:tc>
        <w:tc>
          <w:tcPr>
            <w:tcW w:w="80" w:type="dxa"/>
            <w:vAlign w:val="bottom"/>
          </w:tcPr>
          <w:p>
            <w:pPr>
              <w:spacing w:after="0"/>
              <w:rPr>
                <w:sz w:val="17"/>
                <w:szCs w:val="17"/>
                <w:color w:val="auto"/>
              </w:rPr>
            </w:pPr>
          </w:p>
        </w:tc>
        <w:tc>
          <w:tcPr>
            <w:tcW w:w="160" w:type="dxa"/>
            <w:vAlign w:val="bottom"/>
          </w:tcPr>
          <w:p>
            <w:pPr>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60"/>
              <w:spacing w:after="0"/>
              <w:rPr>
                <w:sz w:val="20"/>
                <w:szCs w:val="20"/>
                <w:color w:val="auto"/>
              </w:rPr>
            </w:pPr>
            <w:r>
              <w:rPr>
                <w:rFonts w:ascii="Arial" w:cs="Arial" w:eastAsia="Arial" w:hAnsi="Arial"/>
                <w:sz w:val="16"/>
                <w:szCs w:val="16"/>
                <w:color w:val="auto"/>
              </w:rPr>
              <w:t>3,830,000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3,768,632</w:t>
            </w:r>
          </w:p>
        </w:tc>
        <w:tc>
          <w:tcPr>
            <w:tcW w:w="14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3,830,000</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PrePaid Legal Services, Inc. (d)</w:t>
            </w:r>
          </w:p>
        </w:tc>
        <w:tc>
          <w:tcPr>
            <w:tcW w:w="1420" w:type="dxa"/>
            <w:vAlign w:val="bottom"/>
            <w:gridSpan w:val="3"/>
            <w:shd w:val="clear" w:color="auto" w:fill="CCEEFF"/>
          </w:tcPr>
          <w:p>
            <w:pPr>
              <w:ind w:left="80"/>
              <w:spacing w:after="0"/>
              <w:rPr>
                <w:sz w:val="20"/>
                <w:szCs w:val="20"/>
                <w:color w:val="auto"/>
              </w:rPr>
            </w:pPr>
            <w:r>
              <w:rPr>
                <w:rFonts w:ascii="Arial" w:cs="Arial" w:eastAsia="Arial" w:hAnsi="Arial"/>
                <w:sz w:val="16"/>
                <w:szCs w:val="16"/>
                <w:color w:val="auto"/>
                <w:w w:val="94"/>
              </w:rPr>
              <w:t>Consumer Services</w:t>
            </w:r>
          </w:p>
        </w:tc>
        <w:tc>
          <w:tcPr>
            <w:tcW w:w="16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First Lien Term Loan</w:t>
            </w:r>
          </w:p>
        </w:tc>
        <w:tc>
          <w:tcPr>
            <w:tcW w:w="1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3,951,613</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3,917,123</w:t>
            </w: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3,950,427</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2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5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8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459" w:right="23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5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6.25% Cash, 7/1/2019</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20" w:type="dxa"/>
            <w:vAlign w:val="bottom"/>
          </w:tcPr>
          <w:p>
            <w:pPr>
              <w:spacing w:after="0"/>
              <w:rPr>
                <w:sz w:val="20"/>
                <w:szCs w:val="20"/>
                <w:color w:val="auto"/>
              </w:rPr>
            </w:pPr>
            <w:r>
              <w:rPr>
                <w:rFonts w:ascii="Arial" w:cs="Arial" w:eastAsia="Arial" w:hAnsi="Arial"/>
                <w:sz w:val="16"/>
                <w:szCs w:val="16"/>
                <w:color w:val="auto"/>
              </w:rPr>
              <w:t>PrePaid Legal Services, Inc. (d)</w:t>
            </w:r>
          </w:p>
        </w:tc>
        <w:tc>
          <w:tcPr>
            <w:tcW w:w="2240" w:type="dxa"/>
            <w:vAlign w:val="bottom"/>
          </w:tcPr>
          <w:p>
            <w:pPr>
              <w:ind w:left="940"/>
              <w:spacing w:after="0"/>
              <w:rPr>
                <w:sz w:val="20"/>
                <w:szCs w:val="20"/>
                <w:color w:val="auto"/>
              </w:rPr>
            </w:pPr>
            <w:r>
              <w:rPr>
                <w:rFonts w:ascii="Arial" w:cs="Arial" w:eastAsia="Arial" w:hAnsi="Arial"/>
                <w:sz w:val="16"/>
                <w:szCs w:val="16"/>
                <w:color w:val="auto"/>
                <w:w w:val="91"/>
              </w:rPr>
              <w:t>Consumer Services</w:t>
            </w:r>
          </w:p>
        </w:tc>
        <w:tc>
          <w:tcPr>
            <w:tcW w:w="1560" w:type="dxa"/>
            <w:vAlign w:val="bottom"/>
          </w:tcPr>
          <w:p>
            <w:pPr>
              <w:ind w:left="40"/>
              <w:spacing w:after="0"/>
              <w:rPr>
                <w:sz w:val="20"/>
                <w:szCs w:val="20"/>
                <w:color w:val="auto"/>
              </w:rPr>
            </w:pPr>
            <w:r>
              <w:rPr>
                <w:rFonts w:ascii="Arial" w:cs="Arial" w:eastAsia="Arial" w:hAnsi="Arial"/>
                <w:sz w:val="16"/>
                <w:szCs w:val="16"/>
                <w:color w:val="auto"/>
              </w:rPr>
              <w:t>Second Lien Term</w:t>
            </w: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560" w:type="dxa"/>
            <w:vAlign w:val="bottom"/>
          </w:tcPr>
          <w:p>
            <w:pPr>
              <w:ind w:left="40"/>
              <w:spacing w:after="0"/>
              <w:rPr>
                <w:sz w:val="20"/>
                <w:szCs w:val="20"/>
                <w:color w:val="auto"/>
              </w:rPr>
            </w:pPr>
            <w:r>
              <w:rPr>
                <w:rFonts w:ascii="Arial" w:cs="Arial" w:eastAsia="Arial" w:hAnsi="Arial"/>
                <w:sz w:val="16"/>
                <w:szCs w:val="16"/>
                <w:color w:val="auto"/>
              </w:rPr>
              <w:t>Loan 9.75% Cash,</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3420" w:type="dxa"/>
            <w:vAlign w:val="bottom"/>
          </w:tcPr>
          <w:p>
            <w:pPr>
              <w:spacing w:after="0"/>
              <w:rPr>
                <w:sz w:val="19"/>
                <w:szCs w:val="19"/>
                <w:color w:val="auto"/>
              </w:rPr>
            </w:pPr>
          </w:p>
        </w:tc>
        <w:tc>
          <w:tcPr>
            <w:tcW w:w="2240" w:type="dxa"/>
            <w:vAlign w:val="bottom"/>
          </w:tcPr>
          <w:p>
            <w:pPr>
              <w:spacing w:after="0"/>
              <w:rPr>
                <w:sz w:val="19"/>
                <w:szCs w:val="19"/>
                <w:color w:val="auto"/>
              </w:rPr>
            </w:pPr>
          </w:p>
        </w:tc>
        <w:tc>
          <w:tcPr>
            <w:tcW w:w="1560" w:type="dxa"/>
            <w:vAlign w:val="bottom"/>
          </w:tcPr>
          <w:p>
            <w:pPr>
              <w:ind w:left="40"/>
              <w:spacing w:after="0"/>
              <w:rPr>
                <w:sz w:val="20"/>
                <w:szCs w:val="20"/>
                <w:color w:val="auto"/>
              </w:rPr>
            </w:pPr>
            <w:r>
              <w:rPr>
                <w:rFonts w:ascii="Arial" w:cs="Arial" w:eastAsia="Arial" w:hAnsi="Arial"/>
                <w:sz w:val="16"/>
                <w:szCs w:val="16"/>
                <w:color w:val="auto"/>
              </w:rPr>
              <w:t>7/1/2020</w:t>
            </w:r>
          </w:p>
        </w:tc>
        <w:tc>
          <w:tcPr>
            <w:tcW w:w="36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5,000,000</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4,933,418</w:t>
            </w:r>
          </w:p>
        </w:tc>
        <w:tc>
          <w:tcPr>
            <w:tcW w:w="920" w:type="dxa"/>
            <w:vAlign w:val="bottom"/>
          </w:tcPr>
          <w:p>
            <w:pPr>
              <w:jc w:val="right"/>
              <w:spacing w:after="0"/>
              <w:rPr>
                <w:sz w:val="20"/>
                <w:szCs w:val="20"/>
                <w:color w:val="auto"/>
              </w:rPr>
            </w:pPr>
            <w:r>
              <w:rPr>
                <w:rFonts w:ascii="Arial" w:cs="Arial" w:eastAsia="Arial" w:hAnsi="Arial"/>
                <w:sz w:val="16"/>
                <w:szCs w:val="16"/>
                <w:color w:val="auto"/>
              </w:rPr>
              <w:t>5,047,000</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20" w:type="dxa"/>
            <w:vAlign w:val="bottom"/>
            <w:shd w:val="clear" w:color="auto" w:fill="CCEEFF"/>
          </w:tcPr>
          <w:p>
            <w:pPr>
              <w:spacing w:after="0"/>
              <w:rPr>
                <w:sz w:val="16"/>
                <w:szCs w:val="16"/>
                <w:color w:val="auto"/>
              </w:rPr>
            </w:pPr>
          </w:p>
        </w:tc>
        <w:tc>
          <w:tcPr>
            <w:tcW w:w="2240" w:type="dxa"/>
            <w:vAlign w:val="bottom"/>
            <w:shd w:val="clear" w:color="auto" w:fill="CCEEFF"/>
          </w:tcPr>
          <w:p>
            <w:pPr>
              <w:spacing w:after="0"/>
              <w:rPr>
                <w:sz w:val="16"/>
                <w:szCs w:val="16"/>
                <w:color w:val="auto"/>
              </w:rPr>
            </w:pPr>
          </w:p>
        </w:tc>
        <w:tc>
          <w:tcPr>
            <w:tcW w:w="15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Total Consumer</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560" w:type="dxa"/>
            <w:vAlign w:val="bottom"/>
            <w:shd w:val="clear" w:color="auto" w:fill="CCEEFF"/>
          </w:tcPr>
          <w:p>
            <w:pPr>
              <w:ind w:left="520"/>
              <w:spacing w:after="0"/>
              <w:rPr>
                <w:sz w:val="20"/>
                <w:szCs w:val="20"/>
                <w:color w:val="auto"/>
              </w:rPr>
            </w:pPr>
            <w:r>
              <w:rPr>
                <w:rFonts w:ascii="Arial" w:cs="Arial" w:eastAsia="Arial" w:hAnsi="Arial"/>
                <w:sz w:val="16"/>
                <w:szCs w:val="16"/>
                <w:color w:val="auto"/>
              </w:rPr>
              <w:t>Services</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9"/>
              </w:rPr>
              <w:t>16,657,067</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16,963,106</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14.2%</w:t>
            </w:r>
          </w:p>
        </w:tc>
        <w:tc>
          <w:tcPr>
            <w:tcW w:w="0" w:type="dxa"/>
            <w:vAlign w:val="bottom"/>
          </w:tcPr>
          <w:p>
            <w:pPr>
              <w:spacing w:after="0"/>
              <w:rPr>
                <w:sz w:val="1"/>
                <w:szCs w:val="1"/>
                <w:color w:val="auto"/>
              </w:rPr>
            </w:pPr>
          </w:p>
        </w:tc>
      </w:tr>
      <w:tr>
        <w:trPr>
          <w:trHeight w:val="200"/>
        </w:trPr>
        <w:tc>
          <w:tcPr>
            <w:tcW w:w="3440" w:type="dxa"/>
            <w:vAlign w:val="bottom"/>
            <w:gridSpan w:val="2"/>
          </w:tcPr>
          <w:p>
            <w:pPr>
              <w:spacing w:after="0"/>
              <w:rPr>
                <w:sz w:val="20"/>
                <w:szCs w:val="20"/>
                <w:color w:val="auto"/>
              </w:rPr>
            </w:pPr>
            <w:r>
              <w:rPr>
                <w:rFonts w:ascii="Arial" w:cs="Arial" w:eastAsia="Arial" w:hAnsi="Arial"/>
                <w:sz w:val="16"/>
                <w:szCs w:val="16"/>
                <w:color w:val="auto"/>
              </w:rPr>
              <w:t>M/C Acquisition Corp., L.L.C. (d), (g)</w:t>
            </w:r>
          </w:p>
        </w:tc>
        <w:tc>
          <w:tcPr>
            <w:tcW w:w="2240" w:type="dxa"/>
            <w:vAlign w:val="bottom"/>
          </w:tcPr>
          <w:p>
            <w:pPr>
              <w:ind w:left="940"/>
              <w:spacing w:after="0"/>
              <w:rPr>
                <w:sz w:val="20"/>
                <w:szCs w:val="20"/>
                <w:color w:val="auto"/>
              </w:rPr>
            </w:pPr>
            <w:r>
              <w:rPr>
                <w:rFonts w:ascii="Arial" w:cs="Arial" w:eastAsia="Arial" w:hAnsi="Arial"/>
                <w:sz w:val="16"/>
                <w:szCs w:val="16"/>
                <w:color w:val="auto"/>
              </w:rPr>
              <w:t>Education</w:t>
            </w:r>
          </w:p>
        </w:tc>
        <w:tc>
          <w:tcPr>
            <w:tcW w:w="1560" w:type="dxa"/>
            <w:vAlign w:val="bottom"/>
          </w:tcPr>
          <w:p>
            <w:pPr>
              <w:ind w:left="40"/>
              <w:spacing w:after="0"/>
              <w:rPr>
                <w:sz w:val="20"/>
                <w:szCs w:val="20"/>
                <w:color w:val="auto"/>
              </w:rPr>
            </w:pPr>
            <w:r>
              <w:rPr>
                <w:rFonts w:ascii="Arial" w:cs="Arial" w:eastAsia="Arial" w:hAnsi="Arial"/>
                <w:sz w:val="16"/>
                <w:szCs w:val="16"/>
                <w:color w:val="auto"/>
              </w:rPr>
              <w:t>Class A Common</w:t>
            </w:r>
          </w:p>
        </w:tc>
        <w:tc>
          <w:tcPr>
            <w:tcW w:w="3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2240" w:type="dxa"/>
            <w:vAlign w:val="bottom"/>
          </w:tcPr>
          <w:p>
            <w:pPr>
              <w:spacing w:after="0"/>
              <w:rPr>
                <w:sz w:val="17"/>
                <w:szCs w:val="17"/>
                <w:color w:val="auto"/>
              </w:rPr>
            </w:pPr>
          </w:p>
        </w:tc>
        <w:tc>
          <w:tcPr>
            <w:tcW w:w="1560" w:type="dxa"/>
            <w:vAlign w:val="bottom"/>
          </w:tcPr>
          <w:p>
            <w:pPr>
              <w:ind w:left="40"/>
              <w:spacing w:after="0"/>
              <w:rPr>
                <w:sz w:val="20"/>
                <w:szCs w:val="20"/>
                <w:color w:val="auto"/>
              </w:rPr>
            </w:pPr>
            <w:r>
              <w:rPr>
                <w:rFonts w:ascii="Arial" w:cs="Arial" w:eastAsia="Arial" w:hAnsi="Arial"/>
                <w:sz w:val="16"/>
                <w:szCs w:val="16"/>
                <w:color w:val="auto"/>
              </w:rPr>
              <w:t>Stock</w:t>
            </w:r>
          </w:p>
        </w:tc>
        <w:tc>
          <w:tcPr>
            <w:tcW w:w="36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rPr>
              <w:t>544,761</w:t>
            </w:r>
          </w:p>
        </w:tc>
        <w:tc>
          <w:tcPr>
            <w:tcW w:w="960" w:type="dxa"/>
            <w:vAlign w:val="bottom"/>
            <w:gridSpan w:val="2"/>
          </w:tcPr>
          <w:p>
            <w:pPr>
              <w:jc w:val="right"/>
              <w:ind w:right="140"/>
              <w:spacing w:after="0"/>
              <w:rPr>
                <w:sz w:val="20"/>
                <w:szCs w:val="20"/>
                <w:color w:val="auto"/>
              </w:rPr>
            </w:pPr>
            <w:r>
              <w:rPr>
                <w:rFonts w:ascii="Arial" w:cs="Arial" w:eastAsia="Arial" w:hAnsi="Arial"/>
                <w:sz w:val="16"/>
                <w:szCs w:val="16"/>
                <w:color w:val="auto"/>
              </w:rPr>
              <w:t>30,241</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gridSpan w:val="3"/>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M/C Acquisition Corp., L.L.C. (d)</w:t>
            </w:r>
          </w:p>
        </w:tc>
        <w:tc>
          <w:tcPr>
            <w:tcW w:w="2240" w:type="dxa"/>
            <w:vAlign w:val="bottom"/>
            <w:shd w:val="clear" w:color="auto" w:fill="CCEEFF"/>
          </w:tcPr>
          <w:p>
            <w:pPr>
              <w:ind w:left="940"/>
              <w:spacing w:after="0"/>
              <w:rPr>
                <w:sz w:val="20"/>
                <w:szCs w:val="20"/>
                <w:color w:val="auto"/>
              </w:rPr>
            </w:pPr>
            <w:r>
              <w:rPr>
                <w:rFonts w:ascii="Arial" w:cs="Arial" w:eastAsia="Arial" w:hAnsi="Arial"/>
                <w:sz w:val="16"/>
                <w:szCs w:val="16"/>
                <w:color w:val="auto"/>
              </w:rPr>
              <w:t>Education</w:t>
            </w:r>
          </w:p>
        </w:tc>
        <w:tc>
          <w:tcPr>
            <w:tcW w:w="1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First Lien Term Loan</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1.00% Cash, 3/13/14</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2,444,027</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1,295,285</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100,597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560" w:type="dxa"/>
            <w:vAlign w:val="bottom"/>
            <w:vMerge w:val="restart"/>
          </w:tcPr>
          <w:p>
            <w:pPr>
              <w:ind w:left="360"/>
              <w:spacing w:after="0"/>
              <w:rPr>
                <w:sz w:val="20"/>
                <w:szCs w:val="20"/>
                <w:color w:val="auto"/>
              </w:rPr>
            </w:pPr>
            <w:r>
              <w:rPr>
                <w:rFonts w:ascii="Arial" w:cs="Arial" w:eastAsia="Arial" w:hAnsi="Arial"/>
                <w:sz w:val="16"/>
                <w:szCs w:val="16"/>
                <w:color w:val="auto"/>
              </w:rPr>
              <w:t>Total Education</w:t>
            </w: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1,325,526</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100,597</w:t>
            </w: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Group Dekko, Inc. (d)</w:t>
            </w:r>
          </w:p>
        </w:tc>
        <w:tc>
          <w:tcPr>
            <w:tcW w:w="2240" w:type="dxa"/>
            <w:vAlign w:val="bottom"/>
            <w:shd w:val="clear" w:color="auto" w:fill="CCEEFF"/>
          </w:tcPr>
          <w:p>
            <w:pPr>
              <w:ind w:left="940"/>
              <w:spacing w:after="0"/>
              <w:rPr>
                <w:sz w:val="20"/>
                <w:szCs w:val="20"/>
                <w:color w:val="auto"/>
              </w:rPr>
            </w:pPr>
            <w:r>
              <w:rPr>
                <w:rFonts w:ascii="Arial" w:cs="Arial" w:eastAsia="Arial" w:hAnsi="Arial"/>
                <w:sz w:val="16"/>
                <w:szCs w:val="16"/>
                <w:color w:val="auto"/>
              </w:rPr>
              <w:t>Electronics</w:t>
            </w:r>
          </w:p>
        </w:tc>
        <w:tc>
          <w:tcPr>
            <w:tcW w:w="1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Second Lien Term</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560" w:type="dxa"/>
            <w:vAlign w:val="bottom"/>
            <w:shd w:val="clear" w:color="auto" w:fill="CCEEFF"/>
          </w:tcPr>
          <w:p>
            <w:pPr>
              <w:ind w:left="40"/>
              <w:spacing w:after="0"/>
              <w:rPr>
                <w:sz w:val="20"/>
                <w:szCs w:val="20"/>
                <w:color w:val="auto"/>
              </w:rPr>
            </w:pPr>
            <w:r>
              <w:rPr>
                <w:rFonts w:ascii="Arial" w:cs="Arial" w:eastAsia="Arial" w:hAnsi="Arial"/>
                <w:sz w:val="16"/>
                <w:szCs w:val="16"/>
                <w:color w:val="auto"/>
                <w:w w:val="94"/>
              </w:rPr>
              <w:t>Loan 11.00% (10.00%</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17"/>
                <w:szCs w:val="17"/>
                <w:color w:val="auto"/>
              </w:rPr>
            </w:pPr>
          </w:p>
        </w:tc>
        <w:tc>
          <w:tcPr>
            <w:tcW w:w="2240" w:type="dxa"/>
            <w:vAlign w:val="bottom"/>
            <w:shd w:val="clear" w:color="auto" w:fill="CCEEFF"/>
          </w:tcPr>
          <w:p>
            <w:pPr>
              <w:spacing w:after="0"/>
              <w:rPr>
                <w:sz w:val="17"/>
                <w:szCs w:val="17"/>
                <w:color w:val="auto"/>
              </w:rPr>
            </w:pPr>
          </w:p>
        </w:tc>
        <w:tc>
          <w:tcPr>
            <w:tcW w:w="1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Cash/1.00% PIK),</w:t>
            </w:r>
          </w:p>
        </w:tc>
        <w:tc>
          <w:tcPr>
            <w:tcW w:w="3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5/1/2016</w:t>
            </w: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6,935,934</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6,935,934</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6,554,458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560" w:type="dxa"/>
            <w:vAlign w:val="bottom"/>
            <w:vMerge w:val="restart"/>
          </w:tcPr>
          <w:p>
            <w:pPr>
              <w:ind w:left="360"/>
              <w:spacing w:after="0"/>
              <w:rPr>
                <w:sz w:val="20"/>
                <w:szCs w:val="20"/>
                <w:color w:val="auto"/>
              </w:rPr>
            </w:pPr>
            <w:r>
              <w:rPr>
                <w:rFonts w:ascii="Arial" w:cs="Arial" w:eastAsia="Arial" w:hAnsi="Arial"/>
                <w:sz w:val="16"/>
                <w:szCs w:val="16"/>
                <w:color w:val="auto"/>
                <w:w w:val="99"/>
              </w:rPr>
              <w:t>Total Electronics</w:t>
            </w:r>
          </w:p>
        </w:tc>
        <w:tc>
          <w:tcPr>
            <w:tcW w:w="3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560" w:type="dxa"/>
            <w:vAlign w:val="bottom"/>
            <w:vMerge w:val="continue"/>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6,935,934</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6,554,458</w:t>
            </w:r>
          </w:p>
        </w:tc>
        <w:tc>
          <w:tcPr>
            <w:tcW w:w="140" w:type="dxa"/>
            <w:vAlign w:val="bottom"/>
          </w:tcPr>
          <w:p>
            <w:pPr>
              <w:spacing w:after="0"/>
              <w:rPr>
                <w:sz w:val="18"/>
                <w:szCs w:val="18"/>
                <w:color w:val="auto"/>
              </w:rPr>
            </w:pPr>
          </w:p>
        </w:tc>
        <w:tc>
          <w:tcPr>
            <w:tcW w:w="820" w:type="dxa"/>
            <w:vAlign w:val="bottom"/>
            <w:gridSpan w:val="2"/>
          </w:tcPr>
          <w:p>
            <w:pPr>
              <w:jc w:val="right"/>
              <w:ind w:right="4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6"/>
                <w:szCs w:val="16"/>
                <w:color w:val="auto"/>
              </w:rPr>
              <w:t>USS Parent Holding Corp. (d), (g)</w:t>
            </w:r>
          </w:p>
        </w:tc>
        <w:tc>
          <w:tcPr>
            <w:tcW w:w="2240" w:type="dxa"/>
            <w:vAlign w:val="bottom"/>
            <w:shd w:val="clear" w:color="auto" w:fill="CCEEFF"/>
          </w:tcPr>
          <w:p>
            <w:pPr>
              <w:ind w:left="940"/>
              <w:spacing w:after="0"/>
              <w:rPr>
                <w:sz w:val="20"/>
                <w:szCs w:val="20"/>
                <w:color w:val="auto"/>
              </w:rPr>
            </w:pPr>
            <w:r>
              <w:rPr>
                <w:rFonts w:ascii="Arial" w:cs="Arial" w:eastAsia="Arial" w:hAnsi="Arial"/>
                <w:sz w:val="16"/>
                <w:szCs w:val="16"/>
                <w:color w:val="auto"/>
              </w:rPr>
              <w:t>Environmental</w:t>
            </w:r>
          </w:p>
        </w:tc>
        <w:tc>
          <w:tcPr>
            <w:tcW w:w="1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Non Voting Common</w:t>
            </w:r>
          </w:p>
        </w:tc>
        <w:tc>
          <w:tcPr>
            <w:tcW w:w="3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20" w:type="dxa"/>
            <w:vAlign w:val="bottom"/>
            <w:tcBorders>
              <w:top w:val="single" w:sz="8" w:color="auto"/>
            </w:tcBorders>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18"/>
                <w:szCs w:val="18"/>
                <w:color w:val="auto"/>
              </w:rPr>
            </w:pPr>
          </w:p>
        </w:tc>
        <w:tc>
          <w:tcPr>
            <w:tcW w:w="2240" w:type="dxa"/>
            <w:vAlign w:val="bottom"/>
            <w:shd w:val="clear" w:color="auto" w:fill="CCEEFF"/>
          </w:tcPr>
          <w:p>
            <w:pPr>
              <w:spacing w:after="0"/>
              <w:rPr>
                <w:sz w:val="18"/>
                <w:szCs w:val="18"/>
                <w:color w:val="auto"/>
              </w:rPr>
            </w:pPr>
          </w:p>
        </w:tc>
        <w:tc>
          <w:tcPr>
            <w:tcW w:w="1560" w:type="dxa"/>
            <w:vAlign w:val="bottom"/>
            <w:shd w:val="clear" w:color="auto" w:fill="CCEEFF"/>
          </w:tcPr>
          <w:p>
            <w:pPr>
              <w:ind w:left="40"/>
              <w:spacing w:after="0"/>
              <w:rPr>
                <w:sz w:val="20"/>
                <w:szCs w:val="20"/>
                <w:color w:val="auto"/>
              </w:rPr>
            </w:pPr>
            <w:r>
              <w:rPr>
                <w:rFonts w:ascii="Arial" w:cs="Arial" w:eastAsia="Arial" w:hAnsi="Arial"/>
                <w:sz w:val="16"/>
                <w:szCs w:val="16"/>
                <w:color w:val="auto"/>
              </w:rPr>
              <w:t>Stock</w:t>
            </w:r>
          </w:p>
        </w:tc>
        <w:tc>
          <w:tcPr>
            <w:tcW w:w="36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765</w:t>
            </w: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133,002</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244,698</w:t>
            </w:r>
          </w:p>
        </w:tc>
        <w:tc>
          <w:tcPr>
            <w:tcW w:w="96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40"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0" w:type="dxa"/>
            <w:vAlign w:val="bottom"/>
          </w:tcPr>
          <w:p>
            <w:pPr>
              <w:spacing w:after="0"/>
              <w:rPr>
                <w:sz w:val="16"/>
                <w:szCs w:val="16"/>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USS Parent Holding</w:t>
            </w:r>
          </w:p>
        </w:tc>
        <w:tc>
          <w:tcPr>
            <w:tcW w:w="1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Environmental</w:t>
            </w: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Voting Common Stock</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Corp. (d), (g)</w:t>
            </w:r>
          </w:p>
        </w:tc>
        <w:tc>
          <w:tcPr>
            <w:tcW w:w="19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17,396</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3,025,798</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5,566,864</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80" w:type="dxa"/>
            <w:vAlign w:val="bottom"/>
            <w:vMerge w:val="restart"/>
          </w:tcPr>
          <w:p>
            <w:pPr>
              <w:ind w:left="460"/>
              <w:spacing w:after="0"/>
              <w:rPr>
                <w:sz w:val="20"/>
                <w:szCs w:val="20"/>
                <w:color w:val="auto"/>
              </w:rPr>
            </w:pPr>
            <w:r>
              <w:rPr>
                <w:rFonts w:ascii="Arial" w:cs="Arial" w:eastAsia="Arial" w:hAnsi="Arial"/>
                <w:sz w:val="16"/>
                <w:szCs w:val="16"/>
                <w:color w:val="auto"/>
              </w:rPr>
              <w:t>Total Environmental</w:t>
            </w: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2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3,158,800</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5,811,562</w:t>
            </w:r>
          </w:p>
        </w:tc>
        <w:tc>
          <w:tcPr>
            <w:tcW w:w="1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6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DS Waters of America, Inc. (d)</w:t>
            </w:r>
          </w:p>
        </w:tc>
        <w:tc>
          <w:tcPr>
            <w:tcW w:w="1960" w:type="dxa"/>
            <w:vAlign w:val="bottom"/>
            <w:shd w:val="clear" w:color="auto" w:fill="CCEEFF"/>
          </w:tcPr>
          <w:p>
            <w:pPr>
              <w:ind w:left="540"/>
              <w:spacing w:after="0"/>
              <w:rPr>
                <w:sz w:val="20"/>
                <w:szCs w:val="20"/>
                <w:color w:val="auto"/>
              </w:rPr>
            </w:pPr>
            <w:r>
              <w:rPr>
                <w:rFonts w:ascii="Arial" w:cs="Arial" w:eastAsia="Arial" w:hAnsi="Arial"/>
                <w:sz w:val="16"/>
                <w:szCs w:val="16"/>
                <w:color w:val="auto"/>
                <w:w w:val="99"/>
              </w:rPr>
              <w:t>Food and Beverage</w:t>
            </w: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First Lien Term Loan 5.25% Cash, 8/30/2020</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2,481,250</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2,459,770</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2,487,453</w:t>
            </w: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TB Corp. (d)</w:t>
            </w:r>
          </w:p>
        </w:tc>
        <w:tc>
          <w:tcPr>
            <w:tcW w:w="1960" w:type="dxa"/>
            <w:vAlign w:val="bottom"/>
          </w:tcPr>
          <w:p>
            <w:pPr>
              <w:ind w:left="540"/>
              <w:spacing w:after="0"/>
              <w:rPr>
                <w:sz w:val="20"/>
                <w:szCs w:val="20"/>
                <w:color w:val="auto"/>
              </w:rPr>
            </w:pPr>
            <w:r>
              <w:rPr>
                <w:rFonts w:ascii="Arial" w:cs="Arial" w:eastAsia="Arial" w:hAnsi="Arial"/>
                <w:sz w:val="16"/>
                <w:szCs w:val="16"/>
                <w:color w:val="auto"/>
                <w:w w:val="99"/>
              </w:rPr>
              <w:t>Food and Beverage</w:t>
            </w:r>
          </w:p>
        </w:tc>
        <w:tc>
          <w:tcPr>
            <w:tcW w:w="3280" w:type="dxa"/>
            <w:vAlign w:val="bottom"/>
          </w:tcPr>
          <w:p>
            <w:pPr>
              <w:ind w:left="120"/>
              <w:spacing w:after="0"/>
              <w:rPr>
                <w:sz w:val="20"/>
                <w:szCs w:val="20"/>
                <w:color w:val="auto"/>
              </w:rPr>
            </w:pPr>
            <w:r>
              <w:rPr>
                <w:rFonts w:ascii="Arial" w:cs="Arial" w:eastAsia="Arial" w:hAnsi="Arial"/>
                <w:sz w:val="16"/>
                <w:szCs w:val="16"/>
                <w:color w:val="auto"/>
                <w:w w:val="98"/>
              </w:rPr>
              <w:t>First Lien Term Loan 5.75% Cash, 6/19/2018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5,076,203</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5,064,962</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5,076,203</w:t>
            </w: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TB Corp. (d)</w:t>
            </w:r>
          </w:p>
        </w:tc>
        <w:tc>
          <w:tcPr>
            <w:tcW w:w="1960" w:type="dxa"/>
            <w:vAlign w:val="bottom"/>
            <w:shd w:val="clear" w:color="auto" w:fill="CCEEFF"/>
          </w:tcPr>
          <w:p>
            <w:pPr>
              <w:ind w:left="540"/>
              <w:spacing w:after="0"/>
              <w:rPr>
                <w:sz w:val="20"/>
                <w:szCs w:val="20"/>
                <w:color w:val="auto"/>
              </w:rPr>
            </w:pPr>
            <w:r>
              <w:rPr>
                <w:rFonts w:ascii="Arial" w:cs="Arial" w:eastAsia="Arial" w:hAnsi="Arial"/>
                <w:sz w:val="16"/>
                <w:szCs w:val="16"/>
                <w:color w:val="auto"/>
                <w:w w:val="99"/>
              </w:rPr>
              <w:t>Food and Beverage</w:t>
            </w: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Unsecured Note 13.50% (12.00% Cash/1.50%</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PIK), 12/20/2018</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2,546,121</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2,517,122</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2,546,121</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TM Restaurant Group L.L.C.</w:t>
            </w:r>
          </w:p>
        </w:tc>
        <w:tc>
          <w:tcPr>
            <w:tcW w:w="1960" w:type="dxa"/>
            <w:vAlign w:val="bottom"/>
          </w:tcPr>
          <w:p>
            <w:pPr>
              <w:ind w:left="540"/>
              <w:spacing w:after="0"/>
              <w:rPr>
                <w:sz w:val="20"/>
                <w:szCs w:val="20"/>
                <w:color w:val="auto"/>
              </w:rPr>
            </w:pPr>
            <w:r>
              <w:rPr>
                <w:rFonts w:ascii="Arial" w:cs="Arial" w:eastAsia="Arial" w:hAnsi="Arial"/>
                <w:sz w:val="16"/>
                <w:szCs w:val="16"/>
                <w:color w:val="auto"/>
                <w:w w:val="99"/>
              </w:rPr>
              <w:t>Food and Beverage</w:t>
            </w:r>
          </w:p>
        </w:tc>
        <w:tc>
          <w:tcPr>
            <w:tcW w:w="3280" w:type="dxa"/>
            <w:vAlign w:val="bottom"/>
          </w:tcPr>
          <w:p>
            <w:pPr>
              <w:ind w:left="120"/>
              <w:spacing w:after="0"/>
              <w:rPr>
                <w:sz w:val="20"/>
                <w:szCs w:val="20"/>
                <w:color w:val="auto"/>
              </w:rPr>
            </w:pPr>
            <w:r>
              <w:rPr>
                <w:rFonts w:ascii="Arial" w:cs="Arial" w:eastAsia="Arial" w:hAnsi="Arial"/>
                <w:sz w:val="16"/>
                <w:szCs w:val="16"/>
                <w:color w:val="auto"/>
                <w:w w:val="98"/>
              </w:rPr>
              <w:t>First Lien Term Loan 7.75% Cash, 7/16/2017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2,808,190</w:t>
            </w:r>
          </w:p>
        </w:tc>
        <w:tc>
          <w:tcPr>
            <w:tcW w:w="780" w:type="dxa"/>
            <w:vAlign w:val="bottom"/>
          </w:tcPr>
          <w:p>
            <w:pPr>
              <w:jc w:val="right"/>
              <w:spacing w:after="0"/>
              <w:rPr>
                <w:sz w:val="20"/>
                <w:szCs w:val="20"/>
                <w:color w:val="auto"/>
              </w:rPr>
            </w:pPr>
            <w:r>
              <w:rPr>
                <w:rFonts w:ascii="Arial" w:cs="Arial" w:eastAsia="Arial" w:hAnsi="Arial"/>
                <w:sz w:val="16"/>
                <w:szCs w:val="16"/>
                <w:color w:val="auto"/>
              </w:rPr>
              <w:t>2,808,190</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2,802,855</w:t>
            </w:r>
          </w:p>
        </w:tc>
        <w:tc>
          <w:tcPr>
            <w:tcW w:w="1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Food and Beverage</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12,850,044</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12,912,632</w:t>
            </w: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6"/>
              </w:rPr>
              <w:t>10.8%</w:t>
            </w:r>
          </w:p>
        </w:tc>
        <w:tc>
          <w:tcPr>
            <w:tcW w:w="0" w:type="dxa"/>
            <w:vAlign w:val="bottom"/>
          </w:tcPr>
          <w:p>
            <w:pPr>
              <w:spacing w:after="0"/>
              <w:rPr>
                <w:sz w:val="1"/>
                <w:szCs w:val="1"/>
                <w:color w:val="auto"/>
              </w:rPr>
            </w:pPr>
          </w:p>
        </w:tc>
      </w:tr>
      <w:tr>
        <w:trPr>
          <w:trHeight w:val="200"/>
        </w:trPr>
        <w:tc>
          <w:tcPr>
            <w:tcW w:w="2660" w:type="dxa"/>
            <w:vAlign w:val="bottom"/>
            <w:gridSpan w:val="2"/>
          </w:tcPr>
          <w:p>
            <w:pPr>
              <w:spacing w:after="0"/>
              <w:rPr>
                <w:sz w:val="20"/>
                <w:szCs w:val="20"/>
                <w:color w:val="auto"/>
              </w:rPr>
            </w:pPr>
            <w:r>
              <w:rPr>
                <w:rFonts w:ascii="Arial" w:cs="Arial" w:eastAsia="Arial" w:hAnsi="Arial"/>
                <w:sz w:val="16"/>
                <w:szCs w:val="16"/>
                <w:color w:val="auto"/>
              </w:rPr>
              <w:t>Bristol Hospice, LLC</w:t>
            </w:r>
          </w:p>
        </w:tc>
        <w:tc>
          <w:tcPr>
            <w:tcW w:w="1960" w:type="dxa"/>
            <w:vAlign w:val="bottom"/>
          </w:tcPr>
          <w:p>
            <w:pPr>
              <w:ind w:left="540"/>
              <w:spacing w:after="0"/>
              <w:rPr>
                <w:sz w:val="20"/>
                <w:szCs w:val="20"/>
                <w:color w:val="auto"/>
              </w:rPr>
            </w:pPr>
            <w:r>
              <w:rPr>
                <w:rFonts w:ascii="Arial" w:cs="Arial" w:eastAsia="Arial" w:hAnsi="Arial"/>
                <w:sz w:val="16"/>
                <w:szCs w:val="16"/>
                <w:color w:val="auto"/>
                <w:w w:val="97"/>
              </w:rPr>
              <w:t>Healthcare Services</w:t>
            </w:r>
          </w:p>
        </w:tc>
        <w:tc>
          <w:tcPr>
            <w:tcW w:w="3280" w:type="dxa"/>
            <w:vAlign w:val="bottom"/>
          </w:tcPr>
          <w:p>
            <w:pPr>
              <w:ind w:left="120"/>
              <w:spacing w:after="0"/>
              <w:rPr>
                <w:sz w:val="20"/>
                <w:szCs w:val="20"/>
                <w:color w:val="auto"/>
              </w:rPr>
            </w:pPr>
            <w:r>
              <w:rPr>
                <w:rFonts w:ascii="Arial" w:cs="Arial" w:eastAsia="Arial" w:hAnsi="Arial"/>
                <w:sz w:val="16"/>
                <w:szCs w:val="16"/>
                <w:color w:val="auto"/>
              </w:rPr>
              <w:t>Senior Secured Note 11.00%(10.00%</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280" w:type="dxa"/>
            <w:vAlign w:val="bottom"/>
          </w:tcPr>
          <w:p>
            <w:pPr>
              <w:ind w:left="120"/>
              <w:spacing w:after="0"/>
              <w:rPr>
                <w:sz w:val="20"/>
                <w:szCs w:val="20"/>
                <w:color w:val="auto"/>
              </w:rPr>
            </w:pPr>
            <w:r>
              <w:rPr>
                <w:rFonts w:ascii="Arial" w:cs="Arial" w:eastAsia="Arial" w:hAnsi="Arial"/>
                <w:sz w:val="16"/>
                <w:szCs w:val="16"/>
                <w:color w:val="auto"/>
              </w:rPr>
              <w:t>Cash/1.00% PIK), 11/29/2018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5,486,532</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5,390,528</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5,486,532</w:t>
            </w: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IDOC, LLC</w:t>
            </w:r>
          </w:p>
        </w:tc>
        <w:tc>
          <w:tcPr>
            <w:tcW w:w="1960" w:type="dxa"/>
            <w:vAlign w:val="bottom"/>
            <w:shd w:val="clear" w:color="auto" w:fill="CCEEFF"/>
          </w:tcPr>
          <w:p>
            <w:pPr>
              <w:ind w:left="540"/>
              <w:spacing w:after="0"/>
              <w:rPr>
                <w:sz w:val="20"/>
                <w:szCs w:val="20"/>
                <w:color w:val="auto"/>
              </w:rPr>
            </w:pPr>
            <w:r>
              <w:rPr>
                <w:rFonts w:ascii="Arial" w:cs="Arial" w:eastAsia="Arial" w:hAnsi="Arial"/>
                <w:sz w:val="16"/>
                <w:szCs w:val="16"/>
                <w:color w:val="auto"/>
                <w:w w:val="97"/>
              </w:rPr>
              <w:t>Healthcare Services</w:t>
            </w: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First Lien Term Loan 9.75% Cash, 8/2/2017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13,831,583</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4"/>
              </w:rPr>
              <w:t>13,831,583</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4"/>
              </w:rPr>
              <w:t>13,831,583</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6"/>
              </w:rPr>
              <w:t>11.5%</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Oceans Acquisition, Inc.</w:t>
            </w:r>
          </w:p>
        </w:tc>
        <w:tc>
          <w:tcPr>
            <w:tcW w:w="1960" w:type="dxa"/>
            <w:vAlign w:val="bottom"/>
          </w:tcPr>
          <w:p>
            <w:pPr>
              <w:ind w:left="540"/>
              <w:spacing w:after="0"/>
              <w:rPr>
                <w:sz w:val="20"/>
                <w:szCs w:val="20"/>
                <w:color w:val="auto"/>
              </w:rPr>
            </w:pPr>
            <w:r>
              <w:rPr>
                <w:rFonts w:ascii="Arial" w:cs="Arial" w:eastAsia="Arial" w:hAnsi="Arial"/>
                <w:sz w:val="16"/>
                <w:szCs w:val="16"/>
                <w:color w:val="auto"/>
                <w:w w:val="97"/>
              </w:rPr>
              <w:t>Healthcare Services</w:t>
            </w:r>
          </w:p>
        </w:tc>
        <w:tc>
          <w:tcPr>
            <w:tcW w:w="3280" w:type="dxa"/>
            <w:vAlign w:val="bottom"/>
          </w:tcPr>
          <w:p>
            <w:pPr>
              <w:ind w:left="120"/>
              <w:spacing w:after="0"/>
              <w:rPr>
                <w:sz w:val="20"/>
                <w:szCs w:val="20"/>
                <w:color w:val="auto"/>
              </w:rPr>
            </w:pPr>
            <w:r>
              <w:rPr>
                <w:rFonts w:ascii="Arial" w:cs="Arial" w:eastAsia="Arial" w:hAnsi="Arial"/>
                <w:sz w:val="16"/>
                <w:szCs w:val="16"/>
                <w:color w:val="auto"/>
              </w:rPr>
              <w:t>First Lien Term A Loan 10.75% Cash,</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280" w:type="dxa"/>
            <w:vAlign w:val="bottom"/>
          </w:tcPr>
          <w:p>
            <w:pPr>
              <w:ind w:left="120"/>
              <w:spacing w:after="0"/>
              <w:rPr>
                <w:sz w:val="20"/>
                <w:szCs w:val="20"/>
                <w:color w:val="auto"/>
              </w:rPr>
            </w:pPr>
            <w:r>
              <w:rPr>
                <w:rFonts w:ascii="Arial" w:cs="Arial" w:eastAsia="Arial" w:hAnsi="Arial"/>
                <w:sz w:val="16"/>
                <w:szCs w:val="16"/>
                <w:color w:val="auto"/>
              </w:rPr>
              <w:t>12/27/2017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6,246,226</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6,154,475</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6,121,301</w:t>
            </w: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Oceans Acquisition, Inc.</w:t>
            </w:r>
          </w:p>
        </w:tc>
        <w:tc>
          <w:tcPr>
            <w:tcW w:w="1960" w:type="dxa"/>
            <w:vAlign w:val="bottom"/>
            <w:shd w:val="clear" w:color="auto" w:fill="CCEEFF"/>
          </w:tcPr>
          <w:p>
            <w:pPr>
              <w:ind w:left="540"/>
              <w:spacing w:after="0"/>
              <w:rPr>
                <w:sz w:val="20"/>
                <w:szCs w:val="20"/>
                <w:color w:val="auto"/>
              </w:rPr>
            </w:pPr>
            <w:r>
              <w:rPr>
                <w:rFonts w:ascii="Arial" w:cs="Arial" w:eastAsia="Arial" w:hAnsi="Arial"/>
                <w:sz w:val="16"/>
                <w:szCs w:val="16"/>
                <w:color w:val="auto"/>
                <w:w w:val="97"/>
              </w:rPr>
              <w:t>Healthcare Services</w:t>
            </w: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First Lien Term B Loan 10.75% Cash,</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12/27/2017</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1,000,000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991,202</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980,000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Roscoe Medical, Inc. (d), (g)</w:t>
            </w:r>
          </w:p>
        </w:tc>
        <w:tc>
          <w:tcPr>
            <w:tcW w:w="1960" w:type="dxa"/>
            <w:vAlign w:val="bottom"/>
          </w:tcPr>
          <w:p>
            <w:pPr>
              <w:ind w:left="540"/>
              <w:spacing w:after="0"/>
              <w:rPr>
                <w:sz w:val="20"/>
                <w:szCs w:val="20"/>
                <w:color w:val="auto"/>
              </w:rPr>
            </w:pPr>
            <w:r>
              <w:rPr>
                <w:rFonts w:ascii="Arial" w:cs="Arial" w:eastAsia="Arial" w:hAnsi="Arial"/>
                <w:sz w:val="16"/>
                <w:szCs w:val="16"/>
                <w:color w:val="auto"/>
                <w:w w:val="97"/>
              </w:rPr>
              <w:t>Healthcare Services</w:t>
            </w:r>
          </w:p>
        </w:tc>
        <w:tc>
          <w:tcPr>
            <w:tcW w:w="3280" w:type="dxa"/>
            <w:vAlign w:val="bottom"/>
          </w:tcPr>
          <w:p>
            <w:pPr>
              <w:ind w:left="12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17"/>
                <w:szCs w:val="17"/>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5,000</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500,000</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446,800</w:t>
            </w: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0.4%</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Roscoe Medical, Inc.</w:t>
            </w:r>
          </w:p>
        </w:tc>
        <w:tc>
          <w:tcPr>
            <w:tcW w:w="1960" w:type="dxa"/>
            <w:vAlign w:val="bottom"/>
            <w:shd w:val="clear" w:color="auto" w:fill="CCEEFF"/>
          </w:tcPr>
          <w:p>
            <w:pPr>
              <w:ind w:left="540"/>
              <w:spacing w:after="0"/>
              <w:rPr>
                <w:sz w:val="20"/>
                <w:szCs w:val="20"/>
                <w:color w:val="auto"/>
              </w:rPr>
            </w:pPr>
            <w:r>
              <w:rPr>
                <w:rFonts w:ascii="Arial" w:cs="Arial" w:eastAsia="Arial" w:hAnsi="Arial"/>
                <w:sz w:val="16"/>
                <w:szCs w:val="16"/>
                <w:color w:val="auto"/>
                <w:w w:val="97"/>
              </w:rPr>
              <w:t>Healthcare Services</w:t>
            </w: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Second Lien Term Loan 11.25% Cash,</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9/26/2019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4,200,000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4,123,141</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4,160,100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Smile Brands Group Inc. (d)</w:t>
            </w:r>
          </w:p>
        </w:tc>
        <w:tc>
          <w:tcPr>
            <w:tcW w:w="1960" w:type="dxa"/>
            <w:vAlign w:val="bottom"/>
          </w:tcPr>
          <w:p>
            <w:pPr>
              <w:ind w:left="540"/>
              <w:spacing w:after="0"/>
              <w:rPr>
                <w:sz w:val="20"/>
                <w:szCs w:val="20"/>
                <w:color w:val="auto"/>
              </w:rPr>
            </w:pPr>
            <w:r>
              <w:rPr>
                <w:rFonts w:ascii="Arial" w:cs="Arial" w:eastAsia="Arial" w:hAnsi="Arial"/>
                <w:sz w:val="16"/>
                <w:szCs w:val="16"/>
                <w:color w:val="auto"/>
                <w:w w:val="97"/>
              </w:rPr>
              <w:t>Healthcare Services</w:t>
            </w:r>
          </w:p>
        </w:tc>
        <w:tc>
          <w:tcPr>
            <w:tcW w:w="3280" w:type="dxa"/>
            <w:vAlign w:val="bottom"/>
          </w:tcPr>
          <w:p>
            <w:pPr>
              <w:ind w:left="120"/>
              <w:spacing w:after="0"/>
              <w:rPr>
                <w:sz w:val="20"/>
                <w:szCs w:val="20"/>
                <w:color w:val="auto"/>
              </w:rPr>
            </w:pPr>
            <w:r>
              <w:rPr>
                <w:rFonts w:ascii="Arial" w:cs="Arial" w:eastAsia="Arial" w:hAnsi="Arial"/>
                <w:sz w:val="16"/>
                <w:szCs w:val="16"/>
                <w:color w:val="auto"/>
                <w:w w:val="98"/>
              </w:rPr>
              <w:t>First Lien Term Loan 7.50% Cash, 8/16/2019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4,466,250</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4,390,964</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4,354,594</w:t>
            </w: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Surgical Specialties Corporation</w:t>
            </w:r>
          </w:p>
        </w:tc>
        <w:tc>
          <w:tcPr>
            <w:tcW w:w="1960" w:type="dxa"/>
            <w:vAlign w:val="bottom"/>
            <w:shd w:val="clear" w:color="auto" w:fill="CCEEFF"/>
          </w:tcPr>
          <w:p>
            <w:pPr>
              <w:ind w:left="540"/>
              <w:spacing w:after="0"/>
              <w:rPr>
                <w:sz w:val="20"/>
                <w:szCs w:val="20"/>
                <w:color w:val="auto"/>
              </w:rPr>
            </w:pPr>
            <w:r>
              <w:rPr>
                <w:rFonts w:ascii="Arial" w:cs="Arial" w:eastAsia="Arial" w:hAnsi="Arial"/>
                <w:sz w:val="16"/>
                <w:szCs w:val="16"/>
                <w:color w:val="auto"/>
                <w:w w:val="97"/>
              </w:rPr>
              <w:t>Healthcare Services</w:t>
            </w: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First Lien Term Loan 7.25% Cash, 8/22/2018</w:t>
            </w:r>
          </w:p>
        </w:tc>
        <w:tc>
          <w:tcPr>
            <w:tcW w:w="18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(US), Inc. (d)</w:t>
            </w:r>
          </w:p>
        </w:tc>
        <w:tc>
          <w:tcPr>
            <w:tcW w:w="19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2,375,000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2,355,380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2,369,063</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Zest Holdings, LLC (d)</w:t>
            </w:r>
          </w:p>
        </w:tc>
        <w:tc>
          <w:tcPr>
            <w:tcW w:w="1960" w:type="dxa"/>
            <w:vAlign w:val="bottom"/>
          </w:tcPr>
          <w:p>
            <w:pPr>
              <w:ind w:left="540"/>
              <w:spacing w:after="0"/>
              <w:rPr>
                <w:sz w:val="20"/>
                <w:szCs w:val="20"/>
                <w:color w:val="auto"/>
              </w:rPr>
            </w:pPr>
            <w:r>
              <w:rPr>
                <w:rFonts w:ascii="Arial" w:cs="Arial" w:eastAsia="Arial" w:hAnsi="Arial"/>
                <w:sz w:val="16"/>
                <w:szCs w:val="16"/>
                <w:color w:val="auto"/>
                <w:w w:val="97"/>
              </w:rPr>
              <w:t>Healthcare Services</w:t>
            </w:r>
          </w:p>
        </w:tc>
        <w:tc>
          <w:tcPr>
            <w:tcW w:w="3280" w:type="dxa"/>
            <w:vAlign w:val="bottom"/>
          </w:tcPr>
          <w:p>
            <w:pPr>
              <w:ind w:left="120"/>
              <w:spacing w:after="0"/>
              <w:rPr>
                <w:sz w:val="20"/>
                <w:szCs w:val="20"/>
                <w:color w:val="auto"/>
              </w:rPr>
            </w:pPr>
            <w:r>
              <w:rPr>
                <w:rFonts w:ascii="Arial" w:cs="Arial" w:eastAsia="Arial" w:hAnsi="Arial"/>
                <w:sz w:val="16"/>
                <w:szCs w:val="16"/>
                <w:color w:val="auto"/>
                <w:w w:val="98"/>
              </w:rPr>
              <w:t>First Lien Term Loan 6.50% Cash, 8/16/2020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4,466,250</w:t>
            </w:r>
          </w:p>
        </w:tc>
        <w:tc>
          <w:tcPr>
            <w:tcW w:w="780" w:type="dxa"/>
            <w:vAlign w:val="bottom"/>
          </w:tcPr>
          <w:p>
            <w:pPr>
              <w:jc w:val="right"/>
              <w:spacing w:after="0"/>
              <w:rPr>
                <w:sz w:val="20"/>
                <w:szCs w:val="20"/>
                <w:color w:val="auto"/>
              </w:rPr>
            </w:pPr>
            <w:r>
              <w:rPr>
                <w:rFonts w:ascii="Arial" w:cs="Arial" w:eastAsia="Arial" w:hAnsi="Arial"/>
                <w:sz w:val="16"/>
                <w:szCs w:val="16"/>
                <w:color w:val="auto"/>
              </w:rPr>
              <w:t>4,377,323</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4,477,416</w:t>
            </w:r>
          </w:p>
        </w:tc>
        <w:tc>
          <w:tcPr>
            <w:tcW w:w="1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3.7%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Healthcare Services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42,114,596</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42,227,389</w:t>
            </w: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6"/>
              </w:rPr>
              <w:t>35.2%</w:t>
            </w:r>
          </w:p>
        </w:tc>
        <w:tc>
          <w:tcPr>
            <w:tcW w:w="0" w:type="dxa"/>
            <w:vAlign w:val="bottom"/>
          </w:tcPr>
          <w:p>
            <w:pPr>
              <w:spacing w:after="0"/>
              <w:rPr>
                <w:sz w:val="1"/>
                <w:szCs w:val="1"/>
                <w:color w:val="auto"/>
              </w:rPr>
            </w:pPr>
          </w:p>
        </w:tc>
      </w:tr>
      <w:tr>
        <w:trPr>
          <w:trHeight w:val="200"/>
        </w:trPr>
        <w:tc>
          <w:tcPr>
            <w:tcW w:w="2660" w:type="dxa"/>
            <w:vAlign w:val="bottom"/>
            <w:gridSpan w:val="2"/>
          </w:tcPr>
          <w:p>
            <w:pPr>
              <w:spacing w:after="0"/>
              <w:rPr>
                <w:sz w:val="20"/>
                <w:szCs w:val="20"/>
                <w:color w:val="auto"/>
              </w:rPr>
            </w:pPr>
            <w:r>
              <w:rPr>
                <w:rFonts w:ascii="Arial" w:cs="Arial" w:eastAsia="Arial" w:hAnsi="Arial"/>
                <w:sz w:val="16"/>
                <w:szCs w:val="16"/>
                <w:color w:val="auto"/>
              </w:rPr>
              <w:t>McMillin Companies</w:t>
            </w:r>
          </w:p>
        </w:tc>
        <w:tc>
          <w:tcPr>
            <w:tcW w:w="1960" w:type="dxa"/>
            <w:vAlign w:val="bottom"/>
          </w:tcPr>
          <w:p>
            <w:pPr>
              <w:ind w:left="540"/>
              <w:spacing w:after="0"/>
              <w:rPr>
                <w:sz w:val="20"/>
                <w:szCs w:val="20"/>
                <w:color w:val="auto"/>
              </w:rPr>
            </w:pPr>
            <w:r>
              <w:rPr>
                <w:rFonts w:ascii="Arial" w:cs="Arial" w:eastAsia="Arial" w:hAnsi="Arial"/>
                <w:sz w:val="16"/>
                <w:szCs w:val="16"/>
                <w:color w:val="auto"/>
              </w:rPr>
              <w:t>Homebuilding</w:t>
            </w:r>
          </w:p>
        </w:tc>
        <w:tc>
          <w:tcPr>
            <w:tcW w:w="3280" w:type="dxa"/>
            <w:vAlign w:val="bottom"/>
          </w:tcPr>
          <w:p>
            <w:pPr>
              <w:ind w:left="120"/>
              <w:spacing w:after="0"/>
              <w:rPr>
                <w:sz w:val="20"/>
                <w:szCs w:val="20"/>
                <w:color w:val="auto"/>
              </w:rPr>
            </w:pPr>
            <w:r>
              <w:rPr>
                <w:rFonts w:ascii="Arial" w:cs="Arial" w:eastAsia="Arial" w:hAnsi="Arial"/>
                <w:sz w:val="16"/>
                <w:szCs w:val="16"/>
                <w:color w:val="auto"/>
              </w:rPr>
              <w:t>Senior Secured Note 0% Cash, 12/31/2013</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6"/>
                <w:szCs w:val="16"/>
                <w:color w:val="auto"/>
              </w:rPr>
              <w:t>L.L.C. (d), (g)</w:t>
            </w:r>
          </w:p>
        </w:tc>
        <w:tc>
          <w:tcPr>
            <w:tcW w:w="19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550,000</w:t>
            </w:r>
          </w:p>
        </w:tc>
        <w:tc>
          <w:tcPr>
            <w:tcW w:w="780" w:type="dxa"/>
            <w:vAlign w:val="bottom"/>
          </w:tcPr>
          <w:p>
            <w:pPr>
              <w:jc w:val="right"/>
              <w:spacing w:after="0"/>
              <w:rPr>
                <w:sz w:val="20"/>
                <w:szCs w:val="20"/>
                <w:color w:val="auto"/>
              </w:rPr>
            </w:pPr>
            <w:r>
              <w:rPr>
                <w:rFonts w:ascii="Arial" w:cs="Arial" w:eastAsia="Arial" w:hAnsi="Arial"/>
                <w:sz w:val="16"/>
                <w:szCs w:val="16"/>
                <w:color w:val="auto"/>
              </w:rPr>
              <w:t>558,434</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410,740</w:t>
            </w:r>
          </w:p>
        </w:tc>
        <w:tc>
          <w:tcPr>
            <w:tcW w:w="1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Homebuilding</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558,434</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410,740</w:t>
            </w: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200"/>
        </w:trPr>
        <w:tc>
          <w:tcPr>
            <w:tcW w:w="2660" w:type="dxa"/>
            <w:vAlign w:val="bottom"/>
            <w:gridSpan w:val="2"/>
          </w:tcPr>
          <w:p>
            <w:pPr>
              <w:spacing w:after="0"/>
              <w:rPr>
                <w:sz w:val="20"/>
                <w:szCs w:val="20"/>
                <w:color w:val="auto"/>
              </w:rPr>
            </w:pPr>
            <w:r>
              <w:rPr>
                <w:rFonts w:ascii="Arial" w:cs="Arial" w:eastAsia="Arial" w:hAnsi="Arial"/>
                <w:sz w:val="16"/>
                <w:szCs w:val="16"/>
                <w:color w:val="auto"/>
              </w:rPr>
              <w:t>Distribution International,</w:t>
            </w:r>
          </w:p>
        </w:tc>
        <w:tc>
          <w:tcPr>
            <w:tcW w:w="1960" w:type="dxa"/>
            <w:vAlign w:val="bottom"/>
          </w:tcPr>
          <w:p>
            <w:pPr>
              <w:ind w:left="540"/>
              <w:spacing w:after="0"/>
              <w:rPr>
                <w:sz w:val="20"/>
                <w:szCs w:val="20"/>
                <w:color w:val="auto"/>
              </w:rPr>
            </w:pPr>
            <w:r>
              <w:rPr>
                <w:rFonts w:ascii="Arial" w:cs="Arial" w:eastAsia="Arial" w:hAnsi="Arial"/>
                <w:sz w:val="16"/>
                <w:szCs w:val="16"/>
                <w:color w:val="auto"/>
              </w:rPr>
              <w:t>Manufacturing</w:t>
            </w:r>
          </w:p>
        </w:tc>
        <w:tc>
          <w:tcPr>
            <w:tcW w:w="3280" w:type="dxa"/>
            <w:vAlign w:val="bottom"/>
          </w:tcPr>
          <w:p>
            <w:pPr>
              <w:ind w:left="120"/>
              <w:spacing w:after="0"/>
              <w:rPr>
                <w:sz w:val="20"/>
                <w:szCs w:val="20"/>
                <w:color w:val="auto"/>
              </w:rPr>
            </w:pPr>
            <w:r>
              <w:rPr>
                <w:rFonts w:ascii="Arial" w:cs="Arial" w:eastAsia="Arial" w:hAnsi="Arial"/>
                <w:sz w:val="16"/>
                <w:szCs w:val="16"/>
                <w:color w:val="auto"/>
                <w:w w:val="98"/>
              </w:rPr>
              <w:t>First Lien Term Loan 7.50% Cash, 7/16/2019</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tcPr>
          <w:p>
            <w:pPr>
              <w:ind w:left="160"/>
              <w:spacing w:after="0"/>
              <w:rPr>
                <w:sz w:val="20"/>
                <w:szCs w:val="20"/>
                <w:color w:val="auto"/>
              </w:rPr>
            </w:pPr>
            <w:r>
              <w:rPr>
                <w:rFonts w:ascii="Arial" w:cs="Arial" w:eastAsia="Arial" w:hAnsi="Arial"/>
                <w:sz w:val="16"/>
                <w:szCs w:val="16"/>
                <w:color w:val="auto"/>
              </w:rPr>
              <w:t>Inc. (d)</w:t>
            </w:r>
          </w:p>
        </w:tc>
        <w:tc>
          <w:tcPr>
            <w:tcW w:w="196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5,940,000</w:t>
            </w:r>
          </w:p>
        </w:tc>
        <w:tc>
          <w:tcPr>
            <w:tcW w:w="780" w:type="dxa"/>
            <w:vAlign w:val="bottom"/>
          </w:tcPr>
          <w:p>
            <w:pPr>
              <w:jc w:val="right"/>
              <w:spacing w:after="0"/>
              <w:rPr>
                <w:sz w:val="20"/>
                <w:szCs w:val="20"/>
                <w:color w:val="auto"/>
              </w:rPr>
            </w:pPr>
            <w:r>
              <w:rPr>
                <w:rFonts w:ascii="Arial" w:cs="Arial" w:eastAsia="Arial" w:hAnsi="Arial"/>
                <w:sz w:val="16"/>
                <w:szCs w:val="16"/>
                <w:color w:val="auto"/>
              </w:rPr>
              <w:t>5,888,342</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5,940,000</w:t>
            </w:r>
          </w:p>
        </w:tc>
        <w:tc>
          <w:tcPr>
            <w:tcW w:w="1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Manufacturing</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5,888,342</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5,940,000</w:t>
            </w: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5.0%</w:t>
            </w:r>
          </w:p>
        </w:tc>
        <w:tc>
          <w:tcPr>
            <w:tcW w:w="0" w:type="dxa"/>
            <w:vAlign w:val="bottom"/>
          </w:tcPr>
          <w:p>
            <w:pPr>
              <w:spacing w:after="0"/>
              <w:rPr>
                <w:sz w:val="1"/>
                <w:szCs w:val="1"/>
                <w:color w:val="auto"/>
              </w:rPr>
            </w:pPr>
          </w:p>
        </w:tc>
      </w:tr>
      <w:tr>
        <w:trPr>
          <w:trHeight w:val="20"/>
        </w:trPr>
        <w:tc>
          <w:tcPr>
            <w:tcW w:w="2660" w:type="dxa"/>
            <w:vAlign w:val="bottom"/>
            <w:gridSpan w:val="2"/>
            <w:vMerge w:val="restart"/>
          </w:tcPr>
          <w:p>
            <w:pPr>
              <w:spacing w:after="0"/>
              <w:rPr>
                <w:sz w:val="20"/>
                <w:szCs w:val="20"/>
                <w:color w:val="auto"/>
              </w:rPr>
            </w:pPr>
            <w:r>
              <w:rPr>
                <w:rFonts w:ascii="Arial" w:cs="Arial" w:eastAsia="Arial" w:hAnsi="Arial"/>
                <w:sz w:val="16"/>
                <w:szCs w:val="16"/>
                <w:color w:val="auto"/>
              </w:rPr>
              <w:t>HMN Holdco, LLC</w:t>
            </w:r>
          </w:p>
        </w:tc>
        <w:tc>
          <w:tcPr>
            <w:tcW w:w="1960" w:type="dxa"/>
            <w:vAlign w:val="bottom"/>
            <w:vMerge w:val="restart"/>
          </w:tcPr>
          <w:p>
            <w:pPr>
              <w:ind w:left="540"/>
              <w:spacing w:after="0"/>
              <w:rPr>
                <w:sz w:val="20"/>
                <w:szCs w:val="20"/>
                <w:color w:val="auto"/>
              </w:rPr>
            </w:pPr>
            <w:r>
              <w:rPr>
                <w:rFonts w:ascii="Arial" w:cs="Arial" w:eastAsia="Arial" w:hAnsi="Arial"/>
                <w:sz w:val="16"/>
                <w:szCs w:val="16"/>
                <w:color w:val="auto"/>
              </w:rPr>
              <w:t>Media</w:t>
            </w:r>
          </w:p>
        </w:tc>
        <w:tc>
          <w:tcPr>
            <w:tcW w:w="3280" w:type="dxa"/>
            <w:vAlign w:val="bottom"/>
            <w:vMerge w:val="restart"/>
          </w:tcPr>
          <w:p>
            <w:pPr>
              <w:ind w:left="120"/>
              <w:spacing w:after="0"/>
              <w:rPr>
                <w:sz w:val="20"/>
                <w:szCs w:val="20"/>
                <w:color w:val="auto"/>
              </w:rPr>
            </w:pPr>
            <w:r>
              <w:rPr>
                <w:rFonts w:ascii="Arial" w:cs="Arial" w:eastAsia="Arial" w:hAnsi="Arial"/>
                <w:sz w:val="16"/>
                <w:szCs w:val="16"/>
                <w:color w:val="auto"/>
                <w:w w:val="95"/>
              </w:rPr>
              <w:t>First Lien Term Loan 14.00% Cash, 5/16/2019</w:t>
            </w:r>
          </w:p>
        </w:tc>
        <w:tc>
          <w:tcPr>
            <w:tcW w:w="1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20" w:type="dxa"/>
            <w:vAlign w:val="bottom"/>
            <w:vMerge w:val="restart"/>
          </w:tcPr>
          <w:p>
            <w:pPr>
              <w:jc w:val="right"/>
              <w:ind w:right="99"/>
              <w:spacing w:after="0"/>
              <w:rPr>
                <w:sz w:val="20"/>
                <w:szCs w:val="20"/>
                <w:color w:val="auto"/>
              </w:rPr>
            </w:pPr>
            <w:r>
              <w:rPr>
                <w:rFonts w:ascii="Arial" w:cs="Arial" w:eastAsia="Arial" w:hAnsi="Arial"/>
                <w:sz w:val="16"/>
                <w:szCs w:val="16"/>
                <w:color w:val="auto"/>
              </w:rPr>
              <w:t>9,540,696</w:t>
            </w: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2660" w:type="dxa"/>
            <w:vAlign w:val="bottom"/>
            <w:gridSpan w:val="2"/>
            <w:vMerge w:val="continue"/>
          </w:tcPr>
          <w:p>
            <w:pPr>
              <w:spacing w:after="0"/>
              <w:rPr>
                <w:sz w:val="17"/>
                <w:szCs w:val="17"/>
                <w:color w:val="auto"/>
              </w:rPr>
            </w:pPr>
          </w:p>
        </w:tc>
        <w:tc>
          <w:tcPr>
            <w:tcW w:w="1960" w:type="dxa"/>
            <w:vAlign w:val="bottom"/>
            <w:vMerge w:val="continue"/>
          </w:tcPr>
          <w:p>
            <w:pPr>
              <w:spacing w:after="0"/>
              <w:rPr>
                <w:sz w:val="17"/>
                <w:szCs w:val="17"/>
                <w:color w:val="auto"/>
              </w:rPr>
            </w:pPr>
          </w:p>
        </w:tc>
        <w:tc>
          <w:tcPr>
            <w:tcW w:w="328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920" w:type="dxa"/>
            <w:vAlign w:val="bottom"/>
            <w:vMerge w:val="continue"/>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9,360,503</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9,206,771</w:t>
            </w:r>
          </w:p>
        </w:tc>
        <w:tc>
          <w:tcPr>
            <w:tcW w:w="1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7.7%</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HMN Holdco, LLC (g)</w:t>
            </w:r>
          </w:p>
        </w:tc>
        <w:tc>
          <w:tcPr>
            <w:tcW w:w="1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Media</w:t>
            </w: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Warrants to Purchase Limited Liability</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Company Interests (Common)</w:t>
            </w:r>
          </w:p>
        </w:tc>
        <w:tc>
          <w:tcPr>
            <w:tcW w:w="18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57,783</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179,127</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HMN Holdco, LLC (g)</w:t>
            </w:r>
          </w:p>
        </w:tc>
        <w:tc>
          <w:tcPr>
            <w:tcW w:w="1960" w:type="dxa"/>
            <w:vAlign w:val="bottom"/>
          </w:tcPr>
          <w:p>
            <w:pPr>
              <w:ind w:left="540"/>
              <w:spacing w:after="0"/>
              <w:rPr>
                <w:sz w:val="20"/>
                <w:szCs w:val="20"/>
                <w:color w:val="auto"/>
              </w:rPr>
            </w:pPr>
            <w:r>
              <w:rPr>
                <w:rFonts w:ascii="Arial" w:cs="Arial" w:eastAsia="Arial" w:hAnsi="Arial"/>
                <w:sz w:val="16"/>
                <w:szCs w:val="16"/>
                <w:color w:val="auto"/>
              </w:rPr>
              <w:t>Media</w:t>
            </w:r>
          </w:p>
        </w:tc>
        <w:tc>
          <w:tcPr>
            <w:tcW w:w="3280" w:type="dxa"/>
            <w:vAlign w:val="bottom"/>
          </w:tcPr>
          <w:p>
            <w:pPr>
              <w:ind w:left="120"/>
              <w:spacing w:after="0"/>
              <w:rPr>
                <w:sz w:val="20"/>
                <w:szCs w:val="20"/>
                <w:color w:val="auto"/>
              </w:rPr>
            </w:pPr>
            <w:r>
              <w:rPr>
                <w:rFonts w:ascii="Arial" w:cs="Arial" w:eastAsia="Arial" w:hAnsi="Arial"/>
                <w:sz w:val="16"/>
                <w:szCs w:val="16"/>
                <w:color w:val="auto"/>
              </w:rPr>
              <w:t>Warrants to Purchase Limited Liability</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80" w:type="dxa"/>
            <w:vAlign w:val="bottom"/>
          </w:tcPr>
          <w:p>
            <w:pPr>
              <w:ind w:left="120"/>
              <w:spacing w:after="0"/>
              <w:rPr>
                <w:sz w:val="20"/>
                <w:szCs w:val="20"/>
                <w:color w:val="auto"/>
              </w:rPr>
            </w:pPr>
            <w:r>
              <w:rPr>
                <w:rFonts w:ascii="Arial" w:cs="Arial" w:eastAsia="Arial" w:hAnsi="Arial"/>
                <w:sz w:val="16"/>
                <w:szCs w:val="16"/>
                <w:color w:val="auto"/>
              </w:rPr>
              <w:t>Company Interests</w:t>
            </w:r>
          </w:p>
        </w:tc>
        <w:tc>
          <w:tcPr>
            <w:tcW w:w="180" w:type="dxa"/>
            <w:vAlign w:val="bottom"/>
          </w:tcPr>
          <w:p>
            <w:pPr>
              <w:spacing w:after="0"/>
              <w:rPr>
                <w:sz w:val="18"/>
                <w:szCs w:val="18"/>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8,139</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67,798</w:t>
            </w:r>
          </w:p>
        </w:tc>
        <w:tc>
          <w:tcPr>
            <w:tcW w:w="1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Media</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9,360,503</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9,453,696</w:t>
            </w: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200"/>
        </w:trPr>
        <w:tc>
          <w:tcPr>
            <w:tcW w:w="2660" w:type="dxa"/>
            <w:vAlign w:val="bottom"/>
            <w:gridSpan w:val="2"/>
          </w:tcPr>
          <w:p>
            <w:pPr>
              <w:spacing w:after="0"/>
              <w:rPr>
                <w:sz w:val="20"/>
                <w:szCs w:val="20"/>
                <w:color w:val="auto"/>
              </w:rPr>
            </w:pPr>
            <w:r>
              <w:rPr>
                <w:rFonts w:ascii="Arial" w:cs="Arial" w:eastAsia="Arial" w:hAnsi="Arial"/>
                <w:sz w:val="16"/>
                <w:szCs w:val="16"/>
                <w:color w:val="auto"/>
              </w:rPr>
              <w:t>Elyria Foundry Company,</w:t>
            </w:r>
          </w:p>
        </w:tc>
        <w:tc>
          <w:tcPr>
            <w:tcW w:w="1960" w:type="dxa"/>
            <w:vAlign w:val="bottom"/>
          </w:tcPr>
          <w:p>
            <w:pPr>
              <w:ind w:left="540"/>
              <w:spacing w:after="0"/>
              <w:rPr>
                <w:sz w:val="20"/>
                <w:szCs w:val="20"/>
                <w:color w:val="auto"/>
              </w:rPr>
            </w:pPr>
            <w:r>
              <w:rPr>
                <w:rFonts w:ascii="Arial" w:cs="Arial" w:eastAsia="Arial" w:hAnsi="Arial"/>
                <w:sz w:val="16"/>
                <w:szCs w:val="16"/>
                <w:color w:val="auto"/>
              </w:rPr>
              <w:t>Metals</w:t>
            </w:r>
          </w:p>
        </w:tc>
        <w:tc>
          <w:tcPr>
            <w:tcW w:w="3280" w:type="dxa"/>
            <w:vAlign w:val="bottom"/>
          </w:tcPr>
          <w:p>
            <w:pPr>
              <w:ind w:left="120"/>
              <w:spacing w:after="0"/>
              <w:rPr>
                <w:sz w:val="20"/>
                <w:szCs w:val="20"/>
                <w:color w:val="auto"/>
              </w:rPr>
            </w:pPr>
            <w:r>
              <w:rPr>
                <w:rFonts w:ascii="Arial" w:cs="Arial" w:eastAsia="Arial" w:hAnsi="Arial"/>
                <w:sz w:val="16"/>
                <w:szCs w:val="16"/>
                <w:color w:val="auto"/>
              </w:rPr>
              <w:t>Senior Secured Note 17.00% (13.00%</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40" w:type="dxa"/>
            <w:vAlign w:val="bottom"/>
          </w:tcPr>
          <w:p>
            <w:pPr>
              <w:ind w:left="160"/>
              <w:spacing w:after="0"/>
              <w:rPr>
                <w:sz w:val="20"/>
                <w:szCs w:val="20"/>
                <w:color w:val="auto"/>
              </w:rPr>
            </w:pPr>
            <w:r>
              <w:rPr>
                <w:rFonts w:ascii="Arial" w:cs="Arial" w:eastAsia="Arial" w:hAnsi="Arial"/>
                <w:sz w:val="16"/>
                <w:szCs w:val="16"/>
                <w:color w:val="auto"/>
              </w:rPr>
              <w:t>L.L.C. (d)</w:t>
            </w:r>
          </w:p>
        </w:tc>
        <w:tc>
          <w:tcPr>
            <w:tcW w:w="1960" w:type="dxa"/>
            <w:vAlign w:val="bottom"/>
          </w:tcPr>
          <w:p>
            <w:pPr>
              <w:spacing w:after="0"/>
              <w:rPr>
                <w:sz w:val="17"/>
                <w:szCs w:val="17"/>
                <w:color w:val="auto"/>
              </w:rPr>
            </w:pPr>
          </w:p>
        </w:tc>
        <w:tc>
          <w:tcPr>
            <w:tcW w:w="3280" w:type="dxa"/>
            <w:vAlign w:val="bottom"/>
          </w:tcPr>
          <w:p>
            <w:pPr>
              <w:ind w:left="120"/>
              <w:spacing w:after="0"/>
              <w:rPr>
                <w:sz w:val="20"/>
                <w:szCs w:val="20"/>
                <w:color w:val="auto"/>
              </w:rPr>
            </w:pPr>
            <w:r>
              <w:rPr>
                <w:rFonts w:ascii="Arial" w:cs="Arial" w:eastAsia="Arial" w:hAnsi="Arial"/>
                <w:sz w:val="16"/>
                <w:szCs w:val="16"/>
                <w:color w:val="auto"/>
              </w:rPr>
              <w:t>Cash/4.00% PIK), 9/14/2014</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8,859,616</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8,859,614</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5,785,311</w:t>
            </w: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Elyria Foundry Company,</w:t>
            </w:r>
          </w:p>
        </w:tc>
        <w:tc>
          <w:tcPr>
            <w:tcW w:w="1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Metals</w:t>
            </w: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Warrants to Purchase Limited Liability</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L.L.C. (d), (g)</w:t>
            </w:r>
          </w:p>
        </w:tc>
        <w:tc>
          <w:tcPr>
            <w:tcW w:w="1960" w:type="dxa"/>
            <w:vAlign w:val="bottom"/>
            <w:shd w:val="clear" w:color="auto" w:fill="CCEEFF"/>
          </w:tcPr>
          <w:p>
            <w:pPr>
              <w:spacing w:after="0"/>
              <w:rPr>
                <w:sz w:val="19"/>
                <w:szCs w:val="19"/>
                <w:color w:val="auto"/>
              </w:rPr>
            </w:pP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Company Interests (2008)</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7,000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Elyria Foundry Company,</w:t>
            </w:r>
          </w:p>
        </w:tc>
        <w:tc>
          <w:tcPr>
            <w:tcW w:w="1960" w:type="dxa"/>
            <w:vAlign w:val="bottom"/>
          </w:tcPr>
          <w:p>
            <w:pPr>
              <w:ind w:left="540"/>
              <w:spacing w:after="0"/>
              <w:rPr>
                <w:sz w:val="20"/>
                <w:szCs w:val="20"/>
                <w:color w:val="auto"/>
              </w:rPr>
            </w:pPr>
            <w:r>
              <w:rPr>
                <w:rFonts w:ascii="Arial" w:cs="Arial" w:eastAsia="Arial" w:hAnsi="Arial"/>
                <w:sz w:val="16"/>
                <w:szCs w:val="16"/>
                <w:color w:val="auto"/>
              </w:rPr>
              <w:t>Metals</w:t>
            </w:r>
          </w:p>
        </w:tc>
        <w:tc>
          <w:tcPr>
            <w:tcW w:w="3280" w:type="dxa"/>
            <w:vAlign w:val="bottom"/>
          </w:tcPr>
          <w:p>
            <w:pPr>
              <w:ind w:left="120"/>
              <w:spacing w:after="0"/>
              <w:rPr>
                <w:sz w:val="20"/>
                <w:szCs w:val="20"/>
                <w:color w:val="auto"/>
              </w:rPr>
            </w:pPr>
            <w:r>
              <w:rPr>
                <w:rFonts w:ascii="Arial" w:cs="Arial" w:eastAsia="Arial" w:hAnsi="Arial"/>
                <w:sz w:val="16"/>
                <w:szCs w:val="16"/>
                <w:color w:val="auto"/>
              </w:rPr>
              <w:t>Warrants to Purchase Limited Liability</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660" w:type="dxa"/>
            <w:vAlign w:val="bottom"/>
            <w:gridSpan w:val="2"/>
          </w:tcPr>
          <w:p>
            <w:pPr>
              <w:spacing w:after="0"/>
              <w:rPr>
                <w:sz w:val="20"/>
                <w:szCs w:val="20"/>
                <w:color w:val="auto"/>
              </w:rPr>
            </w:pPr>
            <w:r>
              <w:rPr>
                <w:rFonts w:ascii="Arial" w:cs="Arial" w:eastAsia="Arial" w:hAnsi="Arial"/>
                <w:sz w:val="16"/>
                <w:szCs w:val="16"/>
                <w:color w:val="auto"/>
              </w:rPr>
              <w:t>L.L.C. (d), (g)</w:t>
            </w:r>
          </w:p>
        </w:tc>
        <w:tc>
          <w:tcPr>
            <w:tcW w:w="1960" w:type="dxa"/>
            <w:vAlign w:val="bottom"/>
          </w:tcPr>
          <w:p>
            <w:pPr>
              <w:spacing w:after="0"/>
              <w:rPr>
                <w:sz w:val="19"/>
                <w:szCs w:val="19"/>
                <w:color w:val="auto"/>
              </w:rPr>
            </w:pPr>
          </w:p>
        </w:tc>
        <w:tc>
          <w:tcPr>
            <w:tcW w:w="3280" w:type="dxa"/>
            <w:vAlign w:val="bottom"/>
          </w:tcPr>
          <w:p>
            <w:pPr>
              <w:ind w:left="120"/>
              <w:spacing w:after="0"/>
              <w:rPr>
                <w:sz w:val="20"/>
                <w:szCs w:val="20"/>
                <w:color w:val="auto"/>
              </w:rPr>
            </w:pPr>
            <w:r>
              <w:rPr>
                <w:rFonts w:ascii="Arial" w:cs="Arial" w:eastAsia="Arial" w:hAnsi="Arial"/>
                <w:sz w:val="16"/>
                <w:szCs w:val="16"/>
                <w:color w:val="auto"/>
              </w:rPr>
              <w:t>Company Interests (2013)</w:t>
            </w:r>
          </w:p>
        </w:tc>
        <w:tc>
          <w:tcPr>
            <w:tcW w:w="180" w:type="dxa"/>
            <w:vAlign w:val="bottom"/>
          </w:tcPr>
          <w:p>
            <w:pPr>
              <w:spacing w:after="0"/>
              <w:rPr>
                <w:sz w:val="19"/>
                <w:szCs w:val="19"/>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18,227</w:t>
            </w: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Metals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8,859,634</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5,785,311</w:t>
            </w: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4.8%</w:t>
            </w:r>
          </w:p>
        </w:tc>
        <w:tc>
          <w:tcPr>
            <w:tcW w:w="0" w:type="dxa"/>
            <w:vAlign w:val="bottom"/>
          </w:tcPr>
          <w:p>
            <w:pPr>
              <w:spacing w:after="0"/>
              <w:rPr>
                <w:sz w:val="1"/>
                <w:szCs w:val="1"/>
                <w:color w:val="auto"/>
              </w:rPr>
            </w:pPr>
          </w:p>
        </w:tc>
      </w:tr>
      <w:tr>
        <w:trPr>
          <w:trHeight w:val="200"/>
        </w:trPr>
        <w:tc>
          <w:tcPr>
            <w:tcW w:w="2660" w:type="dxa"/>
            <w:vAlign w:val="bottom"/>
            <w:gridSpan w:val="2"/>
          </w:tcPr>
          <w:p>
            <w:pPr>
              <w:spacing w:after="0"/>
              <w:rPr>
                <w:sz w:val="20"/>
                <w:szCs w:val="20"/>
                <w:color w:val="auto"/>
              </w:rPr>
            </w:pPr>
            <w:r>
              <w:rPr>
                <w:rFonts w:ascii="Arial" w:cs="Arial" w:eastAsia="Arial" w:hAnsi="Arial"/>
                <w:sz w:val="16"/>
                <w:szCs w:val="16"/>
                <w:color w:val="auto"/>
              </w:rPr>
              <w:t>Network Communications,</w:t>
            </w:r>
          </w:p>
        </w:tc>
        <w:tc>
          <w:tcPr>
            <w:tcW w:w="1960" w:type="dxa"/>
            <w:vAlign w:val="bottom"/>
          </w:tcPr>
          <w:p>
            <w:pPr>
              <w:ind w:left="540"/>
              <w:spacing w:after="0"/>
              <w:rPr>
                <w:sz w:val="20"/>
                <w:szCs w:val="20"/>
                <w:color w:val="auto"/>
              </w:rPr>
            </w:pPr>
            <w:r>
              <w:rPr>
                <w:rFonts w:ascii="Arial" w:cs="Arial" w:eastAsia="Arial" w:hAnsi="Arial"/>
                <w:sz w:val="16"/>
                <w:szCs w:val="16"/>
                <w:color w:val="auto"/>
              </w:rPr>
              <w:t>Publishing</w:t>
            </w:r>
          </w:p>
        </w:tc>
        <w:tc>
          <w:tcPr>
            <w:tcW w:w="3280" w:type="dxa"/>
            <w:vAlign w:val="bottom"/>
          </w:tcPr>
          <w:p>
            <w:pPr>
              <w:ind w:left="12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40" w:type="dxa"/>
            <w:vAlign w:val="bottom"/>
          </w:tcPr>
          <w:p>
            <w:pPr>
              <w:ind w:left="160"/>
              <w:spacing w:after="0"/>
              <w:rPr>
                <w:sz w:val="20"/>
                <w:szCs w:val="20"/>
                <w:color w:val="auto"/>
              </w:rPr>
            </w:pPr>
            <w:r>
              <w:rPr>
                <w:rFonts w:ascii="Arial" w:cs="Arial" w:eastAsia="Arial" w:hAnsi="Arial"/>
                <w:sz w:val="16"/>
                <w:szCs w:val="16"/>
                <w:color w:val="auto"/>
              </w:rPr>
              <w:t>Inc. (d), (g)</w:t>
            </w:r>
          </w:p>
        </w:tc>
        <w:tc>
          <w:tcPr>
            <w:tcW w:w="19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380,572</w:t>
            </w:r>
          </w:p>
        </w:tc>
        <w:tc>
          <w:tcPr>
            <w:tcW w:w="9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960" w:type="dxa"/>
            <w:vAlign w:val="bottom"/>
            <w:gridSpan w:val="2"/>
          </w:tcPr>
          <w:p>
            <w:pPr>
              <w:ind w:left="520"/>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Network Communications,</w:t>
            </w:r>
          </w:p>
        </w:tc>
        <w:tc>
          <w:tcPr>
            <w:tcW w:w="1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Publishing</w:t>
            </w: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Unsecured Notes 8.60% PIK, 1/14/2020</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640" w:type="dxa"/>
            <w:vAlign w:val="bottom"/>
            <w:shd w:val="clear" w:color="auto" w:fill="CCEEFF"/>
          </w:tcPr>
          <w:p>
            <w:pPr>
              <w:ind w:left="160"/>
              <w:spacing w:after="0"/>
              <w:rPr>
                <w:sz w:val="20"/>
                <w:szCs w:val="20"/>
                <w:color w:val="auto"/>
              </w:rPr>
            </w:pPr>
            <w:r>
              <w:rPr>
                <w:rFonts w:ascii="Arial" w:cs="Arial" w:eastAsia="Arial" w:hAnsi="Arial"/>
                <w:sz w:val="16"/>
                <w:szCs w:val="16"/>
                <w:color w:val="auto"/>
              </w:rPr>
              <w:t>Inc. (d)</w:t>
            </w:r>
          </w:p>
        </w:tc>
        <w:tc>
          <w:tcPr>
            <w:tcW w:w="1960" w:type="dxa"/>
            <w:vAlign w:val="bottom"/>
            <w:shd w:val="clear" w:color="auto" w:fill="CCEEFF"/>
          </w:tcPr>
          <w:p>
            <w:pPr>
              <w:spacing w:after="0"/>
              <w:rPr>
                <w:sz w:val="18"/>
                <w:szCs w:val="18"/>
                <w:color w:val="auto"/>
              </w:rPr>
            </w:pPr>
          </w:p>
        </w:tc>
        <w:tc>
          <w:tcPr>
            <w:tcW w:w="3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2,657,971</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2,299,254</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1,488,510</w:t>
            </w:r>
          </w:p>
        </w:tc>
        <w:tc>
          <w:tcPr>
            <w:tcW w:w="1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80" w:type="dxa"/>
            <w:vAlign w:val="bottom"/>
            <w:vMerge w:val="restart"/>
          </w:tcPr>
          <w:p>
            <w:pPr>
              <w:ind w:left="460"/>
              <w:spacing w:after="0"/>
              <w:rPr>
                <w:sz w:val="20"/>
                <w:szCs w:val="20"/>
                <w:color w:val="auto"/>
              </w:rPr>
            </w:pPr>
            <w:r>
              <w:rPr>
                <w:rFonts w:ascii="Arial" w:cs="Arial" w:eastAsia="Arial" w:hAnsi="Arial"/>
                <w:sz w:val="16"/>
                <w:szCs w:val="16"/>
                <w:color w:val="auto"/>
              </w:rPr>
              <w:t>Total Publishing</w:t>
            </w: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0" w:type="dxa"/>
            <w:vAlign w:val="bottom"/>
          </w:tcPr>
          <w:p>
            <w:pPr>
              <w:spacing w:after="0"/>
              <w:rPr>
                <w:sz w:val="17"/>
                <w:szCs w:val="17"/>
                <w:color w:val="auto"/>
              </w:rPr>
            </w:pPr>
          </w:p>
        </w:tc>
        <w:tc>
          <w:tcPr>
            <w:tcW w:w="2640" w:type="dxa"/>
            <w:vAlign w:val="bottom"/>
          </w:tcPr>
          <w:p>
            <w:pPr>
              <w:spacing w:after="0"/>
              <w:rPr>
                <w:sz w:val="17"/>
                <w:szCs w:val="17"/>
                <w:color w:val="auto"/>
              </w:rPr>
            </w:pPr>
          </w:p>
        </w:tc>
        <w:tc>
          <w:tcPr>
            <w:tcW w:w="1960" w:type="dxa"/>
            <w:vAlign w:val="bottom"/>
          </w:tcPr>
          <w:p>
            <w:pPr>
              <w:spacing w:after="0"/>
              <w:rPr>
                <w:sz w:val="17"/>
                <w:szCs w:val="17"/>
                <w:color w:val="auto"/>
              </w:rPr>
            </w:pPr>
          </w:p>
        </w:tc>
        <w:tc>
          <w:tcPr>
            <w:tcW w:w="32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2,299,254</w:t>
            </w:r>
          </w:p>
        </w:tc>
        <w:tc>
          <w:tcPr>
            <w:tcW w:w="18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1,488,510</w:t>
            </w:r>
          </w:p>
        </w:tc>
        <w:tc>
          <w:tcPr>
            <w:tcW w:w="180" w:type="dxa"/>
            <w:vAlign w:val="bottom"/>
          </w:tcPr>
          <w:p>
            <w:pPr>
              <w:spacing w:after="0"/>
              <w:rPr>
                <w:sz w:val="17"/>
                <w:szCs w:val="17"/>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26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Community Investors, Inc. (g)</w:t>
            </w:r>
          </w:p>
        </w:tc>
        <w:tc>
          <w:tcPr>
            <w:tcW w:w="1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Software</w:t>
            </w: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Common Stock</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1,282</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1,282</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w:t>
            </w: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Community Investors, Inc.</w:t>
            </w:r>
          </w:p>
        </w:tc>
        <w:tc>
          <w:tcPr>
            <w:tcW w:w="1960" w:type="dxa"/>
            <w:vAlign w:val="bottom"/>
          </w:tcPr>
          <w:p>
            <w:pPr>
              <w:ind w:left="540"/>
              <w:spacing w:after="0"/>
              <w:rPr>
                <w:sz w:val="20"/>
                <w:szCs w:val="20"/>
                <w:color w:val="auto"/>
              </w:rPr>
            </w:pPr>
            <w:r>
              <w:rPr>
                <w:rFonts w:ascii="Arial" w:cs="Arial" w:eastAsia="Arial" w:hAnsi="Arial"/>
                <w:sz w:val="16"/>
                <w:szCs w:val="16"/>
                <w:color w:val="auto"/>
              </w:rPr>
              <w:t>Software</w:t>
            </w:r>
          </w:p>
        </w:tc>
        <w:tc>
          <w:tcPr>
            <w:tcW w:w="3280" w:type="dxa"/>
            <w:vAlign w:val="bottom"/>
          </w:tcPr>
          <w:p>
            <w:pPr>
              <w:ind w:left="120"/>
              <w:spacing w:after="0"/>
              <w:rPr>
                <w:sz w:val="20"/>
                <w:szCs w:val="20"/>
                <w:color w:val="auto"/>
              </w:rPr>
            </w:pPr>
            <w:r>
              <w:rPr>
                <w:rFonts w:ascii="Arial" w:cs="Arial" w:eastAsia="Arial" w:hAnsi="Arial"/>
                <w:sz w:val="16"/>
                <w:szCs w:val="16"/>
                <w:color w:val="auto"/>
              </w:rPr>
              <w:t>First Lien Term Loan 9.75% Cash, 5/9/2018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6,896,042</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6,784,964</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6,896,042</w:t>
            </w: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5.8%</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Community Investors, Inc.</w:t>
            </w:r>
          </w:p>
        </w:tc>
        <w:tc>
          <w:tcPr>
            <w:tcW w:w="1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Software</w:t>
            </w: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Revolver</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166,667</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ind w:left="520"/>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Community Investors, Inc. (g)</w:t>
            </w:r>
          </w:p>
        </w:tc>
        <w:tc>
          <w:tcPr>
            <w:tcW w:w="1960" w:type="dxa"/>
            <w:vAlign w:val="bottom"/>
          </w:tcPr>
          <w:p>
            <w:pPr>
              <w:ind w:left="540"/>
              <w:spacing w:after="0"/>
              <w:rPr>
                <w:sz w:val="20"/>
                <w:szCs w:val="20"/>
                <w:color w:val="auto"/>
              </w:rPr>
            </w:pPr>
            <w:r>
              <w:rPr>
                <w:rFonts w:ascii="Arial" w:cs="Arial" w:eastAsia="Arial" w:hAnsi="Arial"/>
                <w:sz w:val="16"/>
                <w:szCs w:val="16"/>
                <w:color w:val="auto"/>
              </w:rPr>
              <w:t>Software</w:t>
            </w:r>
          </w:p>
        </w:tc>
        <w:tc>
          <w:tcPr>
            <w:tcW w:w="3280" w:type="dxa"/>
            <w:vAlign w:val="bottom"/>
          </w:tcPr>
          <w:p>
            <w:pPr>
              <w:ind w:left="120"/>
              <w:spacing w:after="0"/>
              <w:rPr>
                <w:sz w:val="20"/>
                <w:szCs w:val="20"/>
                <w:color w:val="auto"/>
              </w:rPr>
            </w:pPr>
            <w:r>
              <w:rPr>
                <w:rFonts w:ascii="Arial" w:cs="Arial" w:eastAsia="Arial" w:hAnsi="Arial"/>
                <w:sz w:val="16"/>
                <w:szCs w:val="16"/>
                <w:color w:val="auto"/>
              </w:rPr>
              <w:t>Preferred Stock</w:t>
            </w:r>
          </w:p>
        </w:tc>
        <w:tc>
          <w:tcPr>
            <w:tcW w:w="180" w:type="dxa"/>
            <w:vAlign w:val="bottom"/>
          </w:tcPr>
          <w:p>
            <w:pPr>
              <w:spacing w:after="0"/>
              <w:rPr>
                <w:sz w:val="17"/>
                <w:szCs w:val="17"/>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63,463</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149,138</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121,214</w:t>
            </w: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0.1%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Community Investors, Inc. (g)</w:t>
            </w:r>
          </w:p>
        </w:tc>
        <w:tc>
          <w:tcPr>
            <w:tcW w:w="1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Software</w:t>
            </w: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Preferred Stock - A Shares</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135,584</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135,584</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258,965</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Identity Automation</w:t>
            </w:r>
          </w:p>
        </w:tc>
        <w:tc>
          <w:tcPr>
            <w:tcW w:w="1960" w:type="dxa"/>
            <w:vAlign w:val="bottom"/>
          </w:tcPr>
          <w:p>
            <w:pPr>
              <w:ind w:left="540"/>
              <w:spacing w:after="0"/>
              <w:rPr>
                <w:sz w:val="20"/>
                <w:szCs w:val="20"/>
                <w:color w:val="auto"/>
              </w:rPr>
            </w:pPr>
            <w:r>
              <w:rPr>
                <w:rFonts w:ascii="Arial" w:cs="Arial" w:eastAsia="Arial" w:hAnsi="Arial"/>
                <w:sz w:val="16"/>
                <w:szCs w:val="16"/>
                <w:color w:val="auto"/>
              </w:rPr>
              <w:t>Software</w:t>
            </w:r>
          </w:p>
        </w:tc>
        <w:tc>
          <w:tcPr>
            <w:tcW w:w="3280" w:type="dxa"/>
            <w:vAlign w:val="bottom"/>
          </w:tcPr>
          <w:p>
            <w:pPr>
              <w:ind w:left="120"/>
              <w:spacing w:after="0"/>
              <w:rPr>
                <w:sz w:val="20"/>
                <w:szCs w:val="20"/>
                <w:color w:val="auto"/>
              </w:rPr>
            </w:pPr>
            <w:r>
              <w:rPr>
                <w:rFonts w:ascii="Arial" w:cs="Arial" w:eastAsia="Arial" w:hAnsi="Arial"/>
                <w:sz w:val="16"/>
                <w:szCs w:val="16"/>
                <w:color w:val="auto"/>
              </w:rPr>
              <w:t>Common Stock Class A Units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640" w:type="dxa"/>
            <w:vAlign w:val="bottom"/>
          </w:tcPr>
          <w:p>
            <w:pPr>
              <w:ind w:left="160"/>
              <w:spacing w:after="0"/>
              <w:rPr>
                <w:sz w:val="20"/>
                <w:szCs w:val="20"/>
                <w:color w:val="auto"/>
              </w:rPr>
            </w:pPr>
            <w:r>
              <w:rPr>
                <w:rFonts w:ascii="Arial" w:cs="Arial" w:eastAsia="Arial" w:hAnsi="Arial"/>
                <w:sz w:val="16"/>
                <w:szCs w:val="16"/>
                <w:color w:val="auto"/>
              </w:rPr>
              <w:t>Systems (g)</w:t>
            </w:r>
          </w:p>
        </w:tc>
        <w:tc>
          <w:tcPr>
            <w:tcW w:w="196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232,616</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232,616</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232,616</w:t>
            </w: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shd w:val="clear" w:color="auto" w:fill="CCEEFF"/>
          </w:tcPr>
          <w:p>
            <w:pPr>
              <w:spacing w:after="0"/>
              <w:rPr>
                <w:sz w:val="20"/>
                <w:szCs w:val="20"/>
                <w:color w:val="auto"/>
              </w:rPr>
            </w:pPr>
            <w:r>
              <w:rPr>
                <w:rFonts w:ascii="Arial" w:cs="Arial" w:eastAsia="Arial" w:hAnsi="Arial"/>
                <w:sz w:val="16"/>
                <w:szCs w:val="16"/>
                <w:color w:val="auto"/>
              </w:rPr>
              <w:t>Identity Automation Systems</w:t>
            </w:r>
          </w:p>
        </w:tc>
        <w:tc>
          <w:tcPr>
            <w:tcW w:w="1960" w:type="dxa"/>
            <w:vAlign w:val="bottom"/>
            <w:shd w:val="clear" w:color="auto" w:fill="CCEEFF"/>
          </w:tcPr>
          <w:p>
            <w:pPr>
              <w:ind w:left="540"/>
              <w:spacing w:after="0"/>
              <w:rPr>
                <w:sz w:val="20"/>
                <w:szCs w:val="20"/>
                <w:color w:val="auto"/>
              </w:rPr>
            </w:pPr>
            <w:r>
              <w:rPr>
                <w:rFonts w:ascii="Arial" w:cs="Arial" w:eastAsia="Arial" w:hAnsi="Arial"/>
                <w:sz w:val="16"/>
                <w:szCs w:val="16"/>
                <w:color w:val="auto"/>
              </w:rPr>
              <w:t>Software</w:t>
            </w:r>
          </w:p>
        </w:tc>
        <w:tc>
          <w:tcPr>
            <w:tcW w:w="32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5"/>
              </w:rPr>
              <w:t>First Lien Term Loan 10.25% Cash, 8/25/2019</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5,000,000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4,950,321</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5,000,000</w:t>
            </w: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2640" w:type="dxa"/>
            <w:vAlign w:val="bottom"/>
          </w:tcPr>
          <w:p>
            <w:pPr>
              <w:spacing w:after="0"/>
              <w:rPr>
                <w:sz w:val="20"/>
                <w:szCs w:val="20"/>
                <w:color w:val="auto"/>
              </w:rPr>
            </w:pPr>
            <w:r>
              <w:rPr>
                <w:rFonts w:ascii="Arial" w:cs="Arial" w:eastAsia="Arial" w:hAnsi="Arial"/>
                <w:sz w:val="16"/>
                <w:szCs w:val="16"/>
                <w:color w:val="auto"/>
              </w:rPr>
              <w:t>Pen-Link, Ltd. (d)</w:t>
            </w:r>
          </w:p>
        </w:tc>
        <w:tc>
          <w:tcPr>
            <w:tcW w:w="1960" w:type="dxa"/>
            <w:vAlign w:val="bottom"/>
          </w:tcPr>
          <w:p>
            <w:pPr>
              <w:ind w:left="540"/>
              <w:spacing w:after="0"/>
              <w:rPr>
                <w:sz w:val="20"/>
                <w:szCs w:val="20"/>
                <w:color w:val="auto"/>
              </w:rPr>
            </w:pPr>
            <w:r>
              <w:rPr>
                <w:rFonts w:ascii="Arial" w:cs="Arial" w:eastAsia="Arial" w:hAnsi="Arial"/>
                <w:sz w:val="16"/>
                <w:szCs w:val="16"/>
                <w:color w:val="auto"/>
              </w:rPr>
              <w:t>Software</w:t>
            </w:r>
          </w:p>
        </w:tc>
        <w:tc>
          <w:tcPr>
            <w:tcW w:w="3280" w:type="dxa"/>
            <w:vAlign w:val="bottom"/>
          </w:tcPr>
          <w:p>
            <w:pPr>
              <w:ind w:left="120"/>
              <w:spacing w:after="0"/>
              <w:rPr>
                <w:sz w:val="20"/>
                <w:szCs w:val="20"/>
                <w:color w:val="auto"/>
              </w:rPr>
            </w:pPr>
            <w:r>
              <w:rPr>
                <w:rFonts w:ascii="Arial" w:cs="Arial" w:eastAsia="Arial" w:hAnsi="Arial"/>
                <w:sz w:val="16"/>
                <w:szCs w:val="16"/>
                <w:color w:val="auto"/>
              </w:rPr>
              <w:t>Second Lien Term Loan 12.50% Cash,</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3280" w:type="dxa"/>
            <w:vAlign w:val="bottom"/>
          </w:tcPr>
          <w:p>
            <w:pPr>
              <w:ind w:left="120"/>
              <w:spacing w:after="0"/>
              <w:rPr>
                <w:sz w:val="20"/>
                <w:szCs w:val="20"/>
                <w:color w:val="auto"/>
              </w:rPr>
            </w:pPr>
            <w:r>
              <w:rPr>
                <w:rFonts w:ascii="Arial" w:cs="Arial" w:eastAsia="Arial" w:hAnsi="Arial"/>
                <w:sz w:val="16"/>
                <w:szCs w:val="16"/>
                <w:color w:val="auto"/>
              </w:rPr>
              <w:t>5/26/2019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w w:val="89"/>
              </w:rPr>
              <w:t>11,500,000</w:t>
            </w: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11,294,269</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w w:val="94"/>
              </w:rPr>
              <w:t>11,500,000</w:t>
            </w:r>
          </w:p>
        </w:tc>
        <w:tc>
          <w:tcPr>
            <w:tcW w:w="18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6"/>
                <w:szCs w:val="16"/>
                <w:color w:val="auto"/>
              </w:rPr>
              <w:t>9.6%</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96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640" w:type="dxa"/>
            <w:vAlign w:val="bottom"/>
            <w:shd w:val="clear" w:color="auto" w:fill="CCEEFF"/>
          </w:tcPr>
          <w:p>
            <w:pPr>
              <w:spacing w:after="0"/>
              <w:rPr>
                <w:sz w:val="17"/>
                <w:szCs w:val="17"/>
                <w:color w:val="auto"/>
              </w:rPr>
            </w:pPr>
          </w:p>
        </w:tc>
        <w:tc>
          <w:tcPr>
            <w:tcW w:w="1960" w:type="dxa"/>
            <w:vAlign w:val="bottom"/>
            <w:shd w:val="clear" w:color="auto" w:fill="CCEEFF"/>
          </w:tcPr>
          <w:p>
            <w:pPr>
              <w:spacing w:after="0"/>
              <w:rPr>
                <w:sz w:val="17"/>
                <w:szCs w:val="17"/>
                <w:color w:val="auto"/>
              </w:rPr>
            </w:pPr>
          </w:p>
        </w:tc>
        <w:tc>
          <w:tcPr>
            <w:tcW w:w="3280" w:type="dxa"/>
            <w:vAlign w:val="bottom"/>
            <w:shd w:val="clear" w:color="auto" w:fill="CCEEFF"/>
          </w:tcPr>
          <w:p>
            <w:pPr>
              <w:ind w:left="460"/>
              <w:spacing w:after="0"/>
              <w:rPr>
                <w:sz w:val="20"/>
                <w:szCs w:val="20"/>
                <w:color w:val="auto"/>
              </w:rPr>
            </w:pPr>
            <w:r>
              <w:rPr>
                <w:rFonts w:ascii="Arial" w:cs="Arial" w:eastAsia="Arial" w:hAnsi="Arial"/>
                <w:sz w:val="16"/>
                <w:szCs w:val="16"/>
                <w:color w:val="auto"/>
              </w:rPr>
              <w:t>Total Software</w:t>
            </w:r>
          </w:p>
        </w:tc>
        <w:tc>
          <w:tcPr>
            <w:tcW w:w="1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23,548,174</w:t>
            </w:r>
          </w:p>
        </w:tc>
        <w:tc>
          <w:tcPr>
            <w:tcW w:w="18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24,011,286</w:t>
            </w:r>
          </w:p>
        </w:tc>
        <w:tc>
          <w:tcPr>
            <w:tcW w:w="180" w:type="dxa"/>
            <w:vAlign w:val="bottom"/>
            <w:shd w:val="clear" w:color="auto" w:fill="CCEEFF"/>
          </w:tcPr>
          <w:p>
            <w:pPr>
              <w:spacing w:after="0"/>
              <w:rPr>
                <w:sz w:val="17"/>
                <w:szCs w:val="17"/>
                <w:color w:val="auto"/>
              </w:rPr>
            </w:pPr>
          </w:p>
        </w:tc>
        <w:tc>
          <w:tcPr>
            <w:tcW w:w="5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6"/>
              </w:rPr>
              <w:t>20.1%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color w:val="auto"/>
              </w:rPr>
              <w:t>Censis Technologies, Inc.</w:t>
            </w:r>
          </w:p>
        </w:tc>
        <w:tc>
          <w:tcPr>
            <w:tcW w:w="11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9"/>
              </w:rPr>
              <w:t>Technology</w:t>
            </w:r>
          </w:p>
        </w:tc>
        <w:tc>
          <w:tcPr>
            <w:tcW w:w="3340" w:type="dxa"/>
            <w:vAlign w:val="bottom"/>
            <w:shd w:val="clear" w:color="auto" w:fill="CCEEFF"/>
          </w:tcPr>
          <w:p>
            <w:pPr>
              <w:ind w:left="60"/>
              <w:spacing w:after="0"/>
              <w:rPr>
                <w:sz w:val="20"/>
                <w:szCs w:val="20"/>
                <w:color w:val="auto"/>
              </w:rPr>
            </w:pPr>
            <w:r>
              <w:rPr>
                <w:rFonts w:ascii="Arial" w:cs="Arial" w:eastAsia="Arial" w:hAnsi="Arial"/>
                <w:sz w:val="16"/>
                <w:szCs w:val="16"/>
                <w:color w:val="auto"/>
                <w:w w:val="94"/>
              </w:rPr>
              <w:t>First Lien Term Loan B 11.00% Cash, 7/24/2019</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12,000,000</w:t>
            </w: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11,761,173</w:t>
            </w:r>
          </w:p>
        </w:tc>
        <w:tc>
          <w:tcPr>
            <w:tcW w:w="1260" w:type="dxa"/>
            <w:vAlign w:val="bottom"/>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11,760,000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w:t>
            </w: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Arial" w:cs="Arial" w:eastAsia="Arial" w:hAnsi="Arial"/>
                <w:sz w:val="16"/>
                <w:szCs w:val="16"/>
                <w:color w:val="auto"/>
              </w:rPr>
              <w:t>Censis Technologies,</w:t>
            </w:r>
          </w:p>
        </w:tc>
        <w:tc>
          <w:tcPr>
            <w:tcW w:w="1160" w:type="dxa"/>
            <w:vAlign w:val="bottom"/>
          </w:tcPr>
          <w:p>
            <w:pPr>
              <w:ind w:left="320"/>
              <w:spacing w:after="0"/>
              <w:rPr>
                <w:sz w:val="20"/>
                <w:szCs w:val="20"/>
                <w:color w:val="auto"/>
              </w:rPr>
            </w:pPr>
            <w:r>
              <w:rPr>
                <w:rFonts w:ascii="Arial" w:cs="Arial" w:eastAsia="Arial" w:hAnsi="Arial"/>
                <w:sz w:val="16"/>
                <w:szCs w:val="16"/>
                <w:color w:val="auto"/>
                <w:w w:val="99"/>
              </w:rPr>
              <w:t>Technology</w:t>
            </w:r>
          </w:p>
        </w:tc>
        <w:tc>
          <w:tcPr>
            <w:tcW w:w="3340" w:type="dxa"/>
            <w:vAlign w:val="bottom"/>
          </w:tcPr>
          <w:p>
            <w:pPr>
              <w:ind w:left="60"/>
              <w:spacing w:after="0"/>
              <w:rPr>
                <w:sz w:val="20"/>
                <w:szCs w:val="20"/>
                <w:color w:val="auto"/>
              </w:rPr>
            </w:pPr>
            <w:r>
              <w:rPr>
                <w:rFonts w:ascii="Arial" w:cs="Arial" w:eastAsia="Arial" w:hAnsi="Arial"/>
                <w:sz w:val="16"/>
                <w:szCs w:val="16"/>
                <w:color w:val="auto"/>
              </w:rPr>
              <w:t>Limited Partner Interests</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0" w:type="dxa"/>
            <w:vAlign w:val="bottom"/>
          </w:tcPr>
          <w:p>
            <w:pPr>
              <w:ind w:left="160"/>
              <w:spacing w:after="0"/>
              <w:rPr>
                <w:sz w:val="20"/>
                <w:szCs w:val="20"/>
                <w:color w:val="auto"/>
              </w:rPr>
            </w:pPr>
            <w:r>
              <w:rPr>
                <w:rFonts w:ascii="Arial" w:cs="Arial" w:eastAsia="Arial" w:hAnsi="Arial"/>
                <w:sz w:val="16"/>
                <w:szCs w:val="16"/>
                <w:color w:val="auto"/>
              </w:rPr>
              <w:t>Inc. (g), (h)</w:t>
            </w:r>
          </w:p>
        </w:tc>
        <w:tc>
          <w:tcPr>
            <w:tcW w:w="116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ind w:right="119"/>
              <w:spacing w:after="0"/>
              <w:rPr>
                <w:sz w:val="20"/>
                <w:szCs w:val="20"/>
                <w:color w:val="auto"/>
              </w:rPr>
            </w:pPr>
            <w:r>
              <w:rPr>
                <w:rFonts w:ascii="Arial" w:cs="Arial" w:eastAsia="Arial" w:hAnsi="Arial"/>
                <w:sz w:val="16"/>
                <w:szCs w:val="16"/>
                <w:color w:val="auto"/>
              </w:rPr>
              <w:t>999</w:t>
            </w:r>
          </w:p>
        </w:tc>
        <w:tc>
          <w:tcPr>
            <w:tcW w:w="880" w:type="dxa"/>
            <w:vAlign w:val="bottom"/>
          </w:tcPr>
          <w:p>
            <w:pPr>
              <w:jc w:val="right"/>
              <w:spacing w:after="0"/>
              <w:rPr>
                <w:sz w:val="20"/>
                <w:szCs w:val="20"/>
                <w:color w:val="auto"/>
              </w:rPr>
            </w:pPr>
            <w:r>
              <w:rPr>
                <w:rFonts w:ascii="Arial" w:cs="Arial" w:eastAsia="Arial" w:hAnsi="Arial"/>
                <w:sz w:val="16"/>
                <w:szCs w:val="16"/>
                <w:color w:val="auto"/>
              </w:rPr>
              <w:t>999,000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999,000</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0.8%</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Technology</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12,760,173</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12,759,000</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Arial" w:cs="Arial" w:eastAsia="Arial" w:hAnsi="Arial"/>
                <w:sz w:val="16"/>
                <w:szCs w:val="16"/>
                <w:color w:val="auto"/>
              </w:rPr>
              <w:t>Advanced Air &amp; Heat of Florida, LLC</w:t>
            </w:r>
          </w:p>
        </w:tc>
        <w:tc>
          <w:tcPr>
            <w:tcW w:w="1160" w:type="dxa"/>
            <w:vAlign w:val="bottom"/>
            <w:vMerge w:val="restart"/>
          </w:tcPr>
          <w:p>
            <w:pPr>
              <w:ind w:left="320"/>
              <w:spacing w:after="0"/>
              <w:rPr>
                <w:sz w:val="20"/>
                <w:szCs w:val="20"/>
                <w:color w:val="auto"/>
              </w:rPr>
            </w:pPr>
            <w:r>
              <w:rPr>
                <w:rFonts w:ascii="Arial" w:cs="Arial" w:eastAsia="Arial" w:hAnsi="Arial"/>
                <w:sz w:val="16"/>
                <w:szCs w:val="16"/>
                <w:color w:val="auto"/>
              </w:rPr>
              <w:t>Utilities</w:t>
            </w:r>
          </w:p>
        </w:tc>
        <w:tc>
          <w:tcPr>
            <w:tcW w:w="3340" w:type="dxa"/>
            <w:vAlign w:val="bottom"/>
            <w:vMerge w:val="restart"/>
          </w:tcPr>
          <w:p>
            <w:pPr>
              <w:ind w:left="60"/>
              <w:spacing w:after="0"/>
              <w:rPr>
                <w:sz w:val="20"/>
                <w:szCs w:val="20"/>
                <w:color w:val="auto"/>
              </w:rPr>
            </w:pPr>
            <w:r>
              <w:rPr>
                <w:rFonts w:ascii="Arial" w:cs="Arial" w:eastAsia="Arial" w:hAnsi="Arial"/>
                <w:sz w:val="16"/>
                <w:szCs w:val="16"/>
                <w:color w:val="auto"/>
                <w:w w:val="99"/>
              </w:rPr>
              <w:t>First Lien Term Loan 10.00% Cash, 1/31/2019</w:t>
            </w:r>
          </w:p>
        </w:tc>
        <w:tc>
          <w:tcPr>
            <w:tcW w:w="20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940" w:type="dxa"/>
            <w:vAlign w:val="bottom"/>
            <w:vMerge w:val="restart"/>
          </w:tcPr>
          <w:p>
            <w:pPr>
              <w:jc w:val="right"/>
              <w:ind w:right="119"/>
              <w:spacing w:after="0"/>
              <w:rPr>
                <w:sz w:val="20"/>
                <w:szCs w:val="20"/>
                <w:color w:val="auto"/>
              </w:rPr>
            </w:pPr>
            <w:r>
              <w:rPr>
                <w:rFonts w:ascii="Arial" w:cs="Arial" w:eastAsia="Arial" w:hAnsi="Arial"/>
                <w:sz w:val="16"/>
                <w:szCs w:val="16"/>
                <w:color w:val="auto"/>
              </w:rPr>
              <w:t>6,105,441</w:t>
            </w: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02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3340" w:type="dxa"/>
            <w:vAlign w:val="bottom"/>
            <w:vMerge w:val="continue"/>
          </w:tcPr>
          <w:p>
            <w:pPr>
              <w:spacing w:after="0"/>
              <w:rPr>
                <w:sz w:val="17"/>
                <w:szCs w:val="17"/>
                <w:color w:val="auto"/>
              </w:rPr>
            </w:pPr>
          </w:p>
        </w:tc>
        <w:tc>
          <w:tcPr>
            <w:tcW w:w="20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6,022,273</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6,105,441</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3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3340" w:type="dxa"/>
            <w:vAlign w:val="bottom"/>
            <w:shd w:val="clear" w:color="auto" w:fill="CCEEFF"/>
          </w:tcPr>
          <w:p>
            <w:pPr>
              <w:ind w:left="400"/>
              <w:spacing w:after="0"/>
              <w:rPr>
                <w:sz w:val="20"/>
                <w:szCs w:val="20"/>
                <w:color w:val="auto"/>
              </w:rPr>
            </w:pPr>
            <w:r>
              <w:rPr>
                <w:rFonts w:ascii="Arial" w:cs="Arial" w:eastAsia="Arial" w:hAnsi="Arial"/>
                <w:sz w:val="16"/>
                <w:szCs w:val="16"/>
                <w:color w:val="auto"/>
              </w:rPr>
              <w:t>Total Utilities</w:t>
            </w: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6,022,273</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6,105,441</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0"/>
        </w:trPr>
        <w:tc>
          <w:tcPr>
            <w:tcW w:w="41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Sub Total Non-control/Non-affiliated investments</w:t>
            </w:r>
          </w:p>
        </w:tc>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180" w:type="dxa"/>
            <w:vAlign w:val="bottom"/>
            <w:gridSpan w:val="3"/>
            <w:vMerge w:val="continue"/>
          </w:tcPr>
          <w:p>
            <w:pPr>
              <w:spacing w:after="0"/>
              <w:rPr>
                <w:sz w:val="18"/>
                <w:szCs w:val="18"/>
                <w:color w:val="auto"/>
              </w:rPr>
            </w:pPr>
          </w:p>
        </w:tc>
        <w:tc>
          <w:tcPr>
            <w:tcW w:w="3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6"/>
              </w:rPr>
              <w:t>215,422,798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w w:val="96"/>
              </w:rPr>
              <w:t>216,229,627</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w w:val="95"/>
              </w:rPr>
              <w:t>180.5%</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Control investments – 16.8% (b)</w:t>
            </w:r>
          </w:p>
        </w:tc>
        <w:tc>
          <w:tcPr>
            <w:tcW w:w="116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3000" w:type="dxa"/>
            <w:vAlign w:val="bottom"/>
          </w:tcPr>
          <w:p>
            <w:pPr>
              <w:spacing w:after="0"/>
              <w:rPr>
                <w:sz w:val="20"/>
                <w:szCs w:val="20"/>
                <w:color w:val="auto"/>
              </w:rPr>
            </w:pPr>
            <w:r>
              <w:rPr>
                <w:rFonts w:ascii="Arial" w:cs="Arial" w:eastAsia="Arial" w:hAnsi="Arial"/>
                <w:sz w:val="16"/>
                <w:szCs w:val="16"/>
                <w:color w:val="auto"/>
              </w:rPr>
              <w:t>Saratoga Investment Corp. CLO 2013-1,</w:t>
            </w:r>
          </w:p>
        </w:tc>
        <w:tc>
          <w:tcPr>
            <w:tcW w:w="1160" w:type="dxa"/>
            <w:vAlign w:val="bottom"/>
          </w:tcPr>
          <w:p>
            <w:pPr>
              <w:ind w:left="320"/>
              <w:spacing w:after="0"/>
              <w:rPr>
                <w:sz w:val="20"/>
                <w:szCs w:val="20"/>
                <w:color w:val="auto"/>
              </w:rPr>
            </w:pPr>
            <w:r>
              <w:rPr>
                <w:rFonts w:ascii="Arial" w:cs="Arial" w:eastAsia="Arial" w:hAnsi="Arial"/>
                <w:sz w:val="16"/>
                <w:szCs w:val="16"/>
                <w:color w:val="auto"/>
              </w:rPr>
              <w:t>Structured</w:t>
            </w:r>
          </w:p>
        </w:tc>
        <w:tc>
          <w:tcPr>
            <w:tcW w:w="3340" w:type="dxa"/>
            <w:vAlign w:val="bottom"/>
          </w:tcPr>
          <w:p>
            <w:pPr>
              <w:ind w:left="60"/>
              <w:spacing w:after="0"/>
              <w:rPr>
                <w:sz w:val="20"/>
                <w:szCs w:val="20"/>
                <w:color w:val="auto"/>
              </w:rPr>
            </w:pPr>
            <w:r>
              <w:rPr>
                <w:rFonts w:ascii="Arial" w:cs="Arial" w:eastAsia="Arial" w:hAnsi="Arial"/>
                <w:sz w:val="16"/>
                <w:szCs w:val="16"/>
                <w:color w:val="auto"/>
              </w:rPr>
              <w:t>Other/Structured Finance Securities 16.01%,</w:t>
            </w: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000" w:type="dxa"/>
            <w:vAlign w:val="bottom"/>
          </w:tcPr>
          <w:p>
            <w:pPr>
              <w:ind w:left="160"/>
              <w:spacing w:after="0"/>
              <w:rPr>
                <w:sz w:val="20"/>
                <w:szCs w:val="20"/>
                <w:color w:val="auto"/>
              </w:rPr>
            </w:pPr>
            <w:r>
              <w:rPr>
                <w:rFonts w:ascii="Arial" w:cs="Arial" w:eastAsia="Arial" w:hAnsi="Arial"/>
                <w:sz w:val="16"/>
                <w:szCs w:val="16"/>
                <w:color w:val="auto"/>
              </w:rPr>
              <w:t>Ltd. (a), (d), (e), (f)</w:t>
            </w:r>
          </w:p>
        </w:tc>
        <w:tc>
          <w:tcPr>
            <w:tcW w:w="1160" w:type="dxa"/>
            <w:vAlign w:val="bottom"/>
          </w:tcPr>
          <w:p>
            <w:pPr>
              <w:ind w:left="320"/>
              <w:spacing w:after="0"/>
              <w:rPr>
                <w:sz w:val="20"/>
                <w:szCs w:val="20"/>
                <w:color w:val="auto"/>
              </w:rPr>
            </w:pPr>
            <w:r>
              <w:rPr>
                <w:rFonts w:ascii="Arial" w:cs="Arial" w:eastAsia="Arial" w:hAnsi="Arial"/>
                <w:sz w:val="16"/>
                <w:szCs w:val="16"/>
                <w:color w:val="auto"/>
              </w:rPr>
              <w:t>Finance</w:t>
            </w:r>
          </w:p>
        </w:tc>
        <w:tc>
          <w:tcPr>
            <w:tcW w:w="3340" w:type="dxa"/>
            <w:vAlign w:val="bottom"/>
          </w:tcPr>
          <w:p>
            <w:pPr>
              <w:ind w:left="60"/>
              <w:spacing w:after="0"/>
              <w:rPr>
                <w:sz w:val="20"/>
                <w:szCs w:val="20"/>
                <w:color w:val="auto"/>
              </w:rPr>
            </w:pPr>
            <w:r>
              <w:rPr>
                <w:rFonts w:ascii="Arial" w:cs="Arial" w:eastAsia="Arial" w:hAnsi="Arial"/>
                <w:sz w:val="16"/>
                <w:szCs w:val="16"/>
                <w:color w:val="auto"/>
              </w:rPr>
              <w:t>10/17/2023</w:t>
            </w: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1160" w:type="dxa"/>
            <w:vAlign w:val="bottom"/>
          </w:tcPr>
          <w:p>
            <w:pPr>
              <w:ind w:left="320"/>
              <w:spacing w:after="0"/>
              <w:rPr>
                <w:sz w:val="20"/>
                <w:szCs w:val="20"/>
                <w:color w:val="auto"/>
              </w:rPr>
            </w:pPr>
            <w:r>
              <w:rPr>
                <w:rFonts w:ascii="Arial" w:cs="Arial" w:eastAsia="Arial" w:hAnsi="Arial"/>
                <w:sz w:val="16"/>
                <w:szCs w:val="16"/>
                <w:color w:val="auto"/>
              </w:rPr>
              <w:t>Securities</w:t>
            </w:r>
          </w:p>
        </w:tc>
        <w:tc>
          <w:tcPr>
            <w:tcW w:w="334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119"/>
              <w:spacing w:after="0"/>
              <w:rPr>
                <w:sz w:val="20"/>
                <w:szCs w:val="20"/>
                <w:color w:val="auto"/>
              </w:rPr>
            </w:pPr>
            <w:r>
              <w:rPr>
                <w:rFonts w:ascii="Arial" w:cs="Arial" w:eastAsia="Arial" w:hAnsi="Arial"/>
                <w:sz w:val="16"/>
                <w:szCs w:val="16"/>
                <w:color w:val="auto"/>
                <w:w w:val="89"/>
              </w:rPr>
              <w:t>30,000,000</w:t>
            </w:r>
          </w:p>
        </w:tc>
        <w:tc>
          <w:tcPr>
            <w:tcW w:w="880" w:type="dxa"/>
            <w:vAlign w:val="bottom"/>
          </w:tcPr>
          <w:p>
            <w:pPr>
              <w:jc w:val="right"/>
              <w:spacing w:after="0"/>
              <w:rPr>
                <w:sz w:val="20"/>
                <w:szCs w:val="20"/>
                <w:color w:val="auto"/>
              </w:rPr>
            </w:pPr>
            <w:r>
              <w:rPr>
                <w:rFonts w:ascii="Arial" w:cs="Arial" w:eastAsia="Arial" w:hAnsi="Arial"/>
                <w:sz w:val="16"/>
                <w:szCs w:val="16"/>
                <w:color w:val="auto"/>
              </w:rPr>
              <w:t>16,555,808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20,090,075</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30"/>
        </w:trPr>
        <w:tc>
          <w:tcPr>
            <w:tcW w:w="20" w:type="dxa"/>
            <w:vAlign w:val="bottom"/>
            <w:vMerge w:val="restart"/>
          </w:tcPr>
          <w:p>
            <w:pPr>
              <w:spacing w:after="0"/>
              <w:rPr>
                <w:sz w:val="2"/>
                <w:szCs w:val="2"/>
                <w:color w:val="auto"/>
              </w:rPr>
            </w:pPr>
          </w:p>
        </w:tc>
        <w:tc>
          <w:tcPr>
            <w:tcW w:w="30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vMerge w:val="continue"/>
          </w:tcPr>
          <w:p>
            <w:pPr>
              <w:spacing w:after="0"/>
              <w:rPr>
                <w:sz w:val="17"/>
                <w:szCs w:val="17"/>
                <w:color w:val="auto"/>
              </w:rPr>
            </w:pPr>
          </w:p>
        </w:tc>
        <w:tc>
          <w:tcPr>
            <w:tcW w:w="30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Sub Total Control investments</w:t>
            </w:r>
          </w:p>
        </w:tc>
        <w:tc>
          <w:tcPr>
            <w:tcW w:w="1160" w:type="dxa"/>
            <w:vAlign w:val="bottom"/>
            <w:shd w:val="clear" w:color="auto" w:fill="CCEEFF"/>
          </w:tcPr>
          <w:p>
            <w:pPr>
              <w:spacing w:after="0"/>
              <w:rPr>
                <w:sz w:val="17"/>
                <w:szCs w:val="17"/>
                <w:color w:val="auto"/>
              </w:rPr>
            </w:pPr>
          </w:p>
        </w:tc>
        <w:tc>
          <w:tcPr>
            <w:tcW w:w="33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16,555,808</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20,090,075</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16.8%</w:t>
            </w:r>
          </w:p>
        </w:tc>
        <w:tc>
          <w:tcPr>
            <w:tcW w:w="0" w:type="dxa"/>
            <w:vAlign w:val="bottom"/>
          </w:tcPr>
          <w:p>
            <w:pPr>
              <w:spacing w:after="0"/>
              <w:rPr>
                <w:sz w:val="1"/>
                <w:szCs w:val="1"/>
                <w:color w:val="auto"/>
              </w:rPr>
            </w:pPr>
          </w:p>
        </w:tc>
      </w:tr>
      <w:tr>
        <w:trPr>
          <w:trHeight w:val="20"/>
        </w:trPr>
        <w:tc>
          <w:tcPr>
            <w:tcW w:w="30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TOTAL INVESTMENTS – 197.3% (b)</w:t>
            </w:r>
          </w:p>
        </w:tc>
        <w:tc>
          <w:tcPr>
            <w:tcW w:w="1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020" w:type="dxa"/>
            <w:vAlign w:val="bottom"/>
            <w:gridSpan w:val="2"/>
            <w:vMerge w:val="continue"/>
          </w:tcPr>
          <w:p>
            <w:pPr>
              <w:spacing w:after="0"/>
              <w:rPr>
                <w:sz w:val="17"/>
                <w:szCs w:val="17"/>
                <w:color w:val="auto"/>
              </w:rPr>
            </w:pPr>
          </w:p>
        </w:tc>
        <w:tc>
          <w:tcPr>
            <w:tcW w:w="1160" w:type="dxa"/>
            <w:vAlign w:val="bottom"/>
          </w:tcPr>
          <w:p>
            <w:pPr>
              <w:spacing w:after="0"/>
              <w:rPr>
                <w:sz w:val="17"/>
                <w:szCs w:val="17"/>
                <w:color w:val="auto"/>
              </w:rPr>
            </w:pPr>
          </w:p>
        </w:tc>
        <w:tc>
          <w:tcPr>
            <w:tcW w:w="3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u w:val="single" w:color="auto"/>
                <w:color w:val="auto"/>
                <w:w w:val="87"/>
              </w:rPr>
              <w:t>$</w:t>
            </w:r>
            <w:r>
              <w:rPr>
                <w:rFonts w:ascii="Arial" w:cs="Arial" w:eastAsia="Arial" w:hAnsi="Arial"/>
                <w:sz w:val="16"/>
                <w:szCs w:val="16"/>
                <w:b w:val="1"/>
                <w:bCs w:val="1"/>
                <w:color w:val="auto"/>
                <w:w w:val="87"/>
              </w:rPr>
              <w:t>231,978,606</w:t>
            </w:r>
          </w:p>
        </w:tc>
        <w:tc>
          <w:tcPr>
            <w:tcW w:w="20" w:type="dxa"/>
            <w:vAlign w:val="bottom"/>
            <w:vMerge w:val="continue"/>
          </w:tcPr>
          <w:p>
            <w:pPr>
              <w:spacing w:after="0"/>
              <w:rPr>
                <w:sz w:val="17"/>
                <w:szCs w:val="17"/>
                <w:color w:val="auto"/>
              </w:rPr>
            </w:pPr>
          </w:p>
        </w:tc>
        <w:tc>
          <w:tcPr>
            <w:tcW w:w="180" w:type="dxa"/>
            <w:vAlign w:val="bottom"/>
            <w:vMerge w:val="continue"/>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b w:val="1"/>
                <w:bCs w:val="1"/>
                <w:u w:val="single" w:color="auto"/>
                <w:color w:val="auto"/>
                <w:w w:val="87"/>
              </w:rPr>
              <w:t>$</w:t>
            </w:r>
            <w:r>
              <w:rPr>
                <w:rFonts w:ascii="Arial" w:cs="Arial" w:eastAsia="Arial" w:hAnsi="Arial"/>
                <w:sz w:val="16"/>
                <w:szCs w:val="16"/>
                <w:b w:val="1"/>
                <w:bCs w:val="1"/>
                <w:color w:val="auto"/>
                <w:w w:val="87"/>
              </w:rPr>
              <w:t>236,319,702</w:t>
            </w:r>
          </w:p>
        </w:tc>
        <w:tc>
          <w:tcPr>
            <w:tcW w:w="200" w:type="dxa"/>
            <w:vAlign w:val="bottom"/>
            <w:vMerge w:val="continue"/>
          </w:tcPr>
          <w:p>
            <w:pPr>
              <w:spacing w:after="0"/>
              <w:rPr>
                <w:sz w:val="17"/>
                <w:szCs w:val="17"/>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w w:val="99"/>
              </w:rPr>
              <w:t>197.3%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300" w:hanging="452"/>
        <w:spacing w:after="0" w:line="29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Represents a non-qualifyng investment as defined under Section 55 (a) of the Investment Company Act of 1940, as amended. Non-qualifying assets represent 8.5% of the Company’s portfolio at fair value. As a BDC, the Company can only invest 30% of its portfolio in non-qualifying assets.</w:t>
      </w: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Percentages are based on net assets of $119,817,820 as of August 31, 2014.</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Because there is no readily available market value for these investments, the fair value of these investments is approved in good faith by our board of directors (see Note 3 to the consolidated financial statements).</w:t>
      </w:r>
    </w:p>
    <w:p>
      <w:pPr>
        <w:ind w:left="460" w:hanging="452"/>
        <w:spacing w:after="0"/>
        <w:tabs>
          <w:tab w:leader="none" w:pos="46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These securities are pledged as collateral under a senior secured revolving credit facility (see Note 6 to the consolidated financial statements).</w:t>
      </w:r>
    </w:p>
    <w:p>
      <w:pPr>
        <w:spacing w:after="0" w:line="20" w:lineRule="exact"/>
        <w:rPr>
          <w:rFonts w:ascii="Arial" w:cs="Arial" w:eastAsia="Arial" w:hAnsi="Arial"/>
          <w:sz w:val="17"/>
          <w:szCs w:val="17"/>
          <w:color w:val="auto"/>
        </w:rPr>
      </w:pPr>
    </w:p>
    <w:p>
      <w:pPr>
        <w:ind w:left="460" w:right="40" w:hanging="452"/>
        <w:spacing w:after="0" w:line="281" w:lineRule="auto"/>
        <w:tabs>
          <w:tab w:leader="none" w:pos="4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This investment does not have a stated interest rate that is payable thereon. As a result, the 16.01% interest rate in the table above represents the interest rate currently earned on the investment cost and is based on the current cash interest and other income generated by the investment.</w:t>
      </w:r>
    </w:p>
    <w:p>
      <w:pPr>
        <w:spacing w:after="0" w:line="1" w:lineRule="exact"/>
        <w:rPr>
          <w:rFonts w:ascii="Arial" w:cs="Arial" w:eastAsia="Arial" w:hAnsi="Arial"/>
          <w:sz w:val="16"/>
          <w:szCs w:val="16"/>
          <w:color w:val="auto"/>
        </w:rPr>
      </w:pPr>
    </w:p>
    <w:p>
      <w:pPr>
        <w:ind w:left="460" w:right="220" w:hanging="452"/>
        <w:spacing w:after="0" w:line="255" w:lineRule="auto"/>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pacing w:after="0" w:line="196"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5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10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Purchases</w:t>
            </w: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Redemptions</w:t>
            </w:r>
          </w:p>
        </w:tc>
        <w:tc>
          <w:tcPr>
            <w:tcW w:w="380" w:type="dxa"/>
            <w:vAlign w:val="bottom"/>
          </w:tcPr>
          <w:p>
            <w:pPr>
              <w:spacing w:after="0"/>
              <w:rPr>
                <w:sz w:val="14"/>
                <w:szCs w:val="14"/>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3"/>
              </w:rPr>
              <w:t>Sales (cost)</w:t>
            </w:r>
          </w:p>
        </w:tc>
        <w:tc>
          <w:tcPr>
            <w:tcW w:w="4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Interest</w:t>
            </w:r>
          </w:p>
        </w:tc>
        <w:tc>
          <w:tcPr>
            <w:tcW w:w="4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Management</w:t>
            </w:r>
          </w:p>
        </w:tc>
        <w:tc>
          <w:tcPr>
            <w:tcW w:w="2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93"/>
              </w:rPr>
              <w:t>Net Realized</w:t>
            </w:r>
          </w:p>
        </w:tc>
        <w:tc>
          <w:tcPr>
            <w:tcW w:w="4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Net Unrealized</w:t>
            </w:r>
          </w:p>
        </w:tc>
        <w:tc>
          <w:tcPr>
            <w:tcW w:w="0" w:type="dxa"/>
            <w:vAlign w:val="bottom"/>
          </w:tcPr>
          <w:p>
            <w:pPr>
              <w:spacing w:after="0"/>
              <w:rPr>
                <w:sz w:val="1"/>
                <w:szCs w:val="1"/>
                <w:color w:val="auto"/>
              </w:rPr>
            </w:pPr>
          </w:p>
        </w:tc>
      </w:tr>
      <w:tr>
        <w:trPr>
          <w:trHeight w:val="171"/>
        </w:trPr>
        <w:tc>
          <w:tcPr>
            <w:tcW w:w="2580" w:type="dxa"/>
            <w:vAlign w:val="bottom"/>
            <w:gridSpan w:val="2"/>
            <w:vMerge w:val="continue"/>
          </w:tcPr>
          <w:p>
            <w:pPr>
              <w:spacing w:after="0"/>
              <w:rPr>
                <w:sz w:val="14"/>
                <w:szCs w:val="14"/>
                <w:color w:val="auto"/>
              </w:rPr>
            </w:pPr>
          </w:p>
        </w:tc>
        <w:tc>
          <w:tcPr>
            <w:tcW w:w="1000" w:type="dxa"/>
            <w:vAlign w:val="bottom"/>
            <w:gridSpan w:val="3"/>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3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3"/>
              </w:rPr>
              <w:t>Income</w:t>
            </w:r>
          </w:p>
        </w:tc>
        <w:tc>
          <w:tcPr>
            <w:tcW w:w="400" w:type="dxa"/>
            <w:vAlign w:val="bottom"/>
          </w:tcPr>
          <w:p>
            <w:pPr>
              <w:spacing w:after="0"/>
              <w:rPr>
                <w:sz w:val="14"/>
                <w:szCs w:val="14"/>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fee income</w:t>
            </w:r>
          </w:p>
        </w:tc>
        <w:tc>
          <w:tcPr>
            <w:tcW w:w="200" w:type="dxa"/>
            <w:vAlign w:val="bottom"/>
          </w:tcPr>
          <w:p>
            <w:pPr>
              <w:spacing w:after="0"/>
              <w:rPr>
                <w:sz w:val="14"/>
                <w:szCs w:val="14"/>
                <w:color w:val="auto"/>
              </w:rPr>
            </w:pPr>
          </w:p>
        </w:tc>
        <w:tc>
          <w:tcPr>
            <w:tcW w:w="800" w:type="dxa"/>
            <w:vAlign w:val="bottom"/>
            <w:gridSpan w:val="2"/>
          </w:tcPr>
          <w:p>
            <w:pPr>
              <w:spacing w:after="0"/>
              <w:rPr>
                <w:sz w:val="20"/>
                <w:szCs w:val="20"/>
                <w:color w:val="auto"/>
              </w:rPr>
            </w:pPr>
            <w:r>
              <w:rPr>
                <w:rFonts w:ascii="Arial" w:cs="Arial" w:eastAsia="Arial" w:hAnsi="Arial"/>
                <w:sz w:val="14"/>
                <w:szCs w:val="14"/>
                <w:b w:val="1"/>
                <w:bCs w:val="1"/>
                <w:color w:val="auto"/>
                <w:w w:val="83"/>
              </w:rPr>
              <w:t>gains/(losses)</w:t>
            </w:r>
          </w:p>
        </w:tc>
        <w:tc>
          <w:tcPr>
            <w:tcW w:w="40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gains/(losses)</w:t>
            </w:r>
          </w:p>
        </w:tc>
        <w:tc>
          <w:tcPr>
            <w:tcW w:w="0" w:type="dxa"/>
            <w:vAlign w:val="bottom"/>
          </w:tcPr>
          <w:p>
            <w:pPr>
              <w:spacing w:after="0"/>
              <w:rPr>
                <w:sz w:val="1"/>
                <w:szCs w:val="1"/>
                <w:color w:val="auto"/>
              </w:rPr>
            </w:pPr>
          </w:p>
        </w:tc>
      </w:tr>
      <w:tr>
        <w:trPr>
          <w:trHeight w:val="182"/>
        </w:trPr>
        <w:tc>
          <w:tcPr>
            <w:tcW w:w="600" w:type="dxa"/>
            <w:vAlign w:val="bottom"/>
            <w:tcBorders>
              <w:top w:val="single" w:sz="8" w:color="auto"/>
            </w:tcBorders>
            <w:shd w:val="clear" w:color="auto" w:fill="CCEEFF"/>
          </w:tcPr>
          <w:p>
            <w:pPr>
              <w:spacing w:after="0" w:line="182" w:lineRule="exact"/>
              <w:rPr>
                <w:sz w:val="20"/>
                <w:szCs w:val="20"/>
                <w:color w:val="auto"/>
              </w:rPr>
            </w:pPr>
            <w:r>
              <w:rPr>
                <w:rFonts w:ascii="Arial" w:cs="Arial" w:eastAsia="Arial" w:hAnsi="Arial"/>
                <w:sz w:val="18"/>
                <w:szCs w:val="18"/>
                <w:color w:val="auto"/>
                <w:w w:val="79"/>
              </w:rPr>
              <w:t>Saratoga</w:t>
            </w:r>
          </w:p>
        </w:tc>
        <w:tc>
          <w:tcPr>
            <w:tcW w:w="1980" w:type="dxa"/>
            <w:vAlign w:val="bottom"/>
            <w:tcBorders>
              <w:top w:val="single" w:sz="8" w:color="CCEEFF"/>
            </w:tcBorders>
            <w:shd w:val="clear" w:color="auto" w:fill="CCEEFF"/>
          </w:tcPr>
          <w:p>
            <w:pPr>
              <w:ind w:left="80"/>
              <w:spacing w:after="0" w:line="182" w:lineRule="exact"/>
              <w:rPr>
                <w:sz w:val="20"/>
                <w:szCs w:val="20"/>
                <w:color w:val="auto"/>
              </w:rPr>
            </w:pPr>
            <w:r>
              <w:rPr>
                <w:rFonts w:ascii="Arial" w:cs="Arial" w:eastAsia="Arial" w:hAnsi="Arial"/>
                <w:sz w:val="18"/>
                <w:szCs w:val="18"/>
                <w:color w:val="auto"/>
              </w:rPr>
              <w:t>Investment Corp.</w:t>
            </w:r>
          </w:p>
        </w:tc>
        <w:tc>
          <w:tcPr>
            <w:tcW w:w="2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0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CLO 2013-1, Ltd.</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1,301,369</w:t>
            </w:r>
          </w:p>
        </w:tc>
        <w:tc>
          <w:tcPr>
            <w:tcW w:w="1400" w:type="dxa"/>
            <w:vAlign w:val="bottom"/>
            <w:gridSpan w:val="3"/>
            <w:shd w:val="clear" w:color="auto" w:fill="CCEEFF"/>
          </w:tcPr>
          <w:p>
            <w:pPr>
              <w:jc w:val="center"/>
              <w:ind w:left="110"/>
              <w:spacing w:after="0"/>
              <w:rPr>
                <w:sz w:val="20"/>
                <w:szCs w:val="20"/>
                <w:color w:val="auto"/>
              </w:rPr>
            </w:pPr>
            <w:r>
              <w:rPr>
                <w:rFonts w:ascii="Arial" w:cs="Arial" w:eastAsia="Arial" w:hAnsi="Arial"/>
                <w:sz w:val="18"/>
                <w:szCs w:val="18"/>
                <w:color w:val="auto"/>
                <w:w w:val="93"/>
              </w:rPr>
              <w:t>$  767,493</w:t>
            </w:r>
          </w:p>
        </w:tc>
        <w:tc>
          <w:tcPr>
            <w:tcW w:w="5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center"/>
              <w:ind w:left="310"/>
              <w:spacing w:after="0"/>
              <w:rPr>
                <w:sz w:val="20"/>
                <w:szCs w:val="20"/>
                <w:color w:val="auto"/>
              </w:rPr>
            </w:pPr>
            <w:r>
              <w:rPr>
                <w:rFonts w:ascii="Arial" w:cs="Arial" w:eastAsia="Arial" w:hAnsi="Arial"/>
                <w:sz w:val="18"/>
                <w:szCs w:val="18"/>
                <w:color w:val="auto"/>
                <w:w w:val="91"/>
              </w:rPr>
              <w:t>$  3,534,267</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Non-income producing at August 31, 2014.</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securities issued by an affiliate of the company.</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28, 2014</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60" w:type="dxa"/>
            <w:vAlign w:val="bottom"/>
          </w:tcPr>
          <w:p>
            <w:pPr>
              <w:spacing w:after="0"/>
              <w:rPr>
                <w:sz w:val="14"/>
                <w:szCs w:val="14"/>
                <w:color w:val="auto"/>
              </w:rPr>
            </w:pPr>
          </w:p>
        </w:tc>
        <w:tc>
          <w:tcPr>
            <w:tcW w:w="1420" w:type="dxa"/>
            <w:vAlign w:val="bottom"/>
            <w:vMerge w:val="restart"/>
          </w:tcPr>
          <w:p>
            <w:pPr>
              <w:ind w:left="440"/>
              <w:spacing w:after="0"/>
              <w:rPr>
                <w:sz w:val="20"/>
                <w:szCs w:val="20"/>
                <w:color w:val="auto"/>
              </w:rPr>
            </w:pPr>
            <w:r>
              <w:rPr>
                <w:rFonts w:ascii="Arial" w:cs="Arial" w:eastAsia="Arial" w:hAnsi="Arial"/>
                <w:sz w:val="14"/>
                <w:szCs w:val="14"/>
                <w:b w:val="1"/>
                <w:bCs w:val="1"/>
                <w:color w:val="auto"/>
              </w:rPr>
              <w:t>Industry</w:t>
            </w:r>
          </w:p>
        </w:tc>
        <w:tc>
          <w:tcPr>
            <w:tcW w:w="60" w:type="dxa"/>
            <w:vAlign w:val="bottom"/>
          </w:tcPr>
          <w:p>
            <w:pPr>
              <w:spacing w:after="0"/>
              <w:rPr>
                <w:sz w:val="14"/>
                <w:szCs w:val="14"/>
                <w:color w:val="auto"/>
              </w:rPr>
            </w:pPr>
          </w:p>
        </w:tc>
        <w:tc>
          <w:tcPr>
            <w:tcW w:w="1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Investment Interest</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Principal/</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Cost</w:t>
            </w:r>
          </w:p>
        </w:tc>
        <w:tc>
          <w:tcPr>
            <w:tcW w:w="106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5"/>
              </w:rPr>
              <w:t>Fair Value (c)</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6"/>
        </w:trPr>
        <w:tc>
          <w:tcPr>
            <w:tcW w:w="38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17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9"/>
              </w:rPr>
              <w:t>Rate / Maturity</w:t>
            </w:r>
          </w:p>
        </w:tc>
        <w:tc>
          <w:tcPr>
            <w:tcW w:w="20" w:type="dxa"/>
            <w:vAlign w:val="bottom"/>
          </w:tcPr>
          <w:p>
            <w:pPr>
              <w:spacing w:after="0"/>
              <w:rPr>
                <w:sz w:val="15"/>
                <w:szCs w:val="15"/>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7"/>
              </w:rPr>
              <w:t>Number of Shares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800" w:type="dxa"/>
            <w:vAlign w:val="bottom"/>
            <w:tcBorders>
              <w:top w:val="single" w:sz="8" w:color="auto"/>
            </w:tcBorders>
            <w:shd w:val="clear" w:color="auto" w:fill="CCEEFF"/>
          </w:tcPr>
          <w:p>
            <w:pPr>
              <w:spacing w:after="0" w:line="191" w:lineRule="exact"/>
              <w:rPr>
                <w:sz w:val="20"/>
                <w:szCs w:val="20"/>
                <w:color w:val="auto"/>
              </w:rPr>
            </w:pPr>
            <w:r>
              <w:rPr>
                <w:rFonts w:ascii="Arial" w:cs="Arial" w:eastAsia="Arial" w:hAnsi="Arial"/>
                <w:sz w:val="18"/>
                <w:szCs w:val="18"/>
                <w:b w:val="1"/>
                <w:bCs w:val="1"/>
                <w:color w:val="auto"/>
              </w:rPr>
              <w:t>Non-control/Non-affiliated</w:t>
            </w:r>
          </w:p>
        </w:tc>
        <w:tc>
          <w:tcPr>
            <w:tcW w:w="60" w:type="dxa"/>
            <w:vAlign w:val="bottom"/>
            <w:tcBorders>
              <w:top w:val="single" w:sz="8" w:color="CCEEFF"/>
            </w:tcBorders>
            <w:shd w:val="clear" w:color="auto" w:fill="CCEEFF"/>
          </w:tcPr>
          <w:p>
            <w:pPr>
              <w:spacing w:after="0"/>
              <w:rPr>
                <w:sz w:val="16"/>
                <w:szCs w:val="16"/>
                <w:color w:val="auto"/>
              </w:rPr>
            </w:pPr>
          </w:p>
        </w:tc>
        <w:tc>
          <w:tcPr>
            <w:tcW w:w="14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1740" w:type="dxa"/>
            <w:vAlign w:val="bottom"/>
            <w:tcBorders>
              <w:top w:val="single" w:sz="8" w:color="auto"/>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investments - 162.1% (b)</w:t>
            </w:r>
          </w:p>
        </w:tc>
        <w:tc>
          <w:tcPr>
            <w:tcW w:w="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PATS Aircraft, LLC (d), (g)</w:t>
            </w:r>
          </w:p>
        </w:tc>
        <w:tc>
          <w:tcPr>
            <w:tcW w:w="1480" w:type="dxa"/>
            <w:vAlign w:val="bottom"/>
            <w:gridSpan w:val="2"/>
          </w:tcPr>
          <w:p>
            <w:pPr>
              <w:ind w:left="60"/>
              <w:spacing w:after="0"/>
              <w:rPr>
                <w:sz w:val="20"/>
                <w:szCs w:val="20"/>
                <w:color w:val="auto"/>
              </w:rPr>
            </w:pPr>
            <w:r>
              <w:rPr>
                <w:rFonts w:ascii="Arial" w:cs="Arial" w:eastAsia="Arial" w:hAnsi="Arial"/>
                <w:sz w:val="18"/>
                <w:szCs w:val="18"/>
                <w:color w:val="auto"/>
              </w:rPr>
              <w:t>Aerospace</w:t>
            </w:r>
          </w:p>
        </w:tc>
        <w:tc>
          <w:tcPr>
            <w:tcW w:w="1840" w:type="dxa"/>
            <w:vAlign w:val="bottom"/>
            <w:gridSpan w:val="3"/>
          </w:tcPr>
          <w:p>
            <w:pPr>
              <w:ind w:left="60"/>
              <w:spacing w:after="0"/>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51,813</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89,636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89,636</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PATS Aircraft, LLC (d)</w:t>
            </w:r>
          </w:p>
        </w:tc>
        <w:tc>
          <w:tcPr>
            <w:tcW w:w="14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Aerospace</w:t>
            </w:r>
          </w:p>
        </w:tc>
        <w:tc>
          <w:tcPr>
            <w:tcW w:w="184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First Lien Term Loan</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8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3"/>
              </w:rPr>
              <w:t>8.50% Cash, 10/6/2016</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254,598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254,598</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254,598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780" w:type="dxa"/>
            <w:vAlign w:val="bottom"/>
            <w:gridSpan w:val="2"/>
            <w:vMerge w:val="restart"/>
          </w:tcPr>
          <w:p>
            <w:pPr>
              <w:ind w:left="360"/>
              <w:spacing w:after="0"/>
              <w:rPr>
                <w:sz w:val="20"/>
                <w:szCs w:val="20"/>
                <w:color w:val="auto"/>
              </w:rPr>
            </w:pPr>
            <w:r>
              <w:rPr>
                <w:rFonts w:ascii="Arial" w:cs="Arial" w:eastAsia="Arial" w:hAnsi="Arial"/>
                <w:sz w:val="18"/>
                <w:szCs w:val="18"/>
                <w:color w:val="auto"/>
              </w:rPr>
              <w:t>Total Aerospace</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1780" w:type="dxa"/>
            <w:vAlign w:val="bottom"/>
            <w:gridSpan w:val="2"/>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344,234</w:t>
            </w:r>
          </w:p>
        </w:tc>
        <w:tc>
          <w:tcPr>
            <w:tcW w:w="1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344,234</w:t>
            </w:r>
          </w:p>
        </w:tc>
        <w:tc>
          <w:tcPr>
            <w:tcW w:w="160" w:type="dxa"/>
            <w:vAlign w:val="bottom"/>
            <w:vMerge w:val="continue"/>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National Truck Protection Co., Inc. (d), (g)</w:t>
            </w:r>
          </w:p>
        </w:tc>
        <w:tc>
          <w:tcPr>
            <w:tcW w:w="1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Automotive</w:t>
            </w:r>
          </w:p>
        </w:tc>
        <w:tc>
          <w:tcPr>
            <w:tcW w:w="18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1,000,000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1,152,531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National Truck Protection Co., Inc. (d)</w:t>
            </w:r>
          </w:p>
        </w:tc>
        <w:tc>
          <w:tcPr>
            <w:tcW w:w="148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Automotive</w:t>
            </w:r>
          </w:p>
        </w:tc>
        <w:tc>
          <w:tcPr>
            <w:tcW w:w="184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First Lien Term Loan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40" w:type="dxa"/>
            <w:vAlign w:val="bottom"/>
            <w:gridSpan w:val="3"/>
          </w:tcPr>
          <w:p>
            <w:pPr>
              <w:ind w:left="60"/>
              <w:spacing w:after="0"/>
              <w:rPr>
                <w:sz w:val="20"/>
                <w:szCs w:val="20"/>
                <w:color w:val="auto"/>
              </w:rPr>
            </w:pPr>
            <w:r>
              <w:rPr>
                <w:rFonts w:ascii="Arial" w:cs="Arial" w:eastAsia="Arial" w:hAnsi="Arial"/>
                <w:sz w:val="18"/>
                <w:szCs w:val="18"/>
                <w:color w:val="auto"/>
              </w:rPr>
              <w:t>15.50% Cash,</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9/13/2018</w:t>
            </w:r>
          </w:p>
        </w:tc>
        <w:tc>
          <w:tcPr>
            <w:tcW w:w="40" w:type="dxa"/>
            <w:vAlign w:val="bottom"/>
          </w:tcPr>
          <w:p>
            <w:pPr>
              <w:spacing w:after="0"/>
              <w:rPr>
                <w:sz w:val="20"/>
                <w:szCs w:val="20"/>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8,250,000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8,250,000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8,250,000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Take 5 Oil Change, L.L.C. (d), (g)</w:t>
            </w:r>
          </w:p>
        </w:tc>
        <w:tc>
          <w:tcPr>
            <w:tcW w:w="14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Automotive</w:t>
            </w:r>
          </w:p>
        </w:tc>
        <w:tc>
          <w:tcPr>
            <w:tcW w:w="18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7,128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712,800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1,217,747</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780" w:type="dxa"/>
            <w:vAlign w:val="bottom"/>
            <w:gridSpan w:val="2"/>
            <w:vMerge w:val="restart"/>
          </w:tcPr>
          <w:p>
            <w:pPr>
              <w:ind w:left="480"/>
              <w:spacing w:after="0"/>
              <w:rPr>
                <w:sz w:val="20"/>
                <w:szCs w:val="20"/>
                <w:color w:val="auto"/>
              </w:rPr>
            </w:pPr>
            <w:r>
              <w:rPr>
                <w:rFonts w:ascii="Arial" w:cs="Arial" w:eastAsia="Arial" w:hAnsi="Arial"/>
                <w:sz w:val="18"/>
                <w:szCs w:val="18"/>
                <w:color w:val="auto"/>
                <w:w w:val="94"/>
              </w:rPr>
              <w:t>Total Automotive</w:t>
            </w: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60" w:type="dxa"/>
            <w:vAlign w:val="bottom"/>
            <w:vMerge w:val="continue"/>
          </w:tcPr>
          <w:p>
            <w:pPr>
              <w:spacing w:after="0"/>
              <w:rPr>
                <w:sz w:val="20"/>
                <w:szCs w:val="20"/>
                <w:color w:val="auto"/>
              </w:rPr>
            </w:pPr>
          </w:p>
        </w:tc>
        <w:tc>
          <w:tcPr>
            <w:tcW w:w="178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9,962,800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88"/>
              </w:rPr>
              <w:t>10,620,278</w:t>
            </w:r>
          </w:p>
        </w:tc>
        <w:tc>
          <w:tcPr>
            <w:tcW w:w="160" w:type="dxa"/>
            <w:vAlign w:val="bottom"/>
            <w:vMerge w:val="continue"/>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Legacy Cabinets Holdings (d), (g)</w:t>
            </w:r>
          </w:p>
        </w:tc>
        <w:tc>
          <w:tcPr>
            <w:tcW w:w="14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9"/>
              </w:rPr>
              <w:t>Building Products</w:t>
            </w:r>
          </w:p>
        </w:tc>
        <w:tc>
          <w:tcPr>
            <w:tcW w:w="184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Common Stock</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8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Voting A-1</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2,535</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220,900</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552,351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Legacy Cabinets Holdings (d), (g)</w:t>
            </w:r>
          </w:p>
        </w:tc>
        <w:tc>
          <w:tcPr>
            <w:tcW w:w="148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9"/>
              </w:rPr>
              <w:t>Building Products</w:t>
            </w:r>
          </w:p>
        </w:tc>
        <w:tc>
          <w:tcPr>
            <w:tcW w:w="184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Common Stock</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40" w:type="dxa"/>
            <w:vAlign w:val="bottom"/>
            <w:gridSpan w:val="3"/>
          </w:tcPr>
          <w:p>
            <w:pPr>
              <w:ind w:left="60"/>
              <w:spacing w:after="0"/>
              <w:rPr>
                <w:sz w:val="20"/>
                <w:szCs w:val="20"/>
                <w:color w:val="auto"/>
              </w:rPr>
            </w:pPr>
            <w:r>
              <w:rPr>
                <w:rFonts w:ascii="Arial" w:cs="Arial" w:eastAsia="Arial" w:hAnsi="Arial"/>
                <w:sz w:val="18"/>
                <w:szCs w:val="18"/>
                <w:color w:val="auto"/>
              </w:rPr>
              <w:t>Voting B-1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1,600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139,424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348,624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3"/>
              </w:rPr>
              <w:t>Total Building Products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360,324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900,975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0.8%</w:t>
            </w:r>
          </w:p>
        </w:tc>
        <w:tc>
          <w:tcPr>
            <w:tcW w:w="0" w:type="dxa"/>
            <w:vAlign w:val="bottom"/>
          </w:tcPr>
          <w:p>
            <w:pPr>
              <w:spacing w:after="0"/>
              <w:rPr>
                <w:sz w:val="1"/>
                <w:szCs w:val="1"/>
                <w:color w:val="auto"/>
              </w:rPr>
            </w:pPr>
          </w:p>
        </w:tc>
      </w:tr>
      <w:tr>
        <w:trPr>
          <w:trHeight w:val="209"/>
        </w:trPr>
        <w:tc>
          <w:tcPr>
            <w:tcW w:w="3820" w:type="dxa"/>
            <w:vAlign w:val="bottom"/>
            <w:gridSpan w:val="2"/>
          </w:tcPr>
          <w:p>
            <w:pPr>
              <w:spacing w:after="0"/>
              <w:rPr>
                <w:sz w:val="20"/>
                <w:szCs w:val="20"/>
                <w:color w:val="auto"/>
              </w:rPr>
            </w:pPr>
            <w:r>
              <w:rPr>
                <w:rFonts w:ascii="Arial" w:cs="Arial" w:eastAsia="Arial" w:hAnsi="Arial"/>
                <w:sz w:val="18"/>
                <w:szCs w:val="18"/>
                <w:color w:val="auto"/>
              </w:rPr>
              <w:t>ARSloane Acquistion, LLC (d)</w:t>
            </w:r>
          </w:p>
        </w:tc>
        <w:tc>
          <w:tcPr>
            <w:tcW w:w="1480" w:type="dxa"/>
            <w:vAlign w:val="bottom"/>
            <w:gridSpan w:val="2"/>
          </w:tcPr>
          <w:p>
            <w:pPr>
              <w:ind w:left="60"/>
              <w:spacing w:after="0"/>
              <w:rPr>
                <w:sz w:val="20"/>
                <w:szCs w:val="20"/>
                <w:color w:val="auto"/>
              </w:rPr>
            </w:pPr>
            <w:r>
              <w:rPr>
                <w:rFonts w:ascii="Arial" w:cs="Arial" w:eastAsia="Arial" w:hAnsi="Arial"/>
                <w:sz w:val="18"/>
                <w:szCs w:val="18"/>
                <w:color w:val="auto"/>
                <w:w w:val="95"/>
              </w:rPr>
              <w:t>Business Services</w:t>
            </w:r>
          </w:p>
        </w:tc>
        <w:tc>
          <w:tcPr>
            <w:tcW w:w="1840" w:type="dxa"/>
            <w:vAlign w:val="bottom"/>
            <w:gridSpan w:val="3"/>
          </w:tcPr>
          <w:p>
            <w:pPr>
              <w:ind w:left="60"/>
              <w:spacing w:after="0"/>
              <w:rPr>
                <w:sz w:val="20"/>
                <w:szCs w:val="20"/>
                <w:color w:val="auto"/>
              </w:rPr>
            </w:pPr>
            <w:r>
              <w:rPr>
                <w:rFonts w:ascii="Arial" w:cs="Arial" w:eastAsia="Arial" w:hAnsi="Arial"/>
                <w:sz w:val="18"/>
                <w:szCs w:val="18"/>
                <w:color w:val="auto"/>
              </w:rPr>
              <w:t>First Lien Term Loan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40" w:type="dxa"/>
            <w:vAlign w:val="bottom"/>
            <w:gridSpan w:val="3"/>
          </w:tcPr>
          <w:p>
            <w:pPr>
              <w:ind w:left="60"/>
              <w:spacing w:after="0"/>
              <w:rPr>
                <w:sz w:val="20"/>
                <w:szCs w:val="20"/>
                <w:color w:val="auto"/>
              </w:rPr>
            </w:pPr>
            <w:r>
              <w:rPr>
                <w:rFonts w:ascii="Arial" w:cs="Arial" w:eastAsia="Arial" w:hAnsi="Arial"/>
                <w:sz w:val="18"/>
                <w:szCs w:val="18"/>
                <w:color w:val="auto"/>
                <w:w w:val="93"/>
              </w:rPr>
              <w:t>7.50% Cash, 10/1/2019</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997,500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988,200</w:t>
            </w: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1,004,981</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BMC Software, Inc. (d)</w:t>
            </w:r>
          </w:p>
        </w:tc>
        <w:tc>
          <w:tcPr>
            <w:tcW w:w="14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5"/>
              </w:rPr>
              <w:t>Business Services</w:t>
            </w:r>
          </w:p>
        </w:tc>
        <w:tc>
          <w:tcPr>
            <w:tcW w:w="184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First Lien Term Loan</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8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3"/>
              </w:rPr>
              <w:t>5.00% Cash, 9/10/2020</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6,000,000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5,943,801</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6,013,800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Dispensing Dynamics International (d)</w:t>
            </w:r>
          </w:p>
        </w:tc>
        <w:tc>
          <w:tcPr>
            <w:tcW w:w="148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5"/>
              </w:rPr>
              <w:t>Business Services</w:t>
            </w:r>
          </w:p>
        </w:tc>
        <w:tc>
          <w:tcPr>
            <w:tcW w:w="184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Senior Secured Note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40" w:type="dxa"/>
            <w:vAlign w:val="bottom"/>
            <w:gridSpan w:val="3"/>
          </w:tcPr>
          <w:p>
            <w:pPr>
              <w:ind w:left="60"/>
              <w:spacing w:after="0"/>
              <w:rPr>
                <w:sz w:val="20"/>
                <w:szCs w:val="20"/>
                <w:color w:val="auto"/>
              </w:rPr>
            </w:pPr>
            <w:r>
              <w:rPr>
                <w:rFonts w:ascii="Arial" w:cs="Arial" w:eastAsia="Arial" w:hAnsi="Arial"/>
                <w:sz w:val="18"/>
                <w:szCs w:val="18"/>
                <w:color w:val="auto"/>
                <w:w w:val="93"/>
              </w:rPr>
              <w:t>12.50% Cash, 1/1/2018</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7,000,000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6,882,278</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7,525,000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Easy Ice, LLC (d)</w:t>
            </w:r>
          </w:p>
        </w:tc>
        <w:tc>
          <w:tcPr>
            <w:tcW w:w="14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5"/>
              </w:rPr>
              <w:t>Business Services</w:t>
            </w:r>
          </w:p>
        </w:tc>
        <w:tc>
          <w:tcPr>
            <w:tcW w:w="184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First Lien Term Loan</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14.00% (11.00%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Cash/3.00% PIK),</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3/29/2018</w:t>
            </w:r>
          </w:p>
        </w:tc>
        <w:tc>
          <w:tcPr>
            <w:tcW w:w="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7,507,024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7,387,970</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7,507,024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Emily Street Enterprises, L.L.C.</w:t>
            </w:r>
          </w:p>
        </w:tc>
        <w:tc>
          <w:tcPr>
            <w:tcW w:w="148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5"/>
              </w:rPr>
              <w:t>Business Services</w:t>
            </w:r>
          </w:p>
        </w:tc>
        <w:tc>
          <w:tcPr>
            <w:tcW w:w="184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Senior Secured Note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12.00% (11.00%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40" w:type="dxa"/>
            <w:vAlign w:val="bottom"/>
            <w:gridSpan w:val="3"/>
          </w:tcPr>
          <w:p>
            <w:pPr>
              <w:ind w:left="60"/>
              <w:spacing w:after="0"/>
              <w:rPr>
                <w:sz w:val="20"/>
                <w:szCs w:val="20"/>
                <w:color w:val="auto"/>
              </w:rPr>
            </w:pPr>
            <w:r>
              <w:rPr>
                <w:rFonts w:ascii="Arial" w:cs="Arial" w:eastAsia="Arial" w:hAnsi="Arial"/>
                <w:sz w:val="18"/>
                <w:szCs w:val="18"/>
                <w:color w:val="auto"/>
              </w:rPr>
              <w:t>Cash/1.00% PIK),</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12/28/2017</w:t>
            </w:r>
          </w:p>
        </w:tc>
        <w:tc>
          <w:tcPr>
            <w:tcW w:w="40" w:type="dxa"/>
            <w:vAlign w:val="bottom"/>
          </w:tcPr>
          <w:p>
            <w:pPr>
              <w:spacing w:after="0"/>
              <w:rPr>
                <w:sz w:val="20"/>
                <w:szCs w:val="20"/>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5,767,983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5,680,703</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5,767,983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Emily Street Enterprises, L.L.C. (g)</w:t>
            </w:r>
          </w:p>
        </w:tc>
        <w:tc>
          <w:tcPr>
            <w:tcW w:w="14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5"/>
              </w:rPr>
              <w:t>Business Services</w:t>
            </w:r>
          </w:p>
        </w:tc>
        <w:tc>
          <w:tcPr>
            <w:tcW w:w="184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Warrant Membership</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8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Interests</w:t>
            </w:r>
          </w:p>
        </w:tc>
        <w:tc>
          <w:tcPr>
            <w:tcW w:w="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49,318</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400,000</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601,679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Help/Systems Holdings, Inc.(Help/Systems,</w:t>
            </w:r>
          </w:p>
        </w:tc>
        <w:tc>
          <w:tcPr>
            <w:tcW w:w="148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5"/>
              </w:rPr>
              <w:t>Business Services</w:t>
            </w:r>
          </w:p>
        </w:tc>
        <w:tc>
          <w:tcPr>
            <w:tcW w:w="184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First Lien Term Loan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LLC) (d)</w:t>
            </w: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40" w:type="dxa"/>
            <w:vAlign w:val="bottom"/>
            <w:gridSpan w:val="3"/>
          </w:tcPr>
          <w:p>
            <w:pPr>
              <w:ind w:left="60"/>
              <w:spacing w:after="0"/>
              <w:rPr>
                <w:sz w:val="20"/>
                <w:szCs w:val="20"/>
                <w:color w:val="auto"/>
              </w:rPr>
            </w:pPr>
            <w:r>
              <w:rPr>
                <w:rFonts w:ascii="Arial" w:cs="Arial" w:eastAsia="Arial" w:hAnsi="Arial"/>
                <w:sz w:val="18"/>
                <w:szCs w:val="18"/>
                <w:color w:val="auto"/>
                <w:w w:val="93"/>
              </w:rPr>
              <w:t>5.50% Cash, 6/28/2019</w:t>
            </w: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3,990,000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3,954,385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3,960,075</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Help/Systems Holdings, Inc.(Help/Systems,</w:t>
            </w:r>
          </w:p>
        </w:tc>
        <w:tc>
          <w:tcPr>
            <w:tcW w:w="14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5"/>
              </w:rPr>
              <w:t>Business Services</w:t>
            </w:r>
          </w:p>
        </w:tc>
        <w:tc>
          <w:tcPr>
            <w:tcW w:w="184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Second Lien Term</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LLC) (d)</w:t>
            </w:r>
          </w:p>
        </w:tc>
        <w:tc>
          <w:tcPr>
            <w:tcW w:w="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Loan 9.50% Cash,</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6/28/2020</w:t>
            </w:r>
          </w:p>
        </w:tc>
        <w:tc>
          <w:tcPr>
            <w:tcW w:w="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2,000,000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1,972,758</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2,000,000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Knowland Technology Holdings, L.L.C.</w:t>
            </w:r>
          </w:p>
        </w:tc>
        <w:tc>
          <w:tcPr>
            <w:tcW w:w="148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5"/>
              </w:rPr>
              <w:t>Business Services</w:t>
            </w:r>
          </w:p>
        </w:tc>
        <w:tc>
          <w:tcPr>
            <w:tcW w:w="184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First Lien Term Loan</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40" w:type="dxa"/>
            <w:vAlign w:val="bottom"/>
            <w:gridSpan w:val="3"/>
          </w:tcPr>
          <w:p>
            <w:pPr>
              <w:ind w:left="60"/>
              <w:spacing w:after="0"/>
              <w:rPr>
                <w:sz w:val="20"/>
                <w:szCs w:val="20"/>
                <w:color w:val="auto"/>
              </w:rPr>
            </w:pPr>
            <w:r>
              <w:rPr>
                <w:rFonts w:ascii="Arial" w:cs="Arial" w:eastAsia="Arial" w:hAnsi="Arial"/>
                <w:sz w:val="18"/>
                <w:szCs w:val="18"/>
                <w:color w:val="auto"/>
              </w:rPr>
              <w:t>11.00% Cash,</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11/29/2017</w:t>
            </w:r>
          </w:p>
        </w:tc>
        <w:tc>
          <w:tcPr>
            <w:tcW w:w="40" w:type="dxa"/>
            <w:vAlign w:val="bottom"/>
          </w:tcPr>
          <w:p>
            <w:pPr>
              <w:spacing w:after="0"/>
              <w:rPr>
                <w:sz w:val="20"/>
                <w:szCs w:val="20"/>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6,200,000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6,107,034</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6,200,000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Trinet HR Corporation (SOI Holdings, Inc.) (d)</w:t>
            </w:r>
          </w:p>
        </w:tc>
        <w:tc>
          <w:tcPr>
            <w:tcW w:w="14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5"/>
              </w:rPr>
              <w:t>Business Services</w:t>
            </w:r>
          </w:p>
        </w:tc>
        <w:tc>
          <w:tcPr>
            <w:tcW w:w="184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First Lien Term Loan</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8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w w:val="93"/>
              </w:rPr>
              <w:t>5.00% Cash, 8/20/2020</w:t>
            </w: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4,987,500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4,941,335</w:t>
            </w: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5,018,921</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Trinet HR Corporation (SOI Holdings, Inc.) (d)</w:t>
            </w:r>
          </w:p>
        </w:tc>
        <w:tc>
          <w:tcPr>
            <w:tcW w:w="148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5"/>
              </w:rPr>
              <w:t>Business Services</w:t>
            </w:r>
          </w:p>
        </w:tc>
        <w:tc>
          <w:tcPr>
            <w:tcW w:w="184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Second Lien Term</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40" w:type="dxa"/>
            <w:vAlign w:val="bottom"/>
            <w:gridSpan w:val="3"/>
          </w:tcPr>
          <w:p>
            <w:pPr>
              <w:ind w:left="60"/>
              <w:spacing w:after="0"/>
              <w:rPr>
                <w:sz w:val="20"/>
                <w:szCs w:val="20"/>
                <w:color w:val="auto"/>
              </w:rPr>
            </w:pPr>
            <w:r>
              <w:rPr>
                <w:rFonts w:ascii="Arial" w:cs="Arial" w:eastAsia="Arial" w:hAnsi="Arial"/>
                <w:sz w:val="18"/>
                <w:szCs w:val="18"/>
                <w:color w:val="auto"/>
              </w:rPr>
              <w:t>Loan 8.75% Cash,</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2/20/2021</w:t>
            </w:r>
          </w:p>
        </w:tc>
        <w:tc>
          <w:tcPr>
            <w:tcW w:w="40" w:type="dxa"/>
            <w:vAlign w:val="bottom"/>
          </w:tcPr>
          <w:p>
            <w:pPr>
              <w:spacing w:after="0"/>
              <w:rPr>
                <w:sz w:val="20"/>
                <w:szCs w:val="20"/>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2,500,000</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2,453,145</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2,518,750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Vector Controls Holding Co., LLC (d)</w:t>
            </w:r>
          </w:p>
        </w:tc>
        <w:tc>
          <w:tcPr>
            <w:tcW w:w="148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w w:val="95"/>
              </w:rPr>
              <w:t>Business Services</w:t>
            </w:r>
          </w:p>
        </w:tc>
        <w:tc>
          <w:tcPr>
            <w:tcW w:w="1840" w:type="dxa"/>
            <w:vAlign w:val="bottom"/>
            <w:gridSpan w:val="3"/>
            <w:shd w:val="clear" w:color="auto" w:fill="CCEEFF"/>
          </w:tcPr>
          <w:p>
            <w:pPr>
              <w:ind w:left="60"/>
              <w:spacing w:after="0" w:line="201" w:lineRule="exact"/>
              <w:rPr>
                <w:sz w:val="20"/>
                <w:szCs w:val="20"/>
                <w:color w:val="auto"/>
              </w:rPr>
            </w:pPr>
            <w:r>
              <w:rPr>
                <w:rFonts w:ascii="Arial" w:cs="Arial" w:eastAsia="Arial" w:hAnsi="Arial"/>
                <w:sz w:val="18"/>
                <w:szCs w:val="18"/>
                <w:color w:val="auto"/>
              </w:rPr>
              <w:t>First Lien Term Loan,</w:t>
            </w:r>
          </w:p>
        </w:tc>
        <w:tc>
          <w:tcPr>
            <w:tcW w:w="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14.00% (12.00%</w:t>
            </w:r>
          </w:p>
        </w:tc>
        <w:tc>
          <w:tcPr>
            <w:tcW w:w="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4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Cash/2.00% PIK),</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3/6/2018</w:t>
            </w:r>
          </w:p>
        </w:tc>
        <w:tc>
          <w:tcPr>
            <w:tcW w:w="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9,261,074</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9,115,415</w:t>
            </w:r>
          </w:p>
        </w:tc>
        <w:tc>
          <w:tcPr>
            <w:tcW w:w="8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9"/>
              </w:rPr>
              <w:t>9,075,853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tcPr>
          <w:p>
            <w:pPr>
              <w:spacing w:after="0" w:line="201" w:lineRule="exact"/>
              <w:rPr>
                <w:sz w:val="20"/>
                <w:szCs w:val="20"/>
                <w:color w:val="auto"/>
              </w:rPr>
            </w:pPr>
            <w:r>
              <w:rPr>
                <w:rFonts w:ascii="Arial" w:cs="Arial" w:eastAsia="Arial" w:hAnsi="Arial"/>
                <w:sz w:val="18"/>
                <w:szCs w:val="18"/>
                <w:color w:val="auto"/>
              </w:rPr>
              <w:t>Vector Controls Holding Co., LLC (d), (g)</w:t>
            </w:r>
          </w:p>
        </w:tc>
        <w:tc>
          <w:tcPr>
            <w:tcW w:w="1480" w:type="dxa"/>
            <w:vAlign w:val="bottom"/>
            <w:gridSpan w:val="2"/>
          </w:tcPr>
          <w:p>
            <w:pPr>
              <w:ind w:left="60"/>
              <w:spacing w:after="0" w:line="201" w:lineRule="exact"/>
              <w:rPr>
                <w:sz w:val="20"/>
                <w:szCs w:val="20"/>
                <w:color w:val="auto"/>
              </w:rPr>
            </w:pPr>
            <w:r>
              <w:rPr>
                <w:rFonts w:ascii="Arial" w:cs="Arial" w:eastAsia="Arial" w:hAnsi="Arial"/>
                <w:sz w:val="18"/>
                <w:szCs w:val="18"/>
                <w:color w:val="auto"/>
                <w:w w:val="95"/>
              </w:rPr>
              <w:t>Business Services</w:t>
            </w:r>
          </w:p>
        </w:tc>
        <w:tc>
          <w:tcPr>
            <w:tcW w:w="1840" w:type="dxa"/>
            <w:vAlign w:val="bottom"/>
            <w:gridSpan w:val="3"/>
          </w:tcPr>
          <w:p>
            <w:pPr>
              <w:ind w:left="60"/>
              <w:spacing w:after="0" w:line="201" w:lineRule="exact"/>
              <w:rPr>
                <w:sz w:val="20"/>
                <w:szCs w:val="20"/>
                <w:color w:val="auto"/>
              </w:rPr>
            </w:pPr>
            <w:r>
              <w:rPr>
                <w:rFonts w:ascii="Arial" w:cs="Arial" w:eastAsia="Arial" w:hAnsi="Arial"/>
                <w:sz w:val="18"/>
                <w:szCs w:val="18"/>
                <w:color w:val="auto"/>
              </w:rPr>
              <w:t>Warrants to Purchase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40" w:type="dxa"/>
            <w:vAlign w:val="bottom"/>
            <w:gridSpan w:val="3"/>
          </w:tcPr>
          <w:p>
            <w:pPr>
              <w:ind w:left="60"/>
              <w:spacing w:after="0"/>
              <w:rPr>
                <w:sz w:val="20"/>
                <w:szCs w:val="20"/>
                <w:color w:val="auto"/>
              </w:rPr>
            </w:pPr>
            <w:r>
              <w:rPr>
                <w:rFonts w:ascii="Arial" w:cs="Arial" w:eastAsia="Arial" w:hAnsi="Arial"/>
                <w:sz w:val="18"/>
                <w:szCs w:val="18"/>
                <w:color w:val="auto"/>
              </w:rPr>
              <w:t>Limited Liability</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40" w:type="dxa"/>
            <w:vAlign w:val="bottom"/>
            <w:gridSpan w:val="3"/>
          </w:tcPr>
          <w:p>
            <w:pPr>
              <w:ind w:left="60"/>
              <w:spacing w:after="0"/>
              <w:rPr>
                <w:sz w:val="20"/>
                <w:szCs w:val="20"/>
                <w:color w:val="auto"/>
              </w:rPr>
            </w:pPr>
            <w:r>
              <w:rPr>
                <w:rFonts w:ascii="Arial" w:cs="Arial" w:eastAsia="Arial" w:hAnsi="Arial"/>
                <w:sz w:val="18"/>
                <w:szCs w:val="18"/>
                <w:color w:val="auto"/>
              </w:rPr>
              <w:t>Company Interests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rPr>
              <w:t>136,217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800" w:type="dxa"/>
            <w:vAlign w:val="bottom"/>
          </w:tcPr>
          <w:p>
            <w:pPr>
              <w:spacing w:after="0"/>
              <w:rPr>
                <w:sz w:val="2"/>
                <w:szCs w:val="2"/>
                <w:color w:val="auto"/>
              </w:rPr>
            </w:pPr>
          </w:p>
        </w:tc>
        <w:tc>
          <w:tcPr>
            <w:tcW w:w="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89"/>
              </w:rPr>
              <w:t>Total Business Services</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55,827,024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8"/>
              </w:rPr>
              <w:t>57,330,283</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49.8%</w:t>
            </w:r>
          </w:p>
        </w:tc>
        <w:tc>
          <w:tcPr>
            <w:tcW w:w="0" w:type="dxa"/>
            <w:vAlign w:val="bottom"/>
          </w:tcPr>
          <w:p>
            <w:pPr>
              <w:spacing w:after="0"/>
              <w:rPr>
                <w:sz w:val="1"/>
                <w:szCs w:val="1"/>
                <w:color w:val="auto"/>
              </w:rPr>
            </w:pPr>
          </w:p>
        </w:tc>
      </w:tr>
      <w:tr>
        <w:trPr>
          <w:trHeight w:val="209"/>
        </w:trPr>
        <w:tc>
          <w:tcPr>
            <w:tcW w:w="3820" w:type="dxa"/>
            <w:vAlign w:val="bottom"/>
            <w:gridSpan w:val="2"/>
          </w:tcPr>
          <w:p>
            <w:pPr>
              <w:spacing w:after="0"/>
              <w:rPr>
                <w:sz w:val="20"/>
                <w:szCs w:val="20"/>
                <w:color w:val="auto"/>
              </w:rPr>
            </w:pPr>
            <w:r>
              <w:rPr>
                <w:rFonts w:ascii="Arial" w:cs="Arial" w:eastAsia="Arial" w:hAnsi="Arial"/>
                <w:sz w:val="18"/>
                <w:szCs w:val="18"/>
                <w:color w:val="auto"/>
              </w:rPr>
              <w:t>Targus Group International, Inc. (d)</w:t>
            </w:r>
          </w:p>
        </w:tc>
        <w:tc>
          <w:tcPr>
            <w:tcW w:w="3320" w:type="dxa"/>
            <w:vAlign w:val="bottom"/>
            <w:gridSpan w:val="5"/>
          </w:tcPr>
          <w:p>
            <w:pPr>
              <w:ind w:left="60"/>
              <w:spacing w:after="0"/>
              <w:rPr>
                <w:sz w:val="20"/>
                <w:szCs w:val="20"/>
                <w:color w:val="auto"/>
              </w:rPr>
            </w:pPr>
            <w:r>
              <w:rPr>
                <w:rFonts w:ascii="Arial" w:cs="Arial" w:eastAsia="Arial" w:hAnsi="Arial"/>
                <w:sz w:val="18"/>
                <w:szCs w:val="18"/>
                <w:color w:val="auto"/>
                <w:w w:val="98"/>
              </w:rPr>
              <w:t>Consumer Products First Lien Term Loan</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40" w:type="dxa"/>
            <w:vAlign w:val="bottom"/>
            <w:gridSpan w:val="3"/>
          </w:tcPr>
          <w:p>
            <w:pPr>
              <w:ind w:left="60"/>
              <w:spacing w:after="0"/>
              <w:rPr>
                <w:sz w:val="20"/>
                <w:szCs w:val="20"/>
                <w:color w:val="auto"/>
              </w:rPr>
            </w:pPr>
            <w:r>
              <w:rPr>
                <w:rFonts w:ascii="Arial" w:cs="Arial" w:eastAsia="Arial" w:hAnsi="Arial"/>
                <w:sz w:val="18"/>
                <w:szCs w:val="18"/>
                <w:color w:val="auto"/>
              </w:rPr>
              <w:t>11.00% Cash,</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color w:val="auto"/>
              </w:rPr>
              <w:t>5/24/2016</w:t>
            </w:r>
          </w:p>
        </w:tc>
        <w:tc>
          <w:tcPr>
            <w:tcW w:w="40" w:type="dxa"/>
            <w:vAlign w:val="bottom"/>
          </w:tcPr>
          <w:p>
            <w:pPr>
              <w:spacing w:after="0"/>
              <w:rPr>
                <w:sz w:val="20"/>
                <w:szCs w:val="20"/>
                <w:color w:val="auto"/>
              </w:rPr>
            </w:pPr>
          </w:p>
        </w:tc>
        <w:tc>
          <w:tcPr>
            <w:tcW w:w="200" w:type="dxa"/>
            <w:vAlign w:val="bottom"/>
            <w:gridSpan w:val="2"/>
          </w:tcPr>
          <w:p>
            <w:pPr>
              <w:ind w:lef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3,738,369</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9"/>
              </w:rPr>
              <w:t>3,704,766</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8"/>
                <w:szCs w:val="18"/>
                <w:color w:val="auto"/>
                <w:w w:val="99"/>
              </w:rPr>
              <w:t>3,663,602</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459" w:right="239" w:bottom="773" w:gutter="0" w:footer="0" w:header="0"/>
        </w:sectPr>
      </w:pPr>
    </w:p>
    <w:p>
      <w:pPr>
        <w:jc w:val="center"/>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20"/>
          </w:cols>
          <w:pgMar w:left="240" w:top="459" w:right="239" w:bottom="773" w:gutter="0" w:footer="0" w:header="0"/>
          <w:type w:val="continuous"/>
        </w:sectPr>
      </w:pPr>
    </w:p>
    <w:bookmarkStart w:id="9" w:name="page10"/>
    <w:bookmarkEnd w:id="9"/>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Company</w:t>
            </w:r>
          </w:p>
        </w:tc>
        <w:tc>
          <w:tcPr>
            <w:tcW w:w="800" w:type="dxa"/>
            <w:vAlign w:val="bottom"/>
          </w:tcPr>
          <w:p>
            <w:pPr>
              <w:spacing w:after="0"/>
              <w:rPr>
                <w:sz w:val="14"/>
                <w:szCs w:val="14"/>
                <w:color w:val="auto"/>
              </w:rPr>
            </w:pPr>
          </w:p>
        </w:tc>
        <w:tc>
          <w:tcPr>
            <w:tcW w:w="150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Industry</w:t>
            </w:r>
          </w:p>
        </w:tc>
        <w:tc>
          <w:tcPr>
            <w:tcW w:w="1560" w:type="dxa"/>
            <w:vAlign w:val="bottom"/>
            <w:gridSpan w:val="2"/>
          </w:tcPr>
          <w:p>
            <w:pPr>
              <w:ind w:left="140"/>
              <w:spacing w:after="0"/>
              <w:rPr>
                <w:sz w:val="20"/>
                <w:szCs w:val="20"/>
                <w:color w:val="auto"/>
              </w:rPr>
            </w:pPr>
            <w:r>
              <w:rPr>
                <w:rFonts w:ascii="Arial" w:cs="Arial" w:eastAsia="Arial" w:hAnsi="Arial"/>
                <w:sz w:val="14"/>
                <w:szCs w:val="14"/>
                <w:b w:val="1"/>
                <w:bCs w:val="1"/>
                <w:color w:val="auto"/>
              </w:rPr>
              <w:t>Investment Interest</w:t>
            </w:r>
          </w:p>
        </w:tc>
        <w:tc>
          <w:tcPr>
            <w:tcW w:w="180" w:type="dxa"/>
            <w:vAlign w:val="bottom"/>
          </w:tcPr>
          <w:p>
            <w:pPr>
              <w:spacing w:after="0"/>
              <w:rPr>
                <w:sz w:val="14"/>
                <w:szCs w:val="14"/>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Principal/</w:t>
            </w:r>
          </w:p>
        </w:tc>
        <w:tc>
          <w:tcPr>
            <w:tcW w:w="104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rPr>
              <w:t>Cost</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w w:val="95"/>
              </w:rPr>
              <w:t>Fair Value (c)</w:t>
            </w:r>
          </w:p>
        </w:tc>
        <w:tc>
          <w:tcPr>
            <w:tcW w:w="8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6"/>
        </w:trPr>
        <w:tc>
          <w:tcPr>
            <w:tcW w:w="3340" w:type="dxa"/>
            <w:vAlign w:val="bottom"/>
            <w:gridSpan w:val="3"/>
            <w:vMerge w:val="continue"/>
          </w:tcPr>
          <w:p>
            <w:pPr>
              <w:spacing w:after="0"/>
              <w:rPr>
                <w:sz w:val="15"/>
                <w:szCs w:val="15"/>
                <w:color w:val="auto"/>
              </w:rPr>
            </w:pPr>
          </w:p>
        </w:tc>
        <w:tc>
          <w:tcPr>
            <w:tcW w:w="800" w:type="dxa"/>
            <w:vAlign w:val="bottom"/>
          </w:tcPr>
          <w:p>
            <w:pPr>
              <w:spacing w:after="0"/>
              <w:rPr>
                <w:sz w:val="15"/>
                <w:szCs w:val="15"/>
                <w:color w:val="auto"/>
              </w:rPr>
            </w:pPr>
          </w:p>
        </w:tc>
        <w:tc>
          <w:tcPr>
            <w:tcW w:w="1500" w:type="dxa"/>
            <w:vAlign w:val="bottom"/>
            <w:vMerge w:val="continue"/>
          </w:tcPr>
          <w:p>
            <w:pPr>
              <w:spacing w:after="0"/>
              <w:rPr>
                <w:sz w:val="15"/>
                <w:szCs w:val="15"/>
                <w:color w:val="auto"/>
              </w:rPr>
            </w:pPr>
          </w:p>
        </w:tc>
        <w:tc>
          <w:tcPr>
            <w:tcW w:w="1560" w:type="dxa"/>
            <w:vAlign w:val="bottom"/>
            <w:gridSpan w:val="2"/>
          </w:tcPr>
          <w:p>
            <w:pPr>
              <w:ind w:left="260"/>
              <w:spacing w:after="0"/>
              <w:rPr>
                <w:sz w:val="20"/>
                <w:szCs w:val="20"/>
                <w:color w:val="auto"/>
              </w:rPr>
            </w:pPr>
            <w:r>
              <w:rPr>
                <w:rFonts w:ascii="Arial" w:cs="Arial" w:eastAsia="Arial" w:hAnsi="Arial"/>
                <w:sz w:val="14"/>
                <w:szCs w:val="14"/>
                <w:b w:val="1"/>
                <w:bCs w:val="1"/>
                <w:color w:val="auto"/>
              </w:rPr>
              <w:t>Rate / Maturity</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Number of Shares</w:t>
            </w:r>
          </w:p>
        </w:tc>
        <w:tc>
          <w:tcPr>
            <w:tcW w:w="104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Net Assets</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Holdings, Inc. (d), (g)</w:t>
            </w:r>
          </w:p>
        </w:tc>
        <w:tc>
          <w:tcPr>
            <w:tcW w:w="800" w:type="dxa"/>
            <w:vAlign w:val="bottom"/>
            <w:vMerge w:val="restart"/>
            <w:shd w:val="clear" w:color="auto" w:fill="CCEEFF"/>
          </w:tcPr>
          <w:p>
            <w:pPr>
              <w:spacing w:after="0" w:line="20" w:lineRule="exact"/>
              <w:rPr>
                <w:sz w:val="1"/>
                <w:szCs w:val="1"/>
                <w:color w:val="auto"/>
              </w:rPr>
            </w:pPr>
          </w:p>
        </w:tc>
        <w:tc>
          <w:tcPr>
            <w:tcW w:w="1500" w:type="dxa"/>
            <w:vAlign w:val="bottom"/>
            <w:tcBorders>
              <w:right w:val="single" w:sz="8" w:color="CCEEFF"/>
            </w:tcBorders>
            <w:shd w:val="clear" w:color="auto" w:fill="000000"/>
          </w:tcPr>
          <w:p>
            <w:pPr>
              <w:spacing w:after="0" w:line="20" w:lineRule="exact"/>
              <w:rPr>
                <w:sz w:val="1"/>
                <w:szCs w:val="1"/>
                <w:color w:val="auto"/>
              </w:rPr>
            </w:pPr>
          </w:p>
        </w:tc>
        <w:tc>
          <w:tcPr>
            <w:tcW w:w="1480" w:type="dxa"/>
            <w:vAlign w:val="bottom"/>
            <w:shd w:val="clear" w:color="auto" w:fill="000000"/>
          </w:tcPr>
          <w:p>
            <w:pPr>
              <w:spacing w:after="0" w:line="20" w:lineRule="exact"/>
              <w:rPr>
                <w:sz w:val="1"/>
                <w:szCs w:val="1"/>
                <w:color w:val="auto"/>
              </w:rPr>
            </w:pPr>
          </w:p>
        </w:tc>
        <w:tc>
          <w:tcPr>
            <w:tcW w:w="80" w:type="dxa"/>
            <w:vAlign w:val="bottom"/>
            <w:vMerge w:val="restart"/>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99"/>
              </w:rPr>
              <w:t>Targus</w:t>
            </w:r>
          </w:p>
        </w:tc>
        <w:tc>
          <w:tcPr>
            <w:tcW w:w="2740" w:type="dxa"/>
            <w:vAlign w:val="bottom"/>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w w:val="91"/>
              </w:rPr>
              <w:t>Consumer Products</w:t>
            </w: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80" w:type="dxa"/>
            <w:vAlign w:val="bottom"/>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62,413</w:t>
            </w:r>
          </w:p>
        </w:tc>
        <w:tc>
          <w:tcPr>
            <w:tcW w:w="18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566,765</w:t>
            </w:r>
          </w:p>
        </w:tc>
        <w:tc>
          <w:tcPr>
            <w:tcW w:w="180" w:type="dxa"/>
            <w:vAlign w:val="bottom"/>
            <w:vMerge w:val="continue"/>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730,232</w:t>
            </w:r>
          </w:p>
        </w:tc>
        <w:tc>
          <w:tcPr>
            <w:tcW w:w="180" w:type="dxa"/>
            <w:vAlign w:val="bottom"/>
            <w:vMerge w:val="continue"/>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Targus Holdings, Inc. (d)</w:t>
            </w:r>
          </w:p>
        </w:tc>
        <w:tc>
          <w:tcPr>
            <w:tcW w:w="2300" w:type="dxa"/>
            <w:vAlign w:val="bottom"/>
            <w:gridSpan w:val="2"/>
          </w:tcPr>
          <w:p>
            <w:pPr>
              <w:ind w:left="800"/>
              <w:spacing w:after="0" w:line="201" w:lineRule="exact"/>
              <w:rPr>
                <w:sz w:val="20"/>
                <w:szCs w:val="20"/>
                <w:color w:val="auto"/>
              </w:rPr>
            </w:pPr>
            <w:r>
              <w:rPr>
                <w:rFonts w:ascii="Arial" w:cs="Arial" w:eastAsia="Arial" w:hAnsi="Arial"/>
                <w:sz w:val="18"/>
                <w:szCs w:val="18"/>
                <w:color w:val="auto"/>
                <w:w w:val="91"/>
              </w:rPr>
              <w:t>Consumer Products</w:t>
            </w:r>
          </w:p>
        </w:tc>
        <w:tc>
          <w:tcPr>
            <w:tcW w:w="1560" w:type="dxa"/>
            <w:vAlign w:val="bottom"/>
            <w:gridSpan w:val="2"/>
          </w:tcPr>
          <w:p>
            <w:pPr>
              <w:spacing w:after="0" w:line="201" w:lineRule="exact"/>
              <w:rPr>
                <w:sz w:val="20"/>
                <w:szCs w:val="20"/>
                <w:color w:val="auto"/>
              </w:rPr>
            </w:pPr>
            <w:r>
              <w:rPr>
                <w:rFonts w:ascii="Arial" w:cs="Arial" w:eastAsia="Arial" w:hAnsi="Arial"/>
                <w:sz w:val="18"/>
                <w:szCs w:val="18"/>
                <w:color w:val="auto"/>
              </w:rPr>
              <w:t>Unsecured Note</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10.00% PIK,</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6/14/2019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2,054,158</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2,054,158</w:t>
            </w:r>
          </w:p>
        </w:tc>
        <w:tc>
          <w:tcPr>
            <w:tcW w:w="860" w:type="dxa"/>
            <w:vAlign w:val="bottom"/>
          </w:tcPr>
          <w:p>
            <w:pPr>
              <w:jc w:val="right"/>
              <w:spacing w:after="0"/>
              <w:rPr>
                <w:sz w:val="20"/>
                <w:szCs w:val="20"/>
                <w:color w:val="auto"/>
              </w:rPr>
            </w:pPr>
            <w:r>
              <w:rPr>
                <w:rFonts w:ascii="Arial" w:cs="Arial" w:eastAsia="Arial" w:hAnsi="Arial"/>
                <w:sz w:val="18"/>
                <w:szCs w:val="18"/>
                <w:color w:val="auto"/>
              </w:rPr>
              <w:t>1,387,848</w:t>
            </w: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Targus Holdings, Inc. (d)</w:t>
            </w:r>
          </w:p>
        </w:tc>
        <w:tc>
          <w:tcPr>
            <w:tcW w:w="2300" w:type="dxa"/>
            <w:vAlign w:val="bottom"/>
            <w:tcBorders>
              <w:right w:val="single" w:sz="8" w:color="CCEEFF"/>
            </w:tcBorders>
            <w:gridSpan w:val="2"/>
            <w:shd w:val="clear" w:color="auto" w:fill="CCEEFF"/>
          </w:tcPr>
          <w:p>
            <w:pPr>
              <w:ind w:left="800"/>
              <w:spacing w:after="0" w:line="201" w:lineRule="exact"/>
              <w:rPr>
                <w:sz w:val="20"/>
                <w:szCs w:val="20"/>
                <w:color w:val="auto"/>
              </w:rPr>
            </w:pPr>
            <w:r>
              <w:rPr>
                <w:rFonts w:ascii="Arial" w:cs="Arial" w:eastAsia="Arial" w:hAnsi="Arial"/>
                <w:sz w:val="18"/>
                <w:szCs w:val="18"/>
                <w:color w:val="auto"/>
                <w:w w:val="91"/>
              </w:rPr>
              <w:t>Consumer Products</w:t>
            </w:r>
          </w:p>
        </w:tc>
        <w:tc>
          <w:tcPr>
            <w:tcW w:w="1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Unsecured Note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16.00% Cash,</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500" w:type="dxa"/>
            <w:vAlign w:val="bottom"/>
            <w:tcBorders>
              <w:right w:val="single" w:sz="8" w:color="CCEEFF"/>
            </w:tcBorders>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10/26/2018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384,577</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379,471</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336,505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Total Consumer</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Products</w:t>
            </w: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6,705,160</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6,118,187</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Avionte Holdings, LLC (g)</w:t>
            </w:r>
          </w:p>
        </w:tc>
        <w:tc>
          <w:tcPr>
            <w:tcW w:w="2300" w:type="dxa"/>
            <w:vAlign w:val="bottom"/>
            <w:tcBorders>
              <w:right w:val="single" w:sz="8" w:color="CCEEFF"/>
            </w:tcBorders>
            <w:gridSpan w:val="2"/>
            <w:shd w:val="clear" w:color="auto" w:fill="CCEEFF"/>
          </w:tcPr>
          <w:p>
            <w:pPr>
              <w:ind w:left="800"/>
              <w:spacing w:after="0"/>
              <w:rPr>
                <w:sz w:val="20"/>
                <w:szCs w:val="20"/>
                <w:color w:val="auto"/>
              </w:rPr>
            </w:pPr>
            <w:r>
              <w:rPr>
                <w:rFonts w:ascii="Arial" w:cs="Arial" w:eastAsia="Arial" w:hAnsi="Arial"/>
                <w:sz w:val="18"/>
                <w:szCs w:val="18"/>
                <w:color w:val="auto"/>
                <w:w w:val="92"/>
              </w:rPr>
              <w:t>Consumer Services</w:t>
            </w: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100,000</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100,000</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100,000</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Avionte Holdings, LLC</w:t>
            </w:r>
          </w:p>
        </w:tc>
        <w:tc>
          <w:tcPr>
            <w:tcW w:w="2300" w:type="dxa"/>
            <w:vAlign w:val="bottom"/>
            <w:gridSpan w:val="2"/>
          </w:tcPr>
          <w:p>
            <w:pPr>
              <w:ind w:left="800"/>
              <w:spacing w:after="0" w:line="201" w:lineRule="exact"/>
              <w:rPr>
                <w:sz w:val="20"/>
                <w:szCs w:val="20"/>
                <w:color w:val="auto"/>
              </w:rPr>
            </w:pPr>
            <w:r>
              <w:rPr>
                <w:rFonts w:ascii="Arial" w:cs="Arial" w:eastAsia="Arial" w:hAnsi="Arial"/>
                <w:sz w:val="18"/>
                <w:szCs w:val="18"/>
                <w:color w:val="auto"/>
                <w:w w:val="92"/>
              </w:rPr>
              <w:t>Consumer Services</w:t>
            </w:r>
          </w:p>
        </w:tc>
        <w:tc>
          <w:tcPr>
            <w:tcW w:w="1560" w:type="dxa"/>
            <w:vAlign w:val="bottom"/>
            <w:gridSpan w:val="2"/>
          </w:tcPr>
          <w:p>
            <w:pPr>
              <w:spacing w:after="0" w:line="201" w:lineRule="exact"/>
              <w:rPr>
                <w:sz w:val="20"/>
                <w:szCs w:val="20"/>
                <w:color w:val="auto"/>
              </w:rPr>
            </w:pPr>
            <w:r>
              <w:rPr>
                <w:rFonts w:ascii="Arial" w:cs="Arial" w:eastAsia="Arial" w:hAnsi="Arial"/>
                <w:sz w:val="18"/>
                <w:szCs w:val="18"/>
                <w:color w:val="auto"/>
              </w:rPr>
              <w:t>First Lien Term</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Loan 9.75% Cash,</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1/8/2019</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3,000,000</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2,940,000</w:t>
            </w:r>
          </w:p>
        </w:tc>
        <w:tc>
          <w:tcPr>
            <w:tcW w:w="860" w:type="dxa"/>
            <w:vAlign w:val="bottom"/>
          </w:tcPr>
          <w:p>
            <w:pPr>
              <w:jc w:val="right"/>
              <w:spacing w:after="0"/>
              <w:rPr>
                <w:sz w:val="20"/>
                <w:szCs w:val="20"/>
                <w:color w:val="auto"/>
              </w:rPr>
            </w:pPr>
            <w:r>
              <w:rPr>
                <w:rFonts w:ascii="Arial" w:cs="Arial" w:eastAsia="Arial" w:hAnsi="Arial"/>
                <w:sz w:val="18"/>
                <w:szCs w:val="18"/>
                <w:color w:val="auto"/>
              </w:rPr>
              <w:t>3,000,000</w:t>
            </w: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CFF Acquisition L.L.C. (d)</w:t>
            </w:r>
          </w:p>
        </w:tc>
        <w:tc>
          <w:tcPr>
            <w:tcW w:w="2300" w:type="dxa"/>
            <w:vAlign w:val="bottom"/>
            <w:tcBorders>
              <w:right w:val="single" w:sz="8" w:color="CCEEFF"/>
            </w:tcBorders>
            <w:gridSpan w:val="2"/>
            <w:shd w:val="clear" w:color="auto" w:fill="CCEEFF"/>
          </w:tcPr>
          <w:p>
            <w:pPr>
              <w:ind w:left="800"/>
              <w:spacing w:after="0" w:line="201" w:lineRule="exact"/>
              <w:rPr>
                <w:sz w:val="20"/>
                <w:szCs w:val="20"/>
                <w:color w:val="auto"/>
              </w:rPr>
            </w:pPr>
            <w:r>
              <w:rPr>
                <w:rFonts w:ascii="Arial" w:cs="Arial" w:eastAsia="Arial" w:hAnsi="Arial"/>
                <w:sz w:val="18"/>
                <w:szCs w:val="18"/>
                <w:color w:val="auto"/>
                <w:w w:val="92"/>
              </w:rPr>
              <w:t>Consumer Services</w:t>
            </w:r>
          </w:p>
        </w:tc>
        <w:tc>
          <w:tcPr>
            <w:tcW w:w="1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 Lien Term</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7.50% Cash,</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500" w:type="dxa"/>
            <w:vAlign w:val="bottom"/>
            <w:tcBorders>
              <w:right w:val="single" w:sz="8" w:color="CCEEFF"/>
            </w:tcBorders>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7/31/2015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1,319,891</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1,273,596</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1,319,891</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Expedited Travel L.L.C.</w:t>
            </w:r>
          </w:p>
        </w:tc>
        <w:tc>
          <w:tcPr>
            <w:tcW w:w="2300" w:type="dxa"/>
            <w:vAlign w:val="bottom"/>
            <w:gridSpan w:val="2"/>
          </w:tcPr>
          <w:p>
            <w:pPr>
              <w:ind w:left="800"/>
              <w:spacing w:after="0" w:line="201" w:lineRule="exact"/>
              <w:rPr>
                <w:sz w:val="20"/>
                <w:szCs w:val="20"/>
                <w:color w:val="auto"/>
              </w:rPr>
            </w:pPr>
            <w:r>
              <w:rPr>
                <w:rFonts w:ascii="Arial" w:cs="Arial" w:eastAsia="Arial" w:hAnsi="Arial"/>
                <w:sz w:val="18"/>
                <w:szCs w:val="18"/>
                <w:color w:val="auto"/>
                <w:w w:val="92"/>
              </w:rPr>
              <w:t>Consumer Services</w:t>
            </w:r>
          </w:p>
        </w:tc>
        <w:tc>
          <w:tcPr>
            <w:tcW w:w="1560" w:type="dxa"/>
            <w:vAlign w:val="bottom"/>
            <w:gridSpan w:val="2"/>
          </w:tcPr>
          <w:p>
            <w:pPr>
              <w:spacing w:after="0" w:line="201" w:lineRule="exact"/>
              <w:rPr>
                <w:sz w:val="20"/>
                <w:szCs w:val="20"/>
                <w:color w:val="auto"/>
              </w:rPr>
            </w:pPr>
            <w:r>
              <w:rPr>
                <w:rFonts w:ascii="Arial" w:cs="Arial" w:eastAsia="Arial" w:hAnsi="Arial"/>
                <w:sz w:val="18"/>
                <w:szCs w:val="18"/>
                <w:color w:val="auto"/>
              </w:rPr>
              <w:t>First Lien Term</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Loan 9.00% Cash,</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12/28/2017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4,580,000</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4,501,104</w:t>
            </w:r>
          </w:p>
        </w:tc>
        <w:tc>
          <w:tcPr>
            <w:tcW w:w="860" w:type="dxa"/>
            <w:vAlign w:val="bottom"/>
          </w:tcPr>
          <w:p>
            <w:pPr>
              <w:jc w:val="right"/>
              <w:spacing w:after="0"/>
              <w:rPr>
                <w:sz w:val="20"/>
                <w:szCs w:val="20"/>
                <w:color w:val="auto"/>
              </w:rPr>
            </w:pPr>
            <w:r>
              <w:rPr>
                <w:rFonts w:ascii="Arial" w:cs="Arial" w:eastAsia="Arial" w:hAnsi="Arial"/>
                <w:sz w:val="18"/>
                <w:szCs w:val="18"/>
                <w:color w:val="auto"/>
              </w:rPr>
              <w:t>4,580,000</w:t>
            </w: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PrePaid Legal Services, Inc. (d)</w:t>
            </w:r>
          </w:p>
        </w:tc>
        <w:tc>
          <w:tcPr>
            <w:tcW w:w="2300" w:type="dxa"/>
            <w:vAlign w:val="bottom"/>
            <w:tcBorders>
              <w:right w:val="single" w:sz="8" w:color="CCEEFF"/>
            </w:tcBorders>
            <w:gridSpan w:val="2"/>
            <w:shd w:val="clear" w:color="auto" w:fill="CCEEFF"/>
          </w:tcPr>
          <w:p>
            <w:pPr>
              <w:ind w:left="800"/>
              <w:spacing w:after="0" w:line="201" w:lineRule="exact"/>
              <w:rPr>
                <w:sz w:val="20"/>
                <w:szCs w:val="20"/>
                <w:color w:val="auto"/>
              </w:rPr>
            </w:pPr>
            <w:r>
              <w:rPr>
                <w:rFonts w:ascii="Arial" w:cs="Arial" w:eastAsia="Arial" w:hAnsi="Arial"/>
                <w:sz w:val="18"/>
                <w:szCs w:val="18"/>
                <w:color w:val="auto"/>
                <w:w w:val="92"/>
              </w:rPr>
              <w:t>Consumer Services</w:t>
            </w:r>
          </w:p>
        </w:tc>
        <w:tc>
          <w:tcPr>
            <w:tcW w:w="1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 Lien Term</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6.25% Cash,</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500" w:type="dxa"/>
            <w:vAlign w:val="bottom"/>
            <w:tcBorders>
              <w:right w:val="single" w:sz="8" w:color="CCEEFF"/>
            </w:tcBorders>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7/1/2019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4,274,194</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4,236,035</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4,247,694</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PrePaid Legal Services, Inc. (d)</w:t>
            </w:r>
          </w:p>
        </w:tc>
        <w:tc>
          <w:tcPr>
            <w:tcW w:w="2300" w:type="dxa"/>
            <w:vAlign w:val="bottom"/>
            <w:gridSpan w:val="2"/>
          </w:tcPr>
          <w:p>
            <w:pPr>
              <w:ind w:left="800"/>
              <w:spacing w:after="0" w:line="201" w:lineRule="exact"/>
              <w:rPr>
                <w:sz w:val="20"/>
                <w:szCs w:val="20"/>
                <w:color w:val="auto"/>
              </w:rPr>
            </w:pPr>
            <w:r>
              <w:rPr>
                <w:rFonts w:ascii="Arial" w:cs="Arial" w:eastAsia="Arial" w:hAnsi="Arial"/>
                <w:sz w:val="18"/>
                <w:szCs w:val="18"/>
                <w:color w:val="auto"/>
                <w:w w:val="92"/>
              </w:rPr>
              <w:t>Consumer Services</w:t>
            </w:r>
          </w:p>
        </w:tc>
        <w:tc>
          <w:tcPr>
            <w:tcW w:w="1560" w:type="dxa"/>
            <w:vAlign w:val="bottom"/>
            <w:gridSpan w:val="2"/>
          </w:tcPr>
          <w:p>
            <w:pPr>
              <w:spacing w:after="0" w:line="201" w:lineRule="exact"/>
              <w:rPr>
                <w:sz w:val="20"/>
                <w:szCs w:val="20"/>
                <w:color w:val="auto"/>
              </w:rPr>
            </w:pPr>
            <w:r>
              <w:rPr>
                <w:rFonts w:ascii="Arial" w:cs="Arial" w:eastAsia="Arial" w:hAnsi="Arial"/>
                <w:sz w:val="18"/>
                <w:szCs w:val="18"/>
                <w:color w:val="auto"/>
              </w:rPr>
              <w:t>Second Lien Term</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Loan 9.75% Cash,</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7/1/2020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5,000,000</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4,931,888</w:t>
            </w:r>
          </w:p>
        </w:tc>
        <w:tc>
          <w:tcPr>
            <w:tcW w:w="860" w:type="dxa"/>
            <w:vAlign w:val="bottom"/>
          </w:tcPr>
          <w:p>
            <w:pPr>
              <w:jc w:val="right"/>
              <w:spacing w:after="0"/>
              <w:rPr>
                <w:sz w:val="20"/>
                <w:szCs w:val="20"/>
                <w:color w:val="auto"/>
              </w:rPr>
            </w:pPr>
            <w:r>
              <w:rPr>
                <w:rFonts w:ascii="Arial" w:cs="Arial" w:eastAsia="Arial" w:hAnsi="Arial"/>
                <w:sz w:val="18"/>
                <w:szCs w:val="18"/>
                <w:color w:val="auto"/>
              </w:rPr>
              <w:t>5,044,000</w:t>
            </w: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500" w:type="dxa"/>
            <w:vAlign w:val="bottom"/>
            <w:tcBorders>
              <w:right w:val="single" w:sz="8" w:color="CCEEFF"/>
            </w:tcBorders>
            <w:shd w:val="clear" w:color="auto" w:fill="CCEEFF"/>
          </w:tcPr>
          <w:p>
            <w:pPr>
              <w:spacing w:after="0"/>
              <w:rPr>
                <w:sz w:val="17"/>
                <w:szCs w:val="17"/>
                <w:color w:val="auto"/>
              </w:rPr>
            </w:pPr>
          </w:p>
        </w:tc>
        <w:tc>
          <w:tcPr>
            <w:tcW w:w="156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Total Consumer</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500" w:type="dxa"/>
            <w:vAlign w:val="bottom"/>
            <w:tcBorders>
              <w:right w:val="single" w:sz="8" w:color="CCEEFF"/>
            </w:tcBorders>
            <w:shd w:val="clear" w:color="auto" w:fill="CCEEFF"/>
          </w:tcPr>
          <w:p>
            <w:pPr>
              <w:spacing w:after="0"/>
              <w:rPr>
                <w:sz w:val="20"/>
                <w:szCs w:val="20"/>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Services</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17,982,623</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18,291,585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9"/>
        </w:trPr>
        <w:tc>
          <w:tcPr>
            <w:tcW w:w="3340" w:type="dxa"/>
            <w:vAlign w:val="bottom"/>
            <w:gridSpan w:val="3"/>
          </w:tcPr>
          <w:p>
            <w:pPr>
              <w:spacing w:after="0"/>
              <w:rPr>
                <w:sz w:val="20"/>
                <w:szCs w:val="20"/>
                <w:color w:val="auto"/>
              </w:rPr>
            </w:pPr>
            <w:r>
              <w:rPr>
                <w:rFonts w:ascii="Arial" w:cs="Arial" w:eastAsia="Arial" w:hAnsi="Arial"/>
                <w:sz w:val="18"/>
                <w:szCs w:val="18"/>
                <w:color w:val="auto"/>
              </w:rPr>
              <w:t>M/C Acquisition Corp.,</w:t>
            </w:r>
          </w:p>
        </w:tc>
        <w:tc>
          <w:tcPr>
            <w:tcW w:w="2300" w:type="dxa"/>
            <w:vAlign w:val="bottom"/>
            <w:gridSpan w:val="2"/>
          </w:tcPr>
          <w:p>
            <w:pPr>
              <w:ind w:left="800"/>
              <w:spacing w:after="0"/>
              <w:rPr>
                <w:sz w:val="20"/>
                <w:szCs w:val="20"/>
                <w:color w:val="auto"/>
              </w:rPr>
            </w:pPr>
            <w:r>
              <w:rPr>
                <w:rFonts w:ascii="Arial" w:cs="Arial" w:eastAsia="Arial" w:hAnsi="Arial"/>
                <w:sz w:val="18"/>
                <w:szCs w:val="18"/>
                <w:color w:val="auto"/>
              </w:rPr>
              <w:t>Education</w:t>
            </w:r>
          </w:p>
        </w:tc>
        <w:tc>
          <w:tcPr>
            <w:tcW w:w="1560" w:type="dxa"/>
            <w:vAlign w:val="bottom"/>
            <w:gridSpan w:val="2"/>
          </w:tcPr>
          <w:p>
            <w:pPr>
              <w:spacing w:after="0"/>
              <w:rPr>
                <w:sz w:val="20"/>
                <w:szCs w:val="20"/>
                <w:color w:val="auto"/>
              </w:rPr>
            </w:pPr>
            <w:r>
              <w:rPr>
                <w:rFonts w:ascii="Arial" w:cs="Arial" w:eastAsia="Arial" w:hAnsi="Arial"/>
                <w:sz w:val="18"/>
                <w:szCs w:val="18"/>
                <w:color w:val="auto"/>
              </w:rPr>
              <w:t>Class A Common</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20" w:type="dxa"/>
            <w:vAlign w:val="bottom"/>
            <w:gridSpan w:val="2"/>
          </w:tcPr>
          <w:p>
            <w:pPr>
              <w:ind w:left="160"/>
              <w:spacing w:after="0"/>
              <w:rPr>
                <w:sz w:val="20"/>
                <w:szCs w:val="20"/>
                <w:color w:val="auto"/>
              </w:rPr>
            </w:pPr>
            <w:r>
              <w:rPr>
                <w:rFonts w:ascii="Arial" w:cs="Arial" w:eastAsia="Arial" w:hAnsi="Arial"/>
                <w:sz w:val="18"/>
                <w:szCs w:val="18"/>
                <w:color w:val="auto"/>
              </w:rPr>
              <w:t>L.L.C. (d), (g)</w:t>
            </w:r>
          </w:p>
        </w:tc>
        <w:tc>
          <w:tcPr>
            <w:tcW w:w="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Stock</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544,761</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30,241</w:t>
            </w: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M/C Acquisition Corp., L.L.C. (d)</w:t>
            </w:r>
          </w:p>
        </w:tc>
        <w:tc>
          <w:tcPr>
            <w:tcW w:w="2300" w:type="dxa"/>
            <w:vAlign w:val="bottom"/>
            <w:tcBorders>
              <w:right w:val="single" w:sz="8" w:color="CCEEFF"/>
            </w:tcBorders>
            <w:gridSpan w:val="2"/>
            <w:shd w:val="clear" w:color="auto" w:fill="CCEEFF"/>
          </w:tcPr>
          <w:p>
            <w:pPr>
              <w:ind w:left="800"/>
              <w:spacing w:after="0" w:line="201" w:lineRule="exact"/>
              <w:rPr>
                <w:sz w:val="20"/>
                <w:szCs w:val="20"/>
                <w:color w:val="auto"/>
              </w:rPr>
            </w:pPr>
            <w:r>
              <w:rPr>
                <w:rFonts w:ascii="Arial" w:cs="Arial" w:eastAsia="Arial" w:hAnsi="Arial"/>
                <w:sz w:val="18"/>
                <w:szCs w:val="18"/>
                <w:color w:val="auto"/>
              </w:rPr>
              <w:t>Education</w:t>
            </w:r>
          </w:p>
        </w:tc>
        <w:tc>
          <w:tcPr>
            <w:tcW w:w="1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 Lien Term</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1.00% Cash,</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500" w:type="dxa"/>
            <w:vAlign w:val="bottom"/>
            <w:tcBorders>
              <w:right w:val="single" w:sz="8" w:color="CCEEFF"/>
            </w:tcBorders>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3/13/14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2,512,184</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1,358,250</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90,128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Total Education</w:t>
            </w: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1,388,491</w:t>
            </w:r>
          </w:p>
        </w:tc>
        <w:tc>
          <w:tcPr>
            <w:tcW w:w="180" w:type="dxa"/>
            <w:vAlign w:val="bottom"/>
            <w:vMerge w:val="continue"/>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90,128</w:t>
            </w:r>
          </w:p>
        </w:tc>
        <w:tc>
          <w:tcPr>
            <w:tcW w:w="180" w:type="dxa"/>
            <w:vAlign w:val="bottom"/>
            <w:vMerge w:val="continue"/>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Group Dekko, Inc. (d)</w:t>
            </w:r>
          </w:p>
        </w:tc>
        <w:tc>
          <w:tcPr>
            <w:tcW w:w="2300" w:type="dxa"/>
            <w:vAlign w:val="bottom"/>
            <w:tcBorders>
              <w:right w:val="single" w:sz="8" w:color="CCEEFF"/>
            </w:tcBorders>
            <w:gridSpan w:val="2"/>
            <w:shd w:val="clear" w:color="auto" w:fill="CCEEFF"/>
          </w:tcPr>
          <w:p>
            <w:pPr>
              <w:ind w:left="800"/>
              <w:spacing w:after="0" w:line="201" w:lineRule="exact"/>
              <w:rPr>
                <w:sz w:val="20"/>
                <w:szCs w:val="20"/>
                <w:color w:val="auto"/>
              </w:rPr>
            </w:pPr>
            <w:r>
              <w:rPr>
                <w:rFonts w:ascii="Arial" w:cs="Arial" w:eastAsia="Arial" w:hAnsi="Arial"/>
                <w:sz w:val="18"/>
                <w:szCs w:val="18"/>
                <w:color w:val="auto"/>
              </w:rPr>
              <w:t>Electronics</w:t>
            </w:r>
          </w:p>
        </w:tc>
        <w:tc>
          <w:tcPr>
            <w:tcW w:w="1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Second Lien Term</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Loan 11.00%</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(10.00%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Cash/1.00% PIK),</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500" w:type="dxa"/>
            <w:vAlign w:val="bottom"/>
            <w:tcBorders>
              <w:right w:val="single" w:sz="8" w:color="CCEEFF"/>
            </w:tcBorders>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5/1/2016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6,901,547</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6,901,547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6,741,431</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56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Total Electronics</w:t>
            </w: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6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6,901,547</w:t>
            </w:r>
          </w:p>
        </w:tc>
        <w:tc>
          <w:tcPr>
            <w:tcW w:w="180" w:type="dxa"/>
            <w:vAlign w:val="bottom"/>
            <w:vMerge w:val="continue"/>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6,741,431</w:t>
            </w: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USS Parent Holding Corp. (d), (g)</w:t>
            </w:r>
          </w:p>
        </w:tc>
        <w:tc>
          <w:tcPr>
            <w:tcW w:w="2300" w:type="dxa"/>
            <w:vAlign w:val="bottom"/>
            <w:tcBorders>
              <w:right w:val="single" w:sz="8" w:color="CCEEFF"/>
            </w:tcBorders>
            <w:gridSpan w:val="2"/>
            <w:shd w:val="clear" w:color="auto" w:fill="CCEEFF"/>
          </w:tcPr>
          <w:p>
            <w:pPr>
              <w:ind w:left="800"/>
              <w:spacing w:after="0" w:line="201" w:lineRule="exact"/>
              <w:rPr>
                <w:sz w:val="20"/>
                <w:szCs w:val="20"/>
                <w:color w:val="auto"/>
              </w:rPr>
            </w:pPr>
            <w:r>
              <w:rPr>
                <w:rFonts w:ascii="Arial" w:cs="Arial" w:eastAsia="Arial" w:hAnsi="Arial"/>
                <w:sz w:val="18"/>
                <w:szCs w:val="18"/>
                <w:color w:val="auto"/>
              </w:rPr>
              <w:t>Environmental</w:t>
            </w:r>
          </w:p>
        </w:tc>
        <w:tc>
          <w:tcPr>
            <w:tcW w:w="1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Non Voting</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500" w:type="dxa"/>
            <w:vAlign w:val="bottom"/>
            <w:tcBorders>
              <w:right w:val="single" w:sz="8" w:color="CCEEFF"/>
            </w:tcBorders>
            <w:shd w:val="clear" w:color="auto" w:fill="CCEEFF"/>
          </w:tcPr>
          <w:p>
            <w:pPr>
              <w:spacing w:after="0"/>
              <w:rPr>
                <w:sz w:val="20"/>
                <w:szCs w:val="20"/>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765</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133,002</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220,992</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USS Parent Holding Corp. (d), (g)</w:t>
            </w:r>
          </w:p>
        </w:tc>
        <w:tc>
          <w:tcPr>
            <w:tcW w:w="2300" w:type="dxa"/>
            <w:vAlign w:val="bottom"/>
            <w:gridSpan w:val="2"/>
          </w:tcPr>
          <w:p>
            <w:pPr>
              <w:ind w:left="800"/>
              <w:spacing w:after="0" w:line="201" w:lineRule="exact"/>
              <w:rPr>
                <w:sz w:val="20"/>
                <w:szCs w:val="20"/>
                <w:color w:val="auto"/>
              </w:rPr>
            </w:pPr>
            <w:r>
              <w:rPr>
                <w:rFonts w:ascii="Arial" w:cs="Arial" w:eastAsia="Arial" w:hAnsi="Arial"/>
                <w:sz w:val="18"/>
                <w:szCs w:val="18"/>
                <w:color w:val="auto"/>
              </w:rPr>
              <w:t>Environmental</w:t>
            </w:r>
          </w:p>
        </w:tc>
        <w:tc>
          <w:tcPr>
            <w:tcW w:w="1560" w:type="dxa"/>
            <w:vAlign w:val="bottom"/>
            <w:gridSpan w:val="2"/>
          </w:tcPr>
          <w:p>
            <w:pPr>
              <w:spacing w:after="0" w:line="201" w:lineRule="exact"/>
              <w:rPr>
                <w:sz w:val="20"/>
                <w:szCs w:val="20"/>
                <w:color w:val="auto"/>
              </w:rPr>
            </w:pPr>
            <w:r>
              <w:rPr>
                <w:rFonts w:ascii="Arial" w:cs="Arial" w:eastAsia="Arial" w:hAnsi="Arial"/>
                <w:sz w:val="18"/>
                <w:szCs w:val="18"/>
                <w:color w:val="auto"/>
              </w:rPr>
              <w:t>Voting Common</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Stock</w:t>
            </w:r>
          </w:p>
        </w:tc>
        <w:tc>
          <w:tcPr>
            <w:tcW w:w="180" w:type="dxa"/>
            <w:vAlign w:val="bottom"/>
          </w:tcPr>
          <w:p>
            <w:pPr>
              <w:spacing w:after="0"/>
              <w:rPr>
                <w:sz w:val="20"/>
                <w:szCs w:val="20"/>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17,396</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3,025,798</w:t>
            </w:r>
          </w:p>
        </w:tc>
        <w:tc>
          <w:tcPr>
            <w:tcW w:w="860" w:type="dxa"/>
            <w:vAlign w:val="bottom"/>
          </w:tcPr>
          <w:p>
            <w:pPr>
              <w:jc w:val="right"/>
              <w:spacing w:after="0"/>
              <w:rPr>
                <w:sz w:val="20"/>
                <w:szCs w:val="20"/>
                <w:color w:val="auto"/>
              </w:rPr>
            </w:pPr>
            <w:r>
              <w:rPr>
                <w:rFonts w:ascii="Arial" w:cs="Arial" w:eastAsia="Arial" w:hAnsi="Arial"/>
                <w:sz w:val="18"/>
                <w:szCs w:val="18"/>
                <w:color w:val="auto"/>
              </w:rPr>
              <w:t>5,027,574</w:t>
            </w: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7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Total Environmental</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3,158,800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5,248,566</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09"/>
        </w:trPr>
        <w:tc>
          <w:tcPr>
            <w:tcW w:w="3340" w:type="dxa"/>
            <w:vAlign w:val="bottom"/>
            <w:gridSpan w:val="3"/>
          </w:tcPr>
          <w:p>
            <w:pPr>
              <w:spacing w:after="0"/>
              <w:rPr>
                <w:sz w:val="20"/>
                <w:szCs w:val="20"/>
                <w:color w:val="auto"/>
              </w:rPr>
            </w:pPr>
            <w:r>
              <w:rPr>
                <w:rFonts w:ascii="Arial" w:cs="Arial" w:eastAsia="Arial" w:hAnsi="Arial"/>
                <w:sz w:val="18"/>
                <w:szCs w:val="18"/>
                <w:color w:val="auto"/>
              </w:rPr>
              <w:t>DS Waters of America, Inc. (d)</w:t>
            </w:r>
          </w:p>
        </w:tc>
        <w:tc>
          <w:tcPr>
            <w:tcW w:w="2300" w:type="dxa"/>
            <w:vAlign w:val="bottom"/>
            <w:gridSpan w:val="2"/>
          </w:tcPr>
          <w:p>
            <w:pPr>
              <w:ind w:left="800"/>
              <w:spacing w:after="0"/>
              <w:rPr>
                <w:sz w:val="20"/>
                <w:szCs w:val="20"/>
                <w:color w:val="auto"/>
              </w:rPr>
            </w:pPr>
            <w:r>
              <w:rPr>
                <w:rFonts w:ascii="Arial" w:cs="Arial" w:eastAsia="Arial" w:hAnsi="Arial"/>
                <w:sz w:val="18"/>
                <w:szCs w:val="18"/>
                <w:color w:val="auto"/>
                <w:w w:val="92"/>
              </w:rPr>
              <w:t>Food and Beverage</w:t>
            </w:r>
          </w:p>
        </w:tc>
        <w:tc>
          <w:tcPr>
            <w:tcW w:w="1560" w:type="dxa"/>
            <w:vAlign w:val="bottom"/>
            <w:gridSpan w:val="2"/>
          </w:tcPr>
          <w:p>
            <w:pPr>
              <w:spacing w:after="0"/>
              <w:rPr>
                <w:sz w:val="20"/>
                <w:szCs w:val="20"/>
                <w:color w:val="auto"/>
              </w:rPr>
            </w:pPr>
            <w:r>
              <w:rPr>
                <w:rFonts w:ascii="Arial" w:cs="Arial" w:eastAsia="Arial" w:hAnsi="Arial"/>
                <w:sz w:val="18"/>
                <w:szCs w:val="18"/>
                <w:color w:val="auto"/>
              </w:rPr>
              <w:t>First Lien Term</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Loan 5.25% Cash,</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8/30/2020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2,493,750</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2,470,506</w:t>
            </w:r>
          </w:p>
        </w:tc>
        <w:tc>
          <w:tcPr>
            <w:tcW w:w="860" w:type="dxa"/>
            <w:vAlign w:val="bottom"/>
          </w:tcPr>
          <w:p>
            <w:pPr>
              <w:jc w:val="right"/>
              <w:spacing w:after="0"/>
              <w:rPr>
                <w:sz w:val="20"/>
                <w:szCs w:val="20"/>
                <w:color w:val="auto"/>
              </w:rPr>
            </w:pPr>
            <w:r>
              <w:rPr>
                <w:rFonts w:ascii="Arial" w:cs="Arial" w:eastAsia="Arial" w:hAnsi="Arial"/>
                <w:sz w:val="18"/>
                <w:szCs w:val="18"/>
                <w:color w:val="auto"/>
              </w:rPr>
              <w:t>2,531,156</w:t>
            </w: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HOA Restaurant Group, L.L.C. (d)</w:t>
            </w:r>
          </w:p>
        </w:tc>
        <w:tc>
          <w:tcPr>
            <w:tcW w:w="2300" w:type="dxa"/>
            <w:vAlign w:val="bottom"/>
            <w:tcBorders>
              <w:right w:val="single" w:sz="8" w:color="CCEEFF"/>
            </w:tcBorders>
            <w:gridSpan w:val="2"/>
            <w:shd w:val="clear" w:color="auto" w:fill="CCEEFF"/>
          </w:tcPr>
          <w:p>
            <w:pPr>
              <w:ind w:left="800"/>
              <w:spacing w:after="0" w:line="201" w:lineRule="exact"/>
              <w:rPr>
                <w:sz w:val="20"/>
                <w:szCs w:val="20"/>
                <w:color w:val="auto"/>
              </w:rPr>
            </w:pPr>
            <w:r>
              <w:rPr>
                <w:rFonts w:ascii="Arial" w:cs="Arial" w:eastAsia="Arial" w:hAnsi="Arial"/>
                <w:sz w:val="18"/>
                <w:szCs w:val="18"/>
                <w:color w:val="auto"/>
                <w:w w:val="92"/>
              </w:rPr>
              <w:t>Food and Beverage</w:t>
            </w:r>
          </w:p>
        </w:tc>
        <w:tc>
          <w:tcPr>
            <w:tcW w:w="1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Secured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Note 11.25% Cash,</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500" w:type="dxa"/>
            <w:vAlign w:val="bottom"/>
            <w:tcBorders>
              <w:right w:val="single" w:sz="8" w:color="CCEEFF"/>
            </w:tcBorders>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4/1/2017</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3,918,437</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4,240,000</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TB Corp. (d)</w:t>
            </w:r>
          </w:p>
        </w:tc>
        <w:tc>
          <w:tcPr>
            <w:tcW w:w="2300" w:type="dxa"/>
            <w:vAlign w:val="bottom"/>
            <w:gridSpan w:val="2"/>
          </w:tcPr>
          <w:p>
            <w:pPr>
              <w:ind w:left="800"/>
              <w:spacing w:after="0" w:line="201" w:lineRule="exact"/>
              <w:rPr>
                <w:sz w:val="20"/>
                <w:szCs w:val="20"/>
                <w:color w:val="auto"/>
              </w:rPr>
            </w:pPr>
            <w:r>
              <w:rPr>
                <w:rFonts w:ascii="Arial" w:cs="Arial" w:eastAsia="Arial" w:hAnsi="Arial"/>
                <w:sz w:val="18"/>
                <w:szCs w:val="18"/>
                <w:color w:val="auto"/>
                <w:w w:val="92"/>
              </w:rPr>
              <w:t>Food and Beverage</w:t>
            </w:r>
          </w:p>
        </w:tc>
        <w:tc>
          <w:tcPr>
            <w:tcW w:w="1560" w:type="dxa"/>
            <w:vAlign w:val="bottom"/>
            <w:gridSpan w:val="2"/>
          </w:tcPr>
          <w:p>
            <w:pPr>
              <w:spacing w:after="0" w:line="201" w:lineRule="exact"/>
              <w:rPr>
                <w:sz w:val="20"/>
                <w:szCs w:val="20"/>
                <w:color w:val="auto"/>
              </w:rPr>
            </w:pPr>
            <w:r>
              <w:rPr>
                <w:rFonts w:ascii="Arial" w:cs="Arial" w:eastAsia="Arial" w:hAnsi="Arial"/>
                <w:sz w:val="18"/>
                <w:szCs w:val="18"/>
                <w:color w:val="auto"/>
              </w:rPr>
              <w:t>First Lien Term</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Loan 5.75% Cash,</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6/19/2018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5,101,971</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5,082,013</w:t>
            </w:r>
          </w:p>
        </w:tc>
        <w:tc>
          <w:tcPr>
            <w:tcW w:w="860" w:type="dxa"/>
            <w:vAlign w:val="bottom"/>
          </w:tcPr>
          <w:p>
            <w:pPr>
              <w:jc w:val="right"/>
              <w:spacing w:after="0"/>
              <w:rPr>
                <w:sz w:val="20"/>
                <w:szCs w:val="20"/>
                <w:color w:val="auto"/>
              </w:rPr>
            </w:pPr>
            <w:r>
              <w:rPr>
                <w:rFonts w:ascii="Arial" w:cs="Arial" w:eastAsia="Arial" w:hAnsi="Arial"/>
                <w:sz w:val="18"/>
                <w:szCs w:val="18"/>
                <w:color w:val="auto"/>
              </w:rPr>
              <w:t>5,127,481</w:t>
            </w: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TB Corp. (d)</w:t>
            </w:r>
          </w:p>
        </w:tc>
        <w:tc>
          <w:tcPr>
            <w:tcW w:w="2300" w:type="dxa"/>
            <w:vAlign w:val="bottom"/>
            <w:tcBorders>
              <w:right w:val="single" w:sz="8" w:color="CCEEFF"/>
            </w:tcBorders>
            <w:gridSpan w:val="2"/>
            <w:shd w:val="clear" w:color="auto" w:fill="CCEEFF"/>
          </w:tcPr>
          <w:p>
            <w:pPr>
              <w:ind w:left="800"/>
              <w:spacing w:after="0" w:line="201" w:lineRule="exact"/>
              <w:rPr>
                <w:sz w:val="20"/>
                <w:szCs w:val="20"/>
                <w:color w:val="auto"/>
              </w:rPr>
            </w:pPr>
            <w:r>
              <w:rPr>
                <w:rFonts w:ascii="Arial" w:cs="Arial" w:eastAsia="Arial" w:hAnsi="Arial"/>
                <w:sz w:val="18"/>
                <w:szCs w:val="18"/>
                <w:color w:val="auto"/>
                <w:w w:val="92"/>
              </w:rPr>
              <w:t>Food and Beverage</w:t>
            </w:r>
          </w:p>
        </w:tc>
        <w:tc>
          <w:tcPr>
            <w:tcW w:w="15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Unsecured Note</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13.50% (12.00%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500" w:type="dxa"/>
            <w:vAlign w:val="bottom"/>
            <w:tcBorders>
              <w:right w:val="single" w:sz="8" w:color="CCEEFF"/>
            </w:tcBorders>
            <w:shd w:val="clear" w:color="auto" w:fill="CCEEFF"/>
          </w:tcPr>
          <w:p>
            <w:pPr>
              <w:spacing w:after="0"/>
              <w:rPr>
                <w:sz w:val="18"/>
                <w:szCs w:val="18"/>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Cash/1.50% PIK),</w:t>
            </w: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500" w:type="dxa"/>
            <w:vAlign w:val="bottom"/>
            <w:tcBorders>
              <w:right w:val="single" w:sz="8" w:color="CCEEFF"/>
            </w:tcBorders>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r>
              <w:rPr>
                <w:rFonts w:ascii="Arial" w:cs="Arial" w:eastAsia="Arial" w:hAnsi="Arial"/>
                <w:sz w:val="18"/>
                <w:szCs w:val="18"/>
                <w:color w:val="auto"/>
              </w:rPr>
              <w:t>12/20/2018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2,543,154</w:t>
            </w: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2,513,130</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2,555,870</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tcPr>
          <w:p>
            <w:pPr>
              <w:spacing w:after="0" w:line="201" w:lineRule="exact"/>
              <w:rPr>
                <w:sz w:val="20"/>
                <w:szCs w:val="20"/>
                <w:color w:val="auto"/>
              </w:rPr>
            </w:pPr>
            <w:r>
              <w:rPr>
                <w:rFonts w:ascii="Arial" w:cs="Arial" w:eastAsia="Arial" w:hAnsi="Arial"/>
                <w:sz w:val="18"/>
                <w:szCs w:val="18"/>
                <w:color w:val="auto"/>
              </w:rPr>
              <w:t>TM Restaurant Group L.L.C.</w:t>
            </w:r>
          </w:p>
        </w:tc>
        <w:tc>
          <w:tcPr>
            <w:tcW w:w="2300" w:type="dxa"/>
            <w:vAlign w:val="bottom"/>
            <w:gridSpan w:val="2"/>
          </w:tcPr>
          <w:p>
            <w:pPr>
              <w:ind w:left="800"/>
              <w:spacing w:after="0" w:line="201" w:lineRule="exact"/>
              <w:rPr>
                <w:sz w:val="20"/>
                <w:szCs w:val="20"/>
                <w:color w:val="auto"/>
              </w:rPr>
            </w:pPr>
            <w:r>
              <w:rPr>
                <w:rFonts w:ascii="Arial" w:cs="Arial" w:eastAsia="Arial" w:hAnsi="Arial"/>
                <w:sz w:val="18"/>
                <w:szCs w:val="18"/>
                <w:color w:val="auto"/>
                <w:w w:val="92"/>
              </w:rPr>
              <w:t>Food and Beverage</w:t>
            </w:r>
          </w:p>
        </w:tc>
        <w:tc>
          <w:tcPr>
            <w:tcW w:w="1560" w:type="dxa"/>
            <w:vAlign w:val="bottom"/>
            <w:gridSpan w:val="2"/>
          </w:tcPr>
          <w:p>
            <w:pPr>
              <w:spacing w:after="0" w:line="201" w:lineRule="exact"/>
              <w:rPr>
                <w:sz w:val="20"/>
                <w:szCs w:val="20"/>
                <w:color w:val="auto"/>
              </w:rPr>
            </w:pPr>
            <w:r>
              <w:rPr>
                <w:rFonts w:ascii="Arial" w:cs="Arial" w:eastAsia="Arial" w:hAnsi="Arial"/>
                <w:sz w:val="18"/>
                <w:szCs w:val="18"/>
                <w:color w:val="auto"/>
              </w:rPr>
              <w:t>First Lien Term</w:t>
            </w: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Loan 7.75% Cash,</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7/16/2017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2,845,690</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2,831,271</w:t>
            </w:r>
          </w:p>
        </w:tc>
        <w:tc>
          <w:tcPr>
            <w:tcW w:w="860" w:type="dxa"/>
            <w:vAlign w:val="bottom"/>
          </w:tcPr>
          <w:p>
            <w:pPr>
              <w:jc w:val="right"/>
              <w:spacing w:after="0"/>
              <w:rPr>
                <w:sz w:val="20"/>
                <w:szCs w:val="20"/>
                <w:color w:val="auto"/>
              </w:rPr>
            </w:pPr>
            <w:r>
              <w:rPr>
                <w:rFonts w:ascii="Arial" w:cs="Arial" w:eastAsia="Arial" w:hAnsi="Arial"/>
                <w:sz w:val="18"/>
                <w:szCs w:val="18"/>
                <w:color w:val="auto"/>
              </w:rPr>
              <w:t>2,831,462</w:t>
            </w: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7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500" w:type="dxa"/>
            <w:vAlign w:val="bottom"/>
            <w:tcBorders>
              <w:right w:val="single" w:sz="8" w:color="CCEEFF"/>
            </w:tcBorders>
            <w:shd w:val="clear" w:color="auto" w:fill="CCEEFF"/>
          </w:tcPr>
          <w:p>
            <w:pPr>
              <w:spacing w:after="0"/>
              <w:rPr>
                <w:sz w:val="17"/>
                <w:szCs w:val="17"/>
                <w:color w:val="auto"/>
              </w:rPr>
            </w:pPr>
          </w:p>
        </w:tc>
        <w:tc>
          <w:tcPr>
            <w:tcW w:w="1560" w:type="dxa"/>
            <w:vAlign w:val="bottom"/>
            <w:gridSpan w:val="2"/>
            <w:shd w:val="clear" w:color="auto" w:fill="CCEEFF"/>
          </w:tcPr>
          <w:p>
            <w:pPr>
              <w:jc w:val="right"/>
              <w:ind w:right="80"/>
              <w:spacing w:after="0" w:line="201" w:lineRule="exact"/>
              <w:rPr>
                <w:sz w:val="20"/>
                <w:szCs w:val="20"/>
                <w:color w:val="auto"/>
              </w:rPr>
            </w:pPr>
            <w:r>
              <w:rPr>
                <w:rFonts w:ascii="Arial" w:cs="Arial" w:eastAsia="Arial" w:hAnsi="Arial"/>
                <w:sz w:val="18"/>
                <w:szCs w:val="18"/>
                <w:color w:val="auto"/>
              </w:rPr>
              <w:t>Total Food and</w:t>
            </w: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500" w:type="dxa"/>
            <w:vAlign w:val="bottom"/>
            <w:tcBorders>
              <w:right w:val="single" w:sz="8" w:color="CCEEFF"/>
            </w:tcBorders>
            <w:shd w:val="clear" w:color="auto" w:fill="CCEEFF"/>
          </w:tcPr>
          <w:p>
            <w:pPr>
              <w:spacing w:after="0"/>
              <w:rPr>
                <w:sz w:val="20"/>
                <w:szCs w:val="20"/>
                <w:color w:val="auto"/>
              </w:rPr>
            </w:pPr>
          </w:p>
        </w:tc>
        <w:tc>
          <w:tcPr>
            <w:tcW w:w="1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Beverage</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16,815,357</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3"/>
              </w:rPr>
              <w:t>17,285,969</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09"/>
        </w:trPr>
        <w:tc>
          <w:tcPr>
            <w:tcW w:w="3340" w:type="dxa"/>
            <w:vAlign w:val="bottom"/>
            <w:gridSpan w:val="3"/>
          </w:tcPr>
          <w:p>
            <w:pPr>
              <w:spacing w:after="0"/>
              <w:rPr>
                <w:sz w:val="20"/>
                <w:szCs w:val="20"/>
                <w:color w:val="auto"/>
              </w:rPr>
            </w:pPr>
            <w:r>
              <w:rPr>
                <w:rFonts w:ascii="Arial" w:cs="Arial" w:eastAsia="Arial" w:hAnsi="Arial"/>
                <w:sz w:val="18"/>
                <w:szCs w:val="18"/>
                <w:color w:val="auto"/>
              </w:rPr>
              <w:t>Bristol Hospice, LLC</w:t>
            </w:r>
          </w:p>
        </w:tc>
        <w:tc>
          <w:tcPr>
            <w:tcW w:w="3860" w:type="dxa"/>
            <w:vAlign w:val="bottom"/>
            <w:gridSpan w:val="4"/>
          </w:tcPr>
          <w:p>
            <w:pPr>
              <w:ind w:left="800"/>
              <w:spacing w:after="0"/>
              <w:rPr>
                <w:sz w:val="20"/>
                <w:szCs w:val="20"/>
                <w:color w:val="auto"/>
              </w:rPr>
            </w:pPr>
            <w:r>
              <w:rPr>
                <w:rFonts w:ascii="Arial" w:cs="Arial" w:eastAsia="Arial" w:hAnsi="Arial"/>
                <w:sz w:val="18"/>
                <w:szCs w:val="18"/>
                <w:color w:val="auto"/>
              </w:rPr>
              <w:t>Healthcare Services Senior Secured</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Note 11.00%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(10.00%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560" w:type="dxa"/>
            <w:vAlign w:val="bottom"/>
            <w:gridSpan w:val="2"/>
          </w:tcPr>
          <w:p>
            <w:pPr>
              <w:spacing w:after="0"/>
              <w:rPr>
                <w:sz w:val="20"/>
                <w:szCs w:val="20"/>
                <w:color w:val="auto"/>
              </w:rPr>
            </w:pPr>
            <w:r>
              <w:rPr>
                <w:rFonts w:ascii="Arial" w:cs="Arial" w:eastAsia="Arial" w:hAnsi="Arial"/>
                <w:sz w:val="18"/>
                <w:szCs w:val="18"/>
                <w:color w:val="auto"/>
              </w:rPr>
              <w:t>Cash/1.00% PIK),</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80" w:type="dxa"/>
            <w:vAlign w:val="bottom"/>
          </w:tcPr>
          <w:p>
            <w:pPr>
              <w:spacing w:after="0"/>
              <w:rPr>
                <w:sz w:val="20"/>
                <w:szCs w:val="20"/>
                <w:color w:val="auto"/>
              </w:rPr>
            </w:pPr>
            <w:r>
              <w:rPr>
                <w:rFonts w:ascii="Arial" w:cs="Arial" w:eastAsia="Arial" w:hAnsi="Arial"/>
                <w:sz w:val="18"/>
                <w:szCs w:val="18"/>
                <w:color w:val="auto"/>
              </w:rPr>
              <w:t>11/29/2018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5,509,782</w:t>
            </w:r>
          </w:p>
        </w:tc>
        <w:tc>
          <w:tcPr>
            <w:tcW w:w="18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5,405,325</w:t>
            </w:r>
          </w:p>
        </w:tc>
        <w:tc>
          <w:tcPr>
            <w:tcW w:w="860" w:type="dxa"/>
            <w:vAlign w:val="bottom"/>
          </w:tcPr>
          <w:p>
            <w:pPr>
              <w:jc w:val="right"/>
              <w:spacing w:after="0"/>
              <w:rPr>
                <w:sz w:val="20"/>
                <w:szCs w:val="20"/>
                <w:color w:val="auto"/>
              </w:rPr>
            </w:pPr>
            <w:r>
              <w:rPr>
                <w:rFonts w:ascii="Arial" w:cs="Arial" w:eastAsia="Arial" w:hAnsi="Arial"/>
                <w:sz w:val="18"/>
                <w:szCs w:val="18"/>
                <w:color w:val="auto"/>
              </w:rPr>
              <w:t>5,509,782</w:t>
            </w: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3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Oceans Acquisition, Inc.</w:t>
            </w:r>
          </w:p>
        </w:tc>
        <w:tc>
          <w:tcPr>
            <w:tcW w:w="3860" w:type="dxa"/>
            <w:vAlign w:val="bottom"/>
            <w:gridSpan w:val="4"/>
            <w:shd w:val="clear" w:color="auto" w:fill="CCEEFF"/>
          </w:tcPr>
          <w:p>
            <w:pPr>
              <w:ind w:left="800"/>
              <w:spacing w:after="0" w:line="201" w:lineRule="exact"/>
              <w:rPr>
                <w:sz w:val="20"/>
                <w:szCs w:val="20"/>
                <w:color w:val="auto"/>
              </w:rPr>
            </w:pPr>
            <w:r>
              <w:rPr>
                <w:rFonts w:ascii="Arial" w:cs="Arial" w:eastAsia="Arial" w:hAnsi="Arial"/>
                <w:sz w:val="18"/>
                <w:szCs w:val="18"/>
                <w:color w:val="auto"/>
                <w:w w:val="99"/>
              </w:rPr>
              <w:t>Healthcare Services First Lien Term A</w:t>
            </w:r>
          </w:p>
        </w:tc>
        <w:tc>
          <w:tcPr>
            <w:tcW w:w="1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6,373,113</w:t>
            </w:r>
          </w:p>
        </w:tc>
        <w:tc>
          <w:tcPr>
            <w:tcW w:w="104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6,273,020</w:t>
            </w:r>
          </w:p>
        </w:tc>
        <w:tc>
          <w:tcPr>
            <w:tcW w:w="104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6,373,113</w:t>
            </w: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74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1500" w:type="dxa"/>
            <w:vAlign w:val="bottom"/>
            <w:tcBorders>
              <w:right w:val="single" w:sz="8" w:color="CCEEFF"/>
            </w:tcBorders>
            <w:shd w:val="clear" w:color="auto" w:fill="CCEEFF"/>
          </w:tcPr>
          <w:p>
            <w:pPr>
              <w:spacing w:after="0"/>
              <w:rPr>
                <w:sz w:val="20"/>
                <w:szCs w:val="20"/>
                <w:color w:val="auto"/>
              </w:rPr>
            </w:pPr>
          </w:p>
        </w:tc>
        <w:tc>
          <w:tcPr>
            <w:tcW w:w="1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Loan 10.75% Cash,</w:t>
            </w: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27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c>
          <w:tcPr>
            <w:tcW w:w="1500" w:type="dxa"/>
            <w:vAlign w:val="bottom"/>
            <w:tcBorders>
              <w:right w:val="single" w:sz="8" w:color="CCEEFF"/>
            </w:tcBorders>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9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459" w:right="239" w:bottom="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shd w:val="clear" w:color="auto" w:fill="CCEEFF"/>
          </w:tcPr>
          <w:p>
            <w:pPr>
              <w:spacing w:after="0"/>
              <w:rPr>
                <w:sz w:val="18"/>
                <w:szCs w:val="18"/>
                <w:color w:val="auto"/>
              </w:rPr>
            </w:pPr>
          </w:p>
        </w:tc>
        <w:tc>
          <w:tcPr>
            <w:tcW w:w="342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12/27/2017</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rPr>
              <w:t>Oceans Acquisition, Inc.</w:t>
            </w:r>
          </w:p>
        </w:tc>
        <w:tc>
          <w:tcPr>
            <w:tcW w:w="3420" w:type="dxa"/>
            <w:vAlign w:val="bottom"/>
          </w:tcPr>
          <w:p>
            <w:pPr>
              <w:ind w:left="400"/>
              <w:spacing w:after="0" w:line="201" w:lineRule="exact"/>
              <w:rPr>
                <w:sz w:val="20"/>
                <w:szCs w:val="20"/>
                <w:color w:val="auto"/>
              </w:rPr>
            </w:pPr>
            <w:r>
              <w:rPr>
                <w:rFonts w:ascii="Arial" w:cs="Arial" w:eastAsia="Arial" w:hAnsi="Arial"/>
                <w:sz w:val="18"/>
                <w:szCs w:val="18"/>
                <w:color w:val="auto"/>
                <w:w w:val="98"/>
              </w:rPr>
              <w:t>Healthcare Services First Lien Term B</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3740" w:type="dxa"/>
            <w:vAlign w:val="bottom"/>
          </w:tcPr>
          <w:p>
            <w:pPr>
              <w:spacing w:after="0"/>
              <w:rPr>
                <w:sz w:val="18"/>
                <w:szCs w:val="18"/>
                <w:color w:val="auto"/>
              </w:rPr>
            </w:pPr>
          </w:p>
        </w:tc>
        <w:tc>
          <w:tcPr>
            <w:tcW w:w="3420" w:type="dxa"/>
            <w:vAlign w:val="bottom"/>
          </w:tcPr>
          <w:p>
            <w:pPr>
              <w:ind w:left="1900"/>
              <w:spacing w:after="0"/>
              <w:rPr>
                <w:sz w:val="20"/>
                <w:szCs w:val="20"/>
                <w:color w:val="auto"/>
              </w:rPr>
            </w:pPr>
            <w:r>
              <w:rPr>
                <w:rFonts w:ascii="Arial" w:cs="Arial" w:eastAsia="Arial" w:hAnsi="Arial"/>
                <w:sz w:val="18"/>
                <w:szCs w:val="18"/>
                <w:color w:val="auto"/>
                <w:w w:val="94"/>
              </w:rPr>
              <w:t>Loan 10.75% Cash,</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p>
        </w:tc>
        <w:tc>
          <w:tcPr>
            <w:tcW w:w="3420" w:type="dxa"/>
            <w:vAlign w:val="bottom"/>
          </w:tcPr>
          <w:p>
            <w:pPr>
              <w:ind w:left="1900"/>
              <w:spacing w:after="0"/>
              <w:rPr>
                <w:sz w:val="20"/>
                <w:szCs w:val="20"/>
                <w:color w:val="auto"/>
              </w:rPr>
            </w:pPr>
            <w:r>
              <w:rPr>
                <w:rFonts w:ascii="Arial" w:cs="Arial" w:eastAsia="Arial" w:hAnsi="Arial"/>
                <w:sz w:val="18"/>
                <w:szCs w:val="18"/>
                <w:color w:val="auto"/>
              </w:rPr>
              <w:t>12/27/2017</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500,000</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490,224</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500,000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0.4%</w:t>
            </w:r>
          </w:p>
        </w:tc>
      </w:tr>
      <w:tr>
        <w:trPr>
          <w:trHeight w:val="202"/>
        </w:trPr>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Smile Brands Group Inc. (d)</w:t>
            </w:r>
          </w:p>
        </w:tc>
        <w:tc>
          <w:tcPr>
            <w:tcW w:w="34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Healthcare Services First Lien Term</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3740" w:type="dxa"/>
            <w:vAlign w:val="bottom"/>
            <w:shd w:val="clear" w:color="auto" w:fill="CCEEFF"/>
          </w:tcPr>
          <w:p>
            <w:pPr>
              <w:spacing w:after="0"/>
              <w:rPr>
                <w:sz w:val="18"/>
                <w:szCs w:val="18"/>
                <w:color w:val="auto"/>
              </w:rPr>
            </w:pPr>
          </w:p>
        </w:tc>
        <w:tc>
          <w:tcPr>
            <w:tcW w:w="342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Loan 7.50% Cash,</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3740" w:type="dxa"/>
            <w:vAlign w:val="bottom"/>
            <w:shd w:val="clear" w:color="auto" w:fill="CCEEFF"/>
          </w:tcPr>
          <w:p>
            <w:pPr>
              <w:spacing w:after="0"/>
              <w:rPr>
                <w:sz w:val="20"/>
                <w:szCs w:val="20"/>
                <w:color w:val="auto"/>
              </w:rPr>
            </w:pPr>
          </w:p>
        </w:tc>
        <w:tc>
          <w:tcPr>
            <w:tcW w:w="342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8/16/2019</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4,488,750</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4,406,559</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4,488,750</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r>
      <w:tr>
        <w:trPr>
          <w:trHeight w:val="202"/>
        </w:trPr>
        <w:tc>
          <w:tcPr>
            <w:tcW w:w="3740" w:type="dxa"/>
            <w:vAlign w:val="bottom"/>
          </w:tcPr>
          <w:p>
            <w:pPr>
              <w:spacing w:after="0" w:line="201" w:lineRule="exact"/>
              <w:rPr>
                <w:sz w:val="20"/>
                <w:szCs w:val="20"/>
                <w:color w:val="auto"/>
              </w:rPr>
            </w:pPr>
            <w:r>
              <w:rPr>
                <w:rFonts w:ascii="Arial" w:cs="Arial" w:eastAsia="Arial" w:hAnsi="Arial"/>
                <w:sz w:val="18"/>
                <w:szCs w:val="18"/>
                <w:color w:val="auto"/>
              </w:rPr>
              <w:t>Surgical Specialties Corporation (US), Inc. (d)</w:t>
            </w:r>
          </w:p>
        </w:tc>
        <w:tc>
          <w:tcPr>
            <w:tcW w:w="3420" w:type="dxa"/>
            <w:vAlign w:val="bottom"/>
          </w:tcPr>
          <w:p>
            <w:pPr>
              <w:ind w:left="400"/>
              <w:spacing w:after="0" w:line="201" w:lineRule="exact"/>
              <w:rPr>
                <w:sz w:val="20"/>
                <w:szCs w:val="20"/>
                <w:color w:val="auto"/>
              </w:rPr>
            </w:pPr>
            <w:r>
              <w:rPr>
                <w:rFonts w:ascii="Arial" w:cs="Arial" w:eastAsia="Arial" w:hAnsi="Arial"/>
                <w:sz w:val="18"/>
                <w:szCs w:val="18"/>
                <w:color w:val="auto"/>
              </w:rPr>
              <w:t>Healthcare Services First Lien Term</w:t>
            </w:r>
          </w:p>
        </w:tc>
        <w:tc>
          <w:tcPr>
            <w:tcW w:w="3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16"/>
        </w:trPr>
        <w:tc>
          <w:tcPr>
            <w:tcW w:w="3740" w:type="dxa"/>
            <w:vAlign w:val="bottom"/>
          </w:tcPr>
          <w:p>
            <w:pPr>
              <w:spacing w:after="0"/>
              <w:rPr>
                <w:sz w:val="18"/>
                <w:szCs w:val="18"/>
                <w:color w:val="auto"/>
              </w:rPr>
            </w:pPr>
          </w:p>
        </w:tc>
        <w:tc>
          <w:tcPr>
            <w:tcW w:w="3420" w:type="dxa"/>
            <w:vAlign w:val="bottom"/>
          </w:tcPr>
          <w:p>
            <w:pPr>
              <w:ind w:left="1900"/>
              <w:spacing w:after="0"/>
              <w:rPr>
                <w:sz w:val="20"/>
                <w:szCs w:val="20"/>
                <w:color w:val="auto"/>
              </w:rPr>
            </w:pPr>
            <w:r>
              <w:rPr>
                <w:rFonts w:ascii="Arial" w:cs="Arial" w:eastAsia="Arial" w:hAnsi="Arial"/>
                <w:sz w:val="18"/>
                <w:szCs w:val="18"/>
                <w:color w:val="auto"/>
              </w:rPr>
              <w:t>Loan 7.25% Cash,</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p>
        </w:tc>
        <w:tc>
          <w:tcPr>
            <w:tcW w:w="3420" w:type="dxa"/>
            <w:vAlign w:val="bottom"/>
          </w:tcPr>
          <w:p>
            <w:pPr>
              <w:ind w:left="1900"/>
              <w:spacing w:after="0"/>
              <w:rPr>
                <w:sz w:val="20"/>
                <w:szCs w:val="20"/>
                <w:color w:val="auto"/>
              </w:rPr>
            </w:pPr>
            <w:r>
              <w:rPr>
                <w:rFonts w:ascii="Arial" w:cs="Arial" w:eastAsia="Arial" w:hAnsi="Arial"/>
                <w:sz w:val="18"/>
                <w:szCs w:val="18"/>
                <w:color w:val="auto"/>
              </w:rPr>
              <w:t>8/22/2018</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2,437,500</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2,415,591</w:t>
            </w:r>
          </w:p>
        </w:tc>
        <w:tc>
          <w:tcPr>
            <w:tcW w:w="860" w:type="dxa"/>
            <w:vAlign w:val="bottom"/>
          </w:tcPr>
          <w:p>
            <w:pPr>
              <w:jc w:val="right"/>
              <w:spacing w:after="0"/>
              <w:rPr>
                <w:sz w:val="20"/>
                <w:szCs w:val="20"/>
                <w:color w:val="auto"/>
              </w:rPr>
            </w:pPr>
            <w:r>
              <w:rPr>
                <w:rFonts w:ascii="Arial" w:cs="Arial" w:eastAsia="Arial" w:hAnsi="Arial"/>
                <w:sz w:val="18"/>
                <w:szCs w:val="18"/>
                <w:color w:val="auto"/>
              </w:rPr>
              <w:t>2,449,688</w:t>
            </w:r>
          </w:p>
        </w:tc>
        <w:tc>
          <w:tcPr>
            <w:tcW w:w="180" w:type="dxa"/>
            <w:vAlign w:val="bottom"/>
          </w:tcPr>
          <w:p>
            <w:pPr>
              <w:spacing w:after="0"/>
              <w:rPr>
                <w:sz w:val="20"/>
                <w:szCs w:val="20"/>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02"/>
        </w:trPr>
        <w:tc>
          <w:tcPr>
            <w:tcW w:w="37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Zest Holdings, LLC (d)</w:t>
            </w:r>
          </w:p>
        </w:tc>
        <w:tc>
          <w:tcPr>
            <w:tcW w:w="3420" w:type="dxa"/>
            <w:vAlign w:val="bottom"/>
            <w:shd w:val="clear" w:color="auto" w:fill="CCEEFF"/>
          </w:tcPr>
          <w:p>
            <w:pPr>
              <w:ind w:left="400"/>
              <w:spacing w:after="0" w:line="201" w:lineRule="exact"/>
              <w:rPr>
                <w:sz w:val="20"/>
                <w:szCs w:val="20"/>
                <w:color w:val="auto"/>
              </w:rPr>
            </w:pPr>
            <w:r>
              <w:rPr>
                <w:rFonts w:ascii="Arial" w:cs="Arial" w:eastAsia="Arial" w:hAnsi="Arial"/>
                <w:sz w:val="18"/>
                <w:szCs w:val="18"/>
                <w:color w:val="auto"/>
              </w:rPr>
              <w:t>Healthcare Services First Lien Term</w:t>
            </w:r>
          </w:p>
        </w:tc>
        <w:tc>
          <w:tcPr>
            <w:tcW w:w="3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3740" w:type="dxa"/>
            <w:vAlign w:val="bottom"/>
            <w:shd w:val="clear" w:color="auto" w:fill="CCEEFF"/>
          </w:tcPr>
          <w:p>
            <w:pPr>
              <w:spacing w:after="0"/>
              <w:rPr>
                <w:sz w:val="18"/>
                <w:szCs w:val="18"/>
                <w:color w:val="auto"/>
              </w:rPr>
            </w:pPr>
          </w:p>
        </w:tc>
        <w:tc>
          <w:tcPr>
            <w:tcW w:w="342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Loan 6.50% Cash,</w:t>
            </w:r>
          </w:p>
        </w:tc>
        <w:tc>
          <w:tcPr>
            <w:tcW w:w="3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r>
      <w:tr>
        <w:trPr>
          <w:trHeight w:val="230"/>
        </w:trPr>
        <w:tc>
          <w:tcPr>
            <w:tcW w:w="3740" w:type="dxa"/>
            <w:vAlign w:val="bottom"/>
            <w:shd w:val="clear" w:color="auto" w:fill="CCEEFF"/>
          </w:tcPr>
          <w:p>
            <w:pPr>
              <w:spacing w:after="0"/>
              <w:rPr>
                <w:sz w:val="20"/>
                <w:szCs w:val="20"/>
                <w:color w:val="auto"/>
              </w:rPr>
            </w:pPr>
          </w:p>
        </w:tc>
        <w:tc>
          <w:tcPr>
            <w:tcW w:w="3420" w:type="dxa"/>
            <w:vAlign w:val="bottom"/>
            <w:shd w:val="clear" w:color="auto" w:fill="CCEEFF"/>
          </w:tcPr>
          <w:p>
            <w:pPr>
              <w:ind w:left="1900"/>
              <w:spacing w:after="0"/>
              <w:rPr>
                <w:sz w:val="20"/>
                <w:szCs w:val="20"/>
                <w:color w:val="auto"/>
              </w:rPr>
            </w:pPr>
            <w:r>
              <w:rPr>
                <w:rFonts w:ascii="Arial" w:cs="Arial" w:eastAsia="Arial" w:hAnsi="Arial"/>
                <w:sz w:val="18"/>
                <w:szCs w:val="18"/>
                <w:color w:val="auto"/>
              </w:rPr>
              <w:t>8/16/2020</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4,488,750</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4,405,073</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4,488,750</w:t>
            </w:r>
          </w:p>
        </w:tc>
        <w:tc>
          <w:tcPr>
            <w:tcW w:w="18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w:t>
            </w:r>
          </w:p>
        </w:tc>
      </w:tr>
      <w:tr>
        <w:trPr>
          <w:trHeight w:val="209"/>
        </w:trPr>
        <w:tc>
          <w:tcPr>
            <w:tcW w:w="3740" w:type="dxa"/>
            <w:vAlign w:val="bottom"/>
          </w:tcPr>
          <w:p>
            <w:pPr>
              <w:spacing w:after="0"/>
              <w:rPr>
                <w:sz w:val="18"/>
                <w:szCs w:val="18"/>
                <w:color w:val="auto"/>
              </w:rPr>
            </w:pPr>
          </w:p>
        </w:tc>
        <w:tc>
          <w:tcPr>
            <w:tcW w:w="3420" w:type="dxa"/>
            <w:vAlign w:val="bottom"/>
          </w:tcPr>
          <w:p>
            <w:pPr>
              <w:jc w:val="right"/>
              <w:spacing w:after="0"/>
              <w:rPr>
                <w:sz w:val="20"/>
                <w:szCs w:val="20"/>
                <w:color w:val="auto"/>
              </w:rPr>
            </w:pPr>
            <w:r>
              <w:rPr>
                <w:rFonts w:ascii="Arial" w:cs="Arial" w:eastAsia="Arial" w:hAnsi="Arial"/>
                <w:sz w:val="18"/>
                <w:szCs w:val="18"/>
                <w:color w:val="auto"/>
              </w:rPr>
              <w:t>Total Healthcare</w:t>
            </w:r>
          </w:p>
        </w:tc>
        <w:tc>
          <w:tcPr>
            <w:tcW w:w="3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p>
        </w:tc>
        <w:tc>
          <w:tcPr>
            <w:tcW w:w="3420" w:type="dxa"/>
            <w:vAlign w:val="bottom"/>
          </w:tcPr>
          <w:p>
            <w:pPr>
              <w:jc w:val="right"/>
              <w:spacing w:after="0"/>
              <w:rPr>
                <w:sz w:val="20"/>
                <w:szCs w:val="20"/>
                <w:color w:val="auto"/>
              </w:rPr>
            </w:pPr>
            <w:r>
              <w:rPr>
                <w:rFonts w:ascii="Arial" w:cs="Arial" w:eastAsia="Arial" w:hAnsi="Arial"/>
                <w:sz w:val="18"/>
                <w:szCs w:val="18"/>
                <w:color w:val="auto"/>
              </w:rPr>
              <w:t>Services</w:t>
            </w: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23,395,792</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w w:val="93"/>
              </w:rPr>
              <w:t>23,810,083</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rPr>
              <w:t>20.7%</w:t>
            </w:r>
          </w:p>
        </w:tc>
      </w:tr>
      <w:tr>
        <w:trPr>
          <w:trHeight w:val="372"/>
        </w:trPr>
        <w:tc>
          <w:tcPr>
            <w:tcW w:w="3740" w:type="dxa"/>
            <w:vAlign w:val="bottom"/>
          </w:tcPr>
          <w:p>
            <w:pPr>
              <w:spacing w:after="0"/>
              <w:rPr>
                <w:sz w:val="24"/>
                <w:szCs w:val="24"/>
                <w:color w:val="auto"/>
              </w:rPr>
            </w:pPr>
          </w:p>
        </w:tc>
        <w:tc>
          <w:tcPr>
            <w:tcW w:w="3420" w:type="dxa"/>
            <w:vAlign w:val="bottom"/>
          </w:tcPr>
          <w:p>
            <w:pPr>
              <w:ind w:left="1920"/>
              <w:spacing w:after="0"/>
              <w:rPr>
                <w:sz w:val="20"/>
                <w:szCs w:val="20"/>
                <w:color w:val="auto"/>
              </w:rPr>
            </w:pPr>
            <w:r>
              <w:rPr>
                <w:rFonts w:ascii="Arial" w:cs="Arial" w:eastAsia="Arial" w:hAnsi="Arial"/>
                <w:sz w:val="18"/>
                <w:szCs w:val="18"/>
                <w:color w:val="auto"/>
              </w:rPr>
              <w:t>9</w:t>
            </w:r>
          </w:p>
        </w:tc>
        <w:tc>
          <w:tcPr>
            <w:tcW w:w="3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420"/>
          </w:cols>
          <w:pgMar w:left="240" w:top="140"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Company</w:t>
            </w:r>
          </w:p>
        </w:tc>
        <w:tc>
          <w:tcPr>
            <w:tcW w:w="440" w:type="dxa"/>
            <w:vAlign w:val="bottom"/>
          </w:tcPr>
          <w:p>
            <w:pPr>
              <w:spacing w:after="0"/>
              <w:rPr>
                <w:sz w:val="14"/>
                <w:szCs w:val="14"/>
                <w:color w:val="auto"/>
              </w:rPr>
            </w:pPr>
          </w:p>
        </w:tc>
        <w:tc>
          <w:tcPr>
            <w:tcW w:w="11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Industry</w:t>
            </w:r>
          </w:p>
        </w:tc>
        <w:tc>
          <w:tcPr>
            <w:tcW w:w="1900" w:type="dxa"/>
            <w:vAlign w:val="bottom"/>
            <w:gridSpan w:val="2"/>
          </w:tcPr>
          <w:p>
            <w:pPr>
              <w:ind w:left="320"/>
              <w:spacing w:after="0"/>
              <w:rPr>
                <w:sz w:val="20"/>
                <w:szCs w:val="20"/>
                <w:color w:val="auto"/>
              </w:rPr>
            </w:pPr>
            <w:r>
              <w:rPr>
                <w:rFonts w:ascii="Arial" w:cs="Arial" w:eastAsia="Arial" w:hAnsi="Arial"/>
                <w:sz w:val="14"/>
                <w:szCs w:val="14"/>
                <w:b w:val="1"/>
                <w:bCs w:val="1"/>
                <w:color w:val="auto"/>
              </w:rPr>
              <w:t>Investment Interest</w:t>
            </w:r>
          </w:p>
        </w:tc>
        <w:tc>
          <w:tcPr>
            <w:tcW w:w="180" w:type="dxa"/>
            <w:vAlign w:val="bottom"/>
          </w:tcPr>
          <w:p>
            <w:pPr>
              <w:spacing w:after="0"/>
              <w:rPr>
                <w:sz w:val="14"/>
                <w:szCs w:val="14"/>
                <w:color w:val="auto"/>
              </w:rPr>
            </w:pPr>
          </w:p>
        </w:tc>
        <w:tc>
          <w:tcPr>
            <w:tcW w:w="1120" w:type="dxa"/>
            <w:vAlign w:val="bottom"/>
            <w:gridSpan w:val="2"/>
          </w:tcPr>
          <w:p>
            <w:pPr>
              <w:ind w:left="80"/>
              <w:spacing w:after="0"/>
              <w:rPr>
                <w:sz w:val="20"/>
                <w:szCs w:val="20"/>
                <w:color w:val="auto"/>
              </w:rPr>
            </w:pPr>
            <w:r>
              <w:rPr>
                <w:rFonts w:ascii="Arial" w:cs="Arial" w:eastAsia="Arial" w:hAnsi="Arial"/>
                <w:sz w:val="14"/>
                <w:szCs w:val="14"/>
                <w:b w:val="1"/>
                <w:bCs w:val="1"/>
                <w:color w:val="auto"/>
              </w:rPr>
              <w:t>Principal/</w:t>
            </w:r>
          </w:p>
        </w:tc>
        <w:tc>
          <w:tcPr>
            <w:tcW w:w="116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Cost</w:t>
            </w:r>
          </w:p>
        </w:tc>
        <w:tc>
          <w:tcPr>
            <w:tcW w:w="11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Fair Value (c)</w:t>
            </w:r>
          </w:p>
        </w:tc>
        <w:tc>
          <w:tcPr>
            <w:tcW w:w="86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76"/>
        </w:trPr>
        <w:tc>
          <w:tcPr>
            <w:tcW w:w="3440" w:type="dxa"/>
            <w:vAlign w:val="bottom"/>
            <w:gridSpan w:val="4"/>
            <w:vMerge w:val="continue"/>
          </w:tcPr>
          <w:p>
            <w:pPr>
              <w:spacing w:after="0"/>
              <w:rPr>
                <w:sz w:val="15"/>
                <w:szCs w:val="15"/>
                <w:color w:val="auto"/>
              </w:rPr>
            </w:pPr>
          </w:p>
        </w:tc>
        <w:tc>
          <w:tcPr>
            <w:tcW w:w="440" w:type="dxa"/>
            <w:vAlign w:val="bottom"/>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1900" w:type="dxa"/>
            <w:vAlign w:val="bottom"/>
            <w:gridSpan w:val="2"/>
          </w:tcPr>
          <w:p>
            <w:pPr>
              <w:ind w:left="440"/>
              <w:spacing w:after="0"/>
              <w:rPr>
                <w:sz w:val="20"/>
                <w:szCs w:val="20"/>
                <w:color w:val="auto"/>
              </w:rPr>
            </w:pPr>
            <w:r>
              <w:rPr>
                <w:rFonts w:ascii="Arial" w:cs="Arial" w:eastAsia="Arial" w:hAnsi="Arial"/>
                <w:sz w:val="14"/>
                <w:szCs w:val="14"/>
                <w:b w:val="1"/>
                <w:bCs w:val="1"/>
                <w:color w:val="auto"/>
              </w:rPr>
              <w:t>Rate / Maturity</w:t>
            </w: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rPr>
              <w:t>Number of Shares</w:t>
            </w:r>
          </w:p>
        </w:tc>
        <w:tc>
          <w:tcPr>
            <w:tcW w:w="1160" w:type="dxa"/>
            <w:vAlign w:val="bottom"/>
            <w:gridSpan w:val="3"/>
            <w:vMerge w:val="continue"/>
          </w:tcPr>
          <w:p>
            <w:pPr>
              <w:spacing w:after="0"/>
              <w:rPr>
                <w:sz w:val="15"/>
                <w:szCs w:val="15"/>
                <w:color w:val="auto"/>
              </w:rPr>
            </w:pPr>
          </w:p>
        </w:tc>
        <w:tc>
          <w:tcPr>
            <w:tcW w:w="1160" w:type="dxa"/>
            <w:vAlign w:val="bottom"/>
            <w:gridSpan w:val="2"/>
            <w:vMerge w:val="continue"/>
          </w:tcPr>
          <w:p>
            <w:pPr>
              <w:spacing w:after="0"/>
              <w:rPr>
                <w:sz w:val="15"/>
                <w:szCs w:val="15"/>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2"/>
              </w:rPr>
              <w:t>Net Assets</w:t>
            </w: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5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86"/>
              </w:rPr>
              <w:t>McMillin</w:t>
            </w:r>
          </w:p>
        </w:tc>
        <w:tc>
          <w:tcPr>
            <w:tcW w:w="2840" w:type="dxa"/>
            <w:vAlign w:val="bottom"/>
            <w:tcBorders>
              <w:top w:val="single" w:sz="8" w:color="CCEEFF"/>
            </w:tcBorders>
            <w:gridSpan w:val="2"/>
            <w:shd w:val="clear" w:color="auto" w:fill="CCEEFF"/>
          </w:tcPr>
          <w:p>
            <w:pPr>
              <w:ind w:left="140"/>
              <w:spacing w:after="0" w:line="195" w:lineRule="exact"/>
              <w:rPr>
                <w:sz w:val="20"/>
                <w:szCs w:val="20"/>
                <w:color w:val="auto"/>
              </w:rPr>
            </w:pPr>
            <w:r>
              <w:rPr>
                <w:rFonts w:ascii="Arial" w:cs="Arial" w:eastAsia="Arial" w:hAnsi="Arial"/>
                <w:sz w:val="18"/>
                <w:szCs w:val="18"/>
                <w:color w:val="auto"/>
              </w:rPr>
              <w:t>Companies L.L.C. (d), (g)</w:t>
            </w:r>
          </w:p>
        </w:tc>
        <w:tc>
          <w:tcPr>
            <w:tcW w:w="440" w:type="dxa"/>
            <w:vAlign w:val="bottom"/>
            <w:tcBorders>
              <w:top w:val="single" w:sz="8" w:color="CCEEFF"/>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6"/>
              </w:rPr>
              <w:t>Homebuilding</w:t>
            </w:r>
          </w:p>
        </w:tc>
        <w:tc>
          <w:tcPr>
            <w:tcW w:w="80" w:type="dxa"/>
            <w:vAlign w:val="bottom"/>
            <w:tcBorders>
              <w:top w:val="single" w:sz="8" w:color="CCEEFF"/>
            </w:tcBorders>
            <w:shd w:val="clear" w:color="auto" w:fill="CCEEFF"/>
          </w:tcPr>
          <w:p>
            <w:pPr>
              <w:spacing w:after="0"/>
              <w:rPr>
                <w:sz w:val="16"/>
                <w:szCs w:val="16"/>
                <w:color w:val="auto"/>
              </w:rPr>
            </w:pPr>
          </w:p>
        </w:tc>
        <w:tc>
          <w:tcPr>
            <w:tcW w:w="18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1"/>
              </w:rPr>
              <w:t>Senior Secured Note 0%</w:t>
            </w:r>
          </w:p>
        </w:tc>
        <w:tc>
          <w:tcPr>
            <w:tcW w:w="6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12/31/2013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550,000</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558,434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344,355</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gridSpan w:val="2"/>
            <w:vMerge w:val="restart"/>
          </w:tcPr>
          <w:p>
            <w:pPr>
              <w:ind w:left="360"/>
              <w:spacing w:after="0"/>
              <w:rPr>
                <w:sz w:val="20"/>
                <w:szCs w:val="20"/>
                <w:color w:val="auto"/>
              </w:rPr>
            </w:pPr>
            <w:r>
              <w:rPr>
                <w:rFonts w:ascii="Arial" w:cs="Arial" w:eastAsia="Arial" w:hAnsi="Arial"/>
                <w:sz w:val="18"/>
                <w:szCs w:val="18"/>
                <w:color w:val="auto"/>
                <w:w w:val="97"/>
              </w:rPr>
              <w:t>Total Homebuilding</w:t>
            </w: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558,434</w:t>
            </w:r>
          </w:p>
        </w:tc>
        <w:tc>
          <w:tcPr>
            <w:tcW w:w="2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344,355</w:t>
            </w:r>
          </w:p>
        </w:tc>
        <w:tc>
          <w:tcPr>
            <w:tcW w:w="160" w:type="dxa"/>
            <w:vAlign w:val="bottom"/>
            <w:vMerge w:val="continue"/>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Distribution International, Inc. (d)</w:t>
            </w:r>
          </w:p>
        </w:tc>
        <w:tc>
          <w:tcPr>
            <w:tcW w:w="160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w w:val="99"/>
              </w:rPr>
              <w:t>Manufacturing</w:t>
            </w:r>
          </w:p>
        </w:tc>
        <w:tc>
          <w:tcPr>
            <w:tcW w:w="1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 Lien Term Loan</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7.50% Cash, 7/16/2019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5,970,000</w:t>
            </w: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5,916,094</w:t>
            </w: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5,970,000</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gridSpan w:val="2"/>
            <w:vMerge w:val="restart"/>
          </w:tcPr>
          <w:p>
            <w:pPr>
              <w:ind w:left="360"/>
              <w:spacing w:after="0"/>
              <w:rPr>
                <w:sz w:val="20"/>
                <w:szCs w:val="20"/>
                <w:color w:val="auto"/>
              </w:rPr>
            </w:pPr>
            <w:r>
              <w:rPr>
                <w:rFonts w:ascii="Arial" w:cs="Arial" w:eastAsia="Arial" w:hAnsi="Arial"/>
                <w:sz w:val="18"/>
                <w:szCs w:val="18"/>
                <w:color w:val="auto"/>
                <w:w w:val="95"/>
              </w:rPr>
              <w:t>Total Manufacturing</w:t>
            </w: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5,916,094</w:t>
            </w:r>
          </w:p>
        </w:tc>
        <w:tc>
          <w:tcPr>
            <w:tcW w:w="20" w:type="dxa"/>
            <w:vAlign w:val="bottom"/>
            <w:vMerge w:val="continue"/>
          </w:tcPr>
          <w:p>
            <w:pPr>
              <w:spacing w:after="0"/>
              <w:rPr>
                <w:sz w:val="20"/>
                <w:szCs w:val="20"/>
                <w:color w:val="auto"/>
              </w:rPr>
            </w:pPr>
          </w:p>
        </w:tc>
        <w:tc>
          <w:tcPr>
            <w:tcW w:w="140" w:type="dxa"/>
            <w:vAlign w:val="bottom"/>
            <w:vMerge w:val="continue"/>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5,970,000</w:t>
            </w:r>
          </w:p>
        </w:tc>
        <w:tc>
          <w:tcPr>
            <w:tcW w:w="160" w:type="dxa"/>
            <w:vAlign w:val="bottom"/>
            <w:vMerge w:val="continue"/>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Elyria Foundry Company, L.L.C. (d)</w:t>
            </w:r>
          </w:p>
        </w:tc>
        <w:tc>
          <w:tcPr>
            <w:tcW w:w="160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Metals</w:t>
            </w:r>
          </w:p>
        </w:tc>
        <w:tc>
          <w:tcPr>
            <w:tcW w:w="1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Senior Secured Note</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17.00% (13.00%</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Cash/4.00% PIK),</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9/14/2014</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8,859,614</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8,859,614</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6,644,711</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3"/>
          </w:tcPr>
          <w:p>
            <w:pPr>
              <w:spacing w:after="0" w:line="201" w:lineRule="exact"/>
              <w:rPr>
                <w:sz w:val="20"/>
                <w:szCs w:val="20"/>
                <w:color w:val="auto"/>
              </w:rPr>
            </w:pPr>
            <w:r>
              <w:rPr>
                <w:rFonts w:ascii="Arial" w:cs="Arial" w:eastAsia="Arial" w:hAnsi="Arial"/>
                <w:sz w:val="18"/>
                <w:szCs w:val="18"/>
                <w:color w:val="auto"/>
              </w:rPr>
              <w:t>Elyria Foundry Company, L.L.C. (d), (g)</w:t>
            </w:r>
          </w:p>
        </w:tc>
        <w:tc>
          <w:tcPr>
            <w:tcW w:w="1600" w:type="dxa"/>
            <w:vAlign w:val="bottom"/>
            <w:gridSpan w:val="3"/>
          </w:tcPr>
          <w:p>
            <w:pPr>
              <w:ind w:left="440"/>
              <w:spacing w:after="0" w:line="201" w:lineRule="exact"/>
              <w:rPr>
                <w:sz w:val="20"/>
                <w:szCs w:val="20"/>
                <w:color w:val="auto"/>
              </w:rPr>
            </w:pPr>
            <w:r>
              <w:rPr>
                <w:rFonts w:ascii="Arial" w:cs="Arial" w:eastAsia="Arial" w:hAnsi="Arial"/>
                <w:sz w:val="18"/>
                <w:szCs w:val="18"/>
                <w:color w:val="auto"/>
              </w:rPr>
              <w:t>Metals</w:t>
            </w:r>
          </w:p>
        </w:tc>
        <w:tc>
          <w:tcPr>
            <w:tcW w:w="1900" w:type="dxa"/>
            <w:vAlign w:val="bottom"/>
            <w:gridSpan w:val="2"/>
          </w:tcPr>
          <w:p>
            <w:pPr>
              <w:spacing w:after="0" w:line="201" w:lineRule="exact"/>
              <w:rPr>
                <w:sz w:val="20"/>
                <w:szCs w:val="20"/>
                <w:color w:val="auto"/>
              </w:rPr>
            </w:pPr>
            <w:r>
              <w:rPr>
                <w:rFonts w:ascii="Arial" w:cs="Arial" w:eastAsia="Arial" w:hAnsi="Arial"/>
                <w:sz w:val="18"/>
                <w:szCs w:val="18"/>
                <w:color w:val="auto"/>
              </w:rPr>
              <w:t>Warrants to Purchase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rPr>
              <w:t>Limited Liability</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rPr>
              <w:t>Company Interests</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(2008)</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7,000</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0"/>
                <w:szCs w:val="20"/>
                <w:color w:val="auto"/>
              </w:rPr>
            </w:pP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Elyria Foundry Company, L.L.C. (d), (g)</w:t>
            </w:r>
          </w:p>
        </w:tc>
        <w:tc>
          <w:tcPr>
            <w:tcW w:w="160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Metals</w:t>
            </w:r>
          </w:p>
        </w:tc>
        <w:tc>
          <w:tcPr>
            <w:tcW w:w="1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Warrants to Purchase</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Limited Liability</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Company Interests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(2013)</w:t>
            </w: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18,227</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20"/>
                <w:szCs w:val="20"/>
                <w:color w:val="auto"/>
              </w:rPr>
            </w:pP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00" w:type="dxa"/>
            <w:vAlign w:val="bottom"/>
            <w:gridSpan w:val="2"/>
            <w:vMerge w:val="restart"/>
          </w:tcPr>
          <w:p>
            <w:pPr>
              <w:ind w:left="360"/>
              <w:spacing w:after="0"/>
              <w:rPr>
                <w:sz w:val="20"/>
                <w:szCs w:val="20"/>
                <w:color w:val="auto"/>
              </w:rPr>
            </w:pPr>
            <w:r>
              <w:rPr>
                <w:rFonts w:ascii="Arial" w:cs="Arial" w:eastAsia="Arial" w:hAnsi="Arial"/>
                <w:sz w:val="18"/>
                <w:szCs w:val="18"/>
                <w:color w:val="auto"/>
              </w:rPr>
              <w:t>Total Metals</w:t>
            </w: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8,859,634</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6,644,711</w:t>
            </w:r>
          </w:p>
        </w:tc>
        <w:tc>
          <w:tcPr>
            <w:tcW w:w="160" w:type="dxa"/>
            <w:vAlign w:val="bottom"/>
            <w:vMerge w:val="continue"/>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Network Communications, Inc. (d), (g)</w:t>
            </w:r>
          </w:p>
        </w:tc>
        <w:tc>
          <w:tcPr>
            <w:tcW w:w="16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Publishing</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380,572</w:t>
            </w:r>
          </w:p>
        </w:tc>
        <w:tc>
          <w:tcPr>
            <w:tcW w:w="10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160" w:type="dxa"/>
            <w:vAlign w:val="bottom"/>
            <w:gridSpan w:val="2"/>
            <w:shd w:val="clear" w:color="auto" w:fill="CCEEFF"/>
          </w:tcPr>
          <w:p>
            <w:pPr>
              <w:spacing w:after="0"/>
              <w:rPr>
                <w:sz w:val="18"/>
                <w:szCs w:val="18"/>
                <w:color w:val="auto"/>
              </w:rPr>
            </w:pP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3"/>
          </w:tcPr>
          <w:p>
            <w:pPr>
              <w:spacing w:after="0" w:line="201" w:lineRule="exact"/>
              <w:rPr>
                <w:sz w:val="20"/>
                <w:szCs w:val="20"/>
                <w:color w:val="auto"/>
              </w:rPr>
            </w:pPr>
            <w:r>
              <w:rPr>
                <w:rFonts w:ascii="Arial" w:cs="Arial" w:eastAsia="Arial" w:hAnsi="Arial"/>
                <w:sz w:val="18"/>
                <w:szCs w:val="18"/>
                <w:color w:val="auto"/>
              </w:rPr>
              <w:t>Network Communications, Inc. (d)</w:t>
            </w:r>
          </w:p>
        </w:tc>
        <w:tc>
          <w:tcPr>
            <w:tcW w:w="1600" w:type="dxa"/>
            <w:vAlign w:val="bottom"/>
            <w:gridSpan w:val="3"/>
          </w:tcPr>
          <w:p>
            <w:pPr>
              <w:ind w:left="440"/>
              <w:spacing w:after="0" w:line="201" w:lineRule="exact"/>
              <w:rPr>
                <w:sz w:val="20"/>
                <w:szCs w:val="20"/>
                <w:color w:val="auto"/>
              </w:rPr>
            </w:pPr>
            <w:r>
              <w:rPr>
                <w:rFonts w:ascii="Arial" w:cs="Arial" w:eastAsia="Arial" w:hAnsi="Arial"/>
                <w:sz w:val="18"/>
                <w:szCs w:val="18"/>
                <w:color w:val="auto"/>
              </w:rPr>
              <w:t>Publishing</w:t>
            </w:r>
          </w:p>
        </w:tc>
        <w:tc>
          <w:tcPr>
            <w:tcW w:w="1900" w:type="dxa"/>
            <w:vAlign w:val="bottom"/>
            <w:gridSpan w:val="2"/>
          </w:tcPr>
          <w:p>
            <w:pPr>
              <w:spacing w:after="0" w:line="201" w:lineRule="exact"/>
              <w:rPr>
                <w:sz w:val="20"/>
                <w:szCs w:val="20"/>
                <w:color w:val="auto"/>
              </w:rPr>
            </w:pPr>
            <w:r>
              <w:rPr>
                <w:rFonts w:ascii="Arial" w:cs="Arial" w:eastAsia="Arial" w:hAnsi="Arial"/>
                <w:sz w:val="18"/>
                <w:szCs w:val="18"/>
                <w:color w:val="auto"/>
                <w:w w:val="96"/>
              </w:rPr>
              <w:t>Unsecured Notes 8.60%</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rPr>
              <w:t>PIK, 1/14/2020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2,601,736</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2,202,168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1,190,888</w:t>
            </w:r>
          </w:p>
        </w:tc>
        <w:tc>
          <w:tcPr>
            <w:tcW w:w="1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Publishing</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2,202,168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1,190,888</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440" w:type="dxa"/>
            <w:vAlign w:val="bottom"/>
            <w:gridSpan w:val="4"/>
            <w:vMerge w:val="restart"/>
          </w:tcPr>
          <w:p>
            <w:pPr>
              <w:spacing w:after="0"/>
              <w:rPr>
                <w:sz w:val="20"/>
                <w:szCs w:val="20"/>
                <w:color w:val="auto"/>
              </w:rPr>
            </w:pPr>
            <w:r>
              <w:rPr>
                <w:rFonts w:ascii="Arial" w:cs="Arial" w:eastAsia="Arial" w:hAnsi="Arial"/>
                <w:sz w:val="18"/>
                <w:szCs w:val="18"/>
                <w:color w:val="auto"/>
              </w:rPr>
              <w:t>Community Investors, Inc. (g)</w:t>
            </w:r>
          </w:p>
        </w:tc>
        <w:tc>
          <w:tcPr>
            <w:tcW w:w="1600" w:type="dxa"/>
            <w:vAlign w:val="bottom"/>
            <w:gridSpan w:val="3"/>
            <w:vMerge w:val="restart"/>
          </w:tcPr>
          <w:p>
            <w:pPr>
              <w:ind w:left="440"/>
              <w:spacing w:after="0"/>
              <w:rPr>
                <w:sz w:val="20"/>
                <w:szCs w:val="20"/>
                <w:color w:val="auto"/>
              </w:rPr>
            </w:pPr>
            <w:r>
              <w:rPr>
                <w:rFonts w:ascii="Arial" w:cs="Arial" w:eastAsia="Arial" w:hAnsi="Arial"/>
                <w:sz w:val="18"/>
                <w:szCs w:val="18"/>
                <w:color w:val="auto"/>
              </w:rPr>
              <w:t>Software</w:t>
            </w:r>
          </w:p>
        </w:tc>
        <w:tc>
          <w:tcPr>
            <w:tcW w:w="1900" w:type="dxa"/>
            <w:vAlign w:val="bottom"/>
            <w:gridSpan w:val="2"/>
            <w:vMerge w:val="restart"/>
          </w:tcPr>
          <w:p>
            <w:pPr>
              <w:spacing w:after="0"/>
              <w:rPr>
                <w:sz w:val="20"/>
                <w:szCs w:val="20"/>
                <w:color w:val="auto"/>
              </w:rPr>
            </w:pPr>
            <w:r>
              <w:rPr>
                <w:rFonts w:ascii="Arial" w:cs="Arial" w:eastAsia="Arial" w:hAnsi="Arial"/>
                <w:sz w:val="18"/>
                <w:szCs w:val="18"/>
                <w:color w:val="auto"/>
              </w:rPr>
              <w:t>Common Stock</w:t>
            </w:r>
          </w:p>
        </w:tc>
        <w:tc>
          <w:tcPr>
            <w:tcW w:w="180" w:type="dxa"/>
            <w:vAlign w:val="bottom"/>
          </w:tcPr>
          <w:p>
            <w:pPr>
              <w:spacing w:after="0" w:line="20" w:lineRule="exact"/>
              <w:rPr>
                <w:sz w:val="1"/>
                <w:szCs w:val="1"/>
                <w:color w:val="auto"/>
              </w:rPr>
            </w:pPr>
          </w:p>
        </w:tc>
        <w:tc>
          <w:tcPr>
            <w:tcW w:w="11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1,282</w:t>
            </w: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40" w:type="dxa"/>
            <w:vAlign w:val="bottom"/>
            <w:gridSpan w:val="4"/>
            <w:vMerge w:val="continue"/>
          </w:tcPr>
          <w:p>
            <w:pPr>
              <w:spacing w:after="0"/>
              <w:rPr>
                <w:sz w:val="19"/>
                <w:szCs w:val="19"/>
                <w:color w:val="auto"/>
              </w:rPr>
            </w:pPr>
          </w:p>
        </w:tc>
        <w:tc>
          <w:tcPr>
            <w:tcW w:w="1600" w:type="dxa"/>
            <w:vAlign w:val="bottom"/>
            <w:gridSpan w:val="3"/>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1,282</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1,449</w:t>
            </w:r>
          </w:p>
        </w:tc>
        <w:tc>
          <w:tcPr>
            <w:tcW w:w="160" w:type="dxa"/>
            <w:vAlign w:val="bottom"/>
            <w:vMerge w:val="continue"/>
          </w:tcPr>
          <w:p>
            <w:pPr>
              <w:spacing w:after="0"/>
              <w:rPr>
                <w:sz w:val="19"/>
                <w:szCs w:val="19"/>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3"/>
            <w:shd w:val="clear" w:color="auto" w:fill="CCEEFF"/>
          </w:tcPr>
          <w:p>
            <w:pPr>
              <w:spacing w:after="0" w:line="201" w:lineRule="exact"/>
              <w:rPr>
                <w:sz w:val="20"/>
                <w:szCs w:val="20"/>
                <w:color w:val="auto"/>
              </w:rPr>
            </w:pPr>
            <w:r>
              <w:rPr>
                <w:rFonts w:ascii="Arial" w:cs="Arial" w:eastAsia="Arial" w:hAnsi="Arial"/>
                <w:sz w:val="18"/>
                <w:szCs w:val="18"/>
                <w:color w:val="auto"/>
              </w:rPr>
              <w:t>Community Investors, Inc.</w:t>
            </w:r>
          </w:p>
        </w:tc>
        <w:tc>
          <w:tcPr>
            <w:tcW w:w="1600" w:type="dxa"/>
            <w:vAlign w:val="bottom"/>
            <w:gridSpan w:val="3"/>
            <w:shd w:val="clear" w:color="auto" w:fill="CCEEFF"/>
          </w:tcPr>
          <w:p>
            <w:pPr>
              <w:ind w:left="440"/>
              <w:spacing w:after="0" w:line="201" w:lineRule="exact"/>
              <w:rPr>
                <w:sz w:val="20"/>
                <w:szCs w:val="20"/>
                <w:color w:val="auto"/>
              </w:rPr>
            </w:pPr>
            <w:r>
              <w:rPr>
                <w:rFonts w:ascii="Arial" w:cs="Arial" w:eastAsia="Arial" w:hAnsi="Arial"/>
                <w:sz w:val="18"/>
                <w:szCs w:val="18"/>
                <w:color w:val="auto"/>
              </w:rPr>
              <w:t>Software</w:t>
            </w:r>
          </w:p>
        </w:tc>
        <w:tc>
          <w:tcPr>
            <w:tcW w:w="19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First Lien Term Loan</w:t>
            </w: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228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9.75% Cash, 5/9/2018</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6,983,333</w:t>
            </w:r>
          </w:p>
        </w:tc>
        <w:tc>
          <w:tcPr>
            <w:tcW w:w="16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6,863,915</w:t>
            </w:r>
          </w:p>
        </w:tc>
        <w:tc>
          <w:tcPr>
            <w:tcW w:w="14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6,983,333</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tcPr>
          <w:p>
            <w:pPr>
              <w:spacing w:after="0"/>
              <w:rPr>
                <w:sz w:val="20"/>
                <w:szCs w:val="20"/>
                <w:color w:val="auto"/>
              </w:rPr>
            </w:pPr>
            <w:r>
              <w:rPr>
                <w:rFonts w:ascii="Arial" w:cs="Arial" w:eastAsia="Arial" w:hAnsi="Arial"/>
                <w:sz w:val="18"/>
                <w:szCs w:val="18"/>
                <w:color w:val="auto"/>
              </w:rPr>
              <w:t>Community Investors, Inc.</w:t>
            </w:r>
          </w:p>
        </w:tc>
        <w:tc>
          <w:tcPr>
            <w:tcW w:w="1600" w:type="dxa"/>
            <w:vAlign w:val="bottom"/>
            <w:gridSpan w:val="3"/>
          </w:tcPr>
          <w:p>
            <w:pPr>
              <w:ind w:left="440"/>
              <w:spacing w:after="0"/>
              <w:rPr>
                <w:sz w:val="20"/>
                <w:szCs w:val="20"/>
                <w:color w:val="auto"/>
              </w:rPr>
            </w:pPr>
            <w:r>
              <w:rPr>
                <w:rFonts w:ascii="Arial" w:cs="Arial" w:eastAsia="Arial" w:hAnsi="Arial"/>
                <w:sz w:val="18"/>
                <w:szCs w:val="18"/>
                <w:color w:val="auto"/>
              </w:rPr>
              <w:t>Software</w:t>
            </w:r>
          </w:p>
        </w:tc>
        <w:tc>
          <w:tcPr>
            <w:tcW w:w="1900" w:type="dxa"/>
            <w:vAlign w:val="bottom"/>
            <w:gridSpan w:val="2"/>
          </w:tcPr>
          <w:p>
            <w:pPr>
              <w:spacing w:after="0"/>
              <w:rPr>
                <w:sz w:val="20"/>
                <w:szCs w:val="20"/>
                <w:color w:val="auto"/>
              </w:rPr>
            </w:pPr>
            <w:r>
              <w:rPr>
                <w:rFonts w:ascii="Arial" w:cs="Arial" w:eastAsia="Arial" w:hAnsi="Arial"/>
                <w:sz w:val="18"/>
                <w:szCs w:val="18"/>
                <w:color w:val="auto"/>
              </w:rPr>
              <w:t>Revolver</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166,667</w:t>
            </w:r>
          </w:p>
        </w:tc>
        <w:tc>
          <w:tcPr>
            <w:tcW w:w="1160" w:type="dxa"/>
            <w:vAlign w:val="bottom"/>
            <w:gridSpan w:val="3"/>
          </w:tcPr>
          <w:p>
            <w:pPr>
              <w:jc w:val="right"/>
              <w:ind w:right="260"/>
              <w:spacing w:after="0"/>
              <w:rPr>
                <w:sz w:val="20"/>
                <w:szCs w:val="20"/>
                <w:color w:val="auto"/>
              </w:rPr>
            </w:pPr>
            <w:r>
              <w:rPr>
                <w:rFonts w:ascii="Arial" w:cs="Arial" w:eastAsia="Arial" w:hAnsi="Arial"/>
                <w:sz w:val="18"/>
                <w:szCs w:val="18"/>
                <w:color w:val="auto"/>
              </w:rPr>
              <w:t>—</w:t>
            </w:r>
          </w:p>
        </w:tc>
        <w:tc>
          <w:tcPr>
            <w:tcW w:w="116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Community Investors, Inc. (g)</w:t>
            </w:r>
          </w:p>
        </w:tc>
        <w:tc>
          <w:tcPr>
            <w:tcW w:w="160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Software</w:t>
            </w:r>
          </w:p>
        </w:tc>
        <w:tc>
          <w:tcPr>
            <w:tcW w:w="1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Stock</w:t>
            </w: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135,584</w:t>
            </w: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135,584</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153,210</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3"/>
          </w:tcPr>
          <w:p>
            <w:pPr>
              <w:spacing w:after="0" w:line="201" w:lineRule="exact"/>
              <w:rPr>
                <w:sz w:val="20"/>
                <w:szCs w:val="20"/>
                <w:color w:val="auto"/>
              </w:rPr>
            </w:pPr>
            <w:r>
              <w:rPr>
                <w:rFonts w:ascii="Arial" w:cs="Arial" w:eastAsia="Arial" w:hAnsi="Arial"/>
                <w:sz w:val="18"/>
                <w:szCs w:val="18"/>
                <w:color w:val="auto"/>
              </w:rPr>
              <w:t>Pen-Link, Ltd.</w:t>
            </w:r>
          </w:p>
        </w:tc>
        <w:tc>
          <w:tcPr>
            <w:tcW w:w="1600" w:type="dxa"/>
            <w:vAlign w:val="bottom"/>
            <w:gridSpan w:val="3"/>
          </w:tcPr>
          <w:p>
            <w:pPr>
              <w:ind w:left="440"/>
              <w:spacing w:after="0" w:line="201" w:lineRule="exact"/>
              <w:rPr>
                <w:sz w:val="20"/>
                <w:szCs w:val="20"/>
                <w:color w:val="auto"/>
              </w:rPr>
            </w:pPr>
            <w:r>
              <w:rPr>
                <w:rFonts w:ascii="Arial" w:cs="Arial" w:eastAsia="Arial" w:hAnsi="Arial"/>
                <w:sz w:val="18"/>
                <w:szCs w:val="18"/>
                <w:color w:val="auto"/>
              </w:rPr>
              <w:t>Software</w:t>
            </w:r>
          </w:p>
        </w:tc>
        <w:tc>
          <w:tcPr>
            <w:tcW w:w="1900" w:type="dxa"/>
            <w:vAlign w:val="bottom"/>
            <w:gridSpan w:val="2"/>
          </w:tcPr>
          <w:p>
            <w:pPr>
              <w:spacing w:after="0" w:line="201" w:lineRule="exact"/>
              <w:rPr>
                <w:sz w:val="20"/>
                <w:szCs w:val="20"/>
                <w:color w:val="auto"/>
              </w:rPr>
            </w:pPr>
            <w:r>
              <w:rPr>
                <w:rFonts w:ascii="Arial" w:cs="Arial" w:eastAsia="Arial" w:hAnsi="Arial"/>
                <w:sz w:val="18"/>
                <w:szCs w:val="18"/>
                <w:color w:val="auto"/>
                <w:w w:val="97"/>
              </w:rPr>
              <w:t>Second Lien Term Loan</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w w:val="94"/>
              </w:rPr>
              <w:t>12.50% Cash, 5/26/2019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11,500,000</w:t>
            </w:r>
          </w:p>
        </w:tc>
        <w:tc>
          <w:tcPr>
            <w:tcW w:w="1000" w:type="dxa"/>
            <w:vAlign w:val="bottom"/>
          </w:tcPr>
          <w:p>
            <w:pPr>
              <w:jc w:val="right"/>
              <w:spacing w:after="0"/>
              <w:rPr>
                <w:sz w:val="20"/>
                <w:szCs w:val="20"/>
                <w:color w:val="auto"/>
              </w:rPr>
            </w:pPr>
            <w:r>
              <w:rPr>
                <w:rFonts w:ascii="Arial" w:cs="Arial" w:eastAsia="Arial" w:hAnsi="Arial"/>
                <w:sz w:val="18"/>
                <w:szCs w:val="18"/>
                <w:color w:val="auto"/>
              </w:rPr>
              <w:t>11,280,887</w:t>
            </w:r>
          </w:p>
        </w:tc>
        <w:tc>
          <w:tcPr>
            <w:tcW w:w="160" w:type="dxa"/>
            <w:vAlign w:val="bottom"/>
            <w:gridSpan w:val="2"/>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11,500,000</w:t>
            </w:r>
          </w:p>
        </w:tc>
        <w:tc>
          <w:tcPr>
            <w:tcW w:w="1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Software</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18,281,668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18,637,992</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09"/>
        </w:trPr>
        <w:tc>
          <w:tcPr>
            <w:tcW w:w="3440" w:type="dxa"/>
            <w:vAlign w:val="bottom"/>
            <w:gridSpan w:val="4"/>
          </w:tcPr>
          <w:p>
            <w:pPr>
              <w:spacing w:after="0"/>
              <w:rPr>
                <w:sz w:val="20"/>
                <w:szCs w:val="20"/>
                <w:color w:val="auto"/>
              </w:rPr>
            </w:pPr>
            <w:r>
              <w:rPr>
                <w:rFonts w:ascii="Arial" w:cs="Arial" w:eastAsia="Arial" w:hAnsi="Arial"/>
                <w:sz w:val="18"/>
                <w:szCs w:val="18"/>
                <w:color w:val="auto"/>
              </w:rPr>
              <w:t>Advanced Air &amp; Heat of Florida, LLC</w:t>
            </w:r>
          </w:p>
        </w:tc>
        <w:tc>
          <w:tcPr>
            <w:tcW w:w="1600" w:type="dxa"/>
            <w:vAlign w:val="bottom"/>
            <w:gridSpan w:val="3"/>
          </w:tcPr>
          <w:p>
            <w:pPr>
              <w:ind w:left="440"/>
              <w:spacing w:after="0"/>
              <w:rPr>
                <w:sz w:val="20"/>
                <w:szCs w:val="20"/>
                <w:color w:val="auto"/>
              </w:rPr>
            </w:pPr>
            <w:r>
              <w:rPr>
                <w:rFonts w:ascii="Arial" w:cs="Arial" w:eastAsia="Arial" w:hAnsi="Arial"/>
                <w:sz w:val="18"/>
                <w:szCs w:val="18"/>
                <w:color w:val="auto"/>
              </w:rPr>
              <w:t>Utilities</w:t>
            </w:r>
          </w:p>
        </w:tc>
        <w:tc>
          <w:tcPr>
            <w:tcW w:w="1900" w:type="dxa"/>
            <w:vAlign w:val="bottom"/>
            <w:gridSpan w:val="2"/>
          </w:tcPr>
          <w:p>
            <w:pPr>
              <w:spacing w:after="0"/>
              <w:rPr>
                <w:sz w:val="20"/>
                <w:szCs w:val="20"/>
                <w:color w:val="auto"/>
              </w:rPr>
            </w:pPr>
            <w:r>
              <w:rPr>
                <w:rFonts w:ascii="Arial" w:cs="Arial" w:eastAsia="Arial" w:hAnsi="Arial"/>
                <w:sz w:val="18"/>
                <w:szCs w:val="18"/>
                <w:color w:val="auto"/>
              </w:rPr>
              <w:t>First Lien Term Loan</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00" w:type="dxa"/>
            <w:vAlign w:val="bottom"/>
            <w:gridSpan w:val="2"/>
          </w:tcPr>
          <w:p>
            <w:pPr>
              <w:spacing w:after="0"/>
              <w:rPr>
                <w:sz w:val="20"/>
                <w:szCs w:val="20"/>
                <w:color w:val="auto"/>
              </w:rPr>
            </w:pPr>
            <w:r>
              <w:rPr>
                <w:rFonts w:ascii="Arial" w:cs="Arial" w:eastAsia="Arial" w:hAnsi="Arial"/>
                <w:sz w:val="18"/>
                <w:szCs w:val="18"/>
                <w:color w:val="auto"/>
                <w:w w:val="94"/>
              </w:rPr>
              <w:t>10.00% Cash, 1/31/2019</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6,705,441</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6,606,457</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6,705,441</w:t>
            </w:r>
          </w:p>
        </w:tc>
        <w:tc>
          <w:tcPr>
            <w:tcW w:w="1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Utilities</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6,606,457</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6,705,441</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05"/>
        </w:trPr>
        <w:tc>
          <w:tcPr>
            <w:tcW w:w="3440" w:type="dxa"/>
            <w:vAlign w:val="bottom"/>
            <w:gridSpan w:val="4"/>
          </w:tcPr>
          <w:p>
            <w:pPr>
              <w:spacing w:after="0" w:line="205" w:lineRule="exact"/>
              <w:rPr>
                <w:sz w:val="20"/>
                <w:szCs w:val="20"/>
                <w:color w:val="auto"/>
              </w:rPr>
            </w:pPr>
            <w:r>
              <w:rPr>
                <w:rFonts w:ascii="Arial" w:cs="Arial" w:eastAsia="Arial" w:hAnsi="Arial"/>
                <w:sz w:val="18"/>
                <w:szCs w:val="18"/>
                <w:b w:val="1"/>
                <w:bCs w:val="1"/>
                <w:color w:val="auto"/>
              </w:rPr>
              <w:t>Sub Total Non-control/</w:t>
            </w:r>
          </w:p>
        </w:tc>
        <w:tc>
          <w:tcPr>
            <w:tcW w:w="4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3420" w:type="dxa"/>
            <w:vAlign w:val="bottom"/>
            <w:gridSpan w:val="3"/>
          </w:tcPr>
          <w:p>
            <w:pPr>
              <w:ind w:left="160"/>
              <w:spacing w:after="0"/>
              <w:rPr>
                <w:sz w:val="20"/>
                <w:szCs w:val="20"/>
                <w:color w:val="auto"/>
              </w:rPr>
            </w:pPr>
            <w:r>
              <w:rPr>
                <w:rFonts w:ascii="Arial" w:cs="Arial" w:eastAsia="Arial" w:hAnsi="Arial"/>
                <w:sz w:val="18"/>
                <w:szCs w:val="18"/>
                <w:b w:val="1"/>
                <w:bCs w:val="1"/>
                <w:color w:val="auto"/>
              </w:rPr>
              <w:t>Non-affiliated investments</w:t>
            </w:r>
          </w:p>
        </w:tc>
        <w:tc>
          <w:tcPr>
            <w:tcW w:w="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w w:val="97"/>
              </w:rPr>
              <w:t>185,266,607</w:t>
            </w:r>
          </w:p>
        </w:tc>
        <w:tc>
          <w:tcPr>
            <w:tcW w:w="1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186,275,106</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162.1%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420" w:type="dxa"/>
            <w:vAlign w:val="bottom"/>
            <w:gridSpan w:val="3"/>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Control investments -</w:t>
            </w:r>
          </w:p>
        </w:tc>
        <w:tc>
          <w:tcPr>
            <w:tcW w:w="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420" w:type="dxa"/>
            <w:vAlign w:val="bottom"/>
            <w:gridSpan w:val="3"/>
            <w:shd w:val="clear" w:color="auto" w:fill="CCEEFF"/>
          </w:tcPr>
          <w:p>
            <w:pPr>
              <w:ind w:left="160"/>
              <w:spacing w:after="0"/>
              <w:rPr>
                <w:sz w:val="20"/>
                <w:szCs w:val="20"/>
                <w:color w:val="auto"/>
              </w:rPr>
            </w:pPr>
            <w:r>
              <w:rPr>
                <w:rFonts w:ascii="Arial" w:cs="Arial" w:eastAsia="Arial" w:hAnsi="Arial"/>
                <w:sz w:val="18"/>
                <w:szCs w:val="18"/>
                <w:b w:val="1"/>
                <w:bCs w:val="1"/>
                <w:color w:val="auto"/>
              </w:rPr>
              <w:t>17.0% (b)</w:t>
            </w:r>
          </w:p>
        </w:tc>
        <w:tc>
          <w:tcPr>
            <w:tcW w:w="44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420" w:type="dxa"/>
            <w:vAlign w:val="bottom"/>
            <w:gridSpan w:val="3"/>
          </w:tcPr>
          <w:p>
            <w:pPr>
              <w:spacing w:after="0" w:line="201" w:lineRule="exact"/>
              <w:rPr>
                <w:sz w:val="20"/>
                <w:szCs w:val="20"/>
                <w:color w:val="auto"/>
              </w:rPr>
            </w:pPr>
            <w:r>
              <w:rPr>
                <w:rFonts w:ascii="Arial" w:cs="Arial" w:eastAsia="Arial" w:hAnsi="Arial"/>
                <w:sz w:val="18"/>
                <w:szCs w:val="18"/>
                <w:color w:val="auto"/>
              </w:rPr>
              <w:t>Saratoga Investment Corp. CLO 2013-1,</w:t>
            </w:r>
          </w:p>
        </w:tc>
        <w:tc>
          <w:tcPr>
            <w:tcW w:w="1600" w:type="dxa"/>
            <w:vAlign w:val="bottom"/>
            <w:gridSpan w:val="3"/>
          </w:tcPr>
          <w:p>
            <w:pPr>
              <w:ind w:left="440"/>
              <w:spacing w:after="0" w:line="201" w:lineRule="exact"/>
              <w:rPr>
                <w:sz w:val="20"/>
                <w:szCs w:val="20"/>
                <w:color w:val="auto"/>
              </w:rPr>
            </w:pPr>
            <w:r>
              <w:rPr>
                <w:rFonts w:ascii="Arial" w:cs="Arial" w:eastAsia="Arial" w:hAnsi="Arial"/>
                <w:sz w:val="18"/>
                <w:szCs w:val="18"/>
                <w:color w:val="auto"/>
              </w:rPr>
              <w:t>Structured</w:t>
            </w:r>
          </w:p>
        </w:tc>
        <w:tc>
          <w:tcPr>
            <w:tcW w:w="1900" w:type="dxa"/>
            <w:vAlign w:val="bottom"/>
            <w:gridSpan w:val="2"/>
          </w:tcPr>
          <w:p>
            <w:pPr>
              <w:spacing w:after="0" w:line="201" w:lineRule="exact"/>
              <w:rPr>
                <w:sz w:val="20"/>
                <w:szCs w:val="20"/>
                <w:color w:val="auto"/>
              </w:rPr>
            </w:pPr>
            <w:r>
              <w:rPr>
                <w:rFonts w:ascii="Arial" w:cs="Arial" w:eastAsia="Arial" w:hAnsi="Arial"/>
                <w:sz w:val="18"/>
                <w:szCs w:val="18"/>
                <w:color w:val="auto"/>
                <w:w w:val="93"/>
              </w:rPr>
              <w:t>Other/Structured Finance</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gridSpan w:val="3"/>
          </w:tcPr>
          <w:p>
            <w:pPr>
              <w:ind w:left="160"/>
              <w:spacing w:after="0"/>
              <w:rPr>
                <w:sz w:val="20"/>
                <w:szCs w:val="20"/>
                <w:color w:val="auto"/>
              </w:rPr>
            </w:pPr>
            <w:r>
              <w:rPr>
                <w:rFonts w:ascii="Arial" w:cs="Arial" w:eastAsia="Arial" w:hAnsi="Arial"/>
                <w:sz w:val="18"/>
                <w:szCs w:val="18"/>
                <w:color w:val="auto"/>
              </w:rPr>
              <w:t>Ltd. (a), (d), (e), (f)</w:t>
            </w:r>
          </w:p>
        </w:tc>
        <w:tc>
          <w:tcPr>
            <w:tcW w:w="1600" w:type="dxa"/>
            <w:vAlign w:val="bottom"/>
            <w:gridSpan w:val="3"/>
          </w:tcPr>
          <w:p>
            <w:pPr>
              <w:ind w:left="440"/>
              <w:spacing w:after="0"/>
              <w:rPr>
                <w:sz w:val="20"/>
                <w:szCs w:val="20"/>
                <w:color w:val="auto"/>
              </w:rPr>
            </w:pPr>
            <w:r>
              <w:rPr>
                <w:rFonts w:ascii="Arial" w:cs="Arial" w:eastAsia="Arial" w:hAnsi="Arial"/>
                <w:sz w:val="18"/>
                <w:szCs w:val="18"/>
                <w:color w:val="auto"/>
              </w:rPr>
              <w:t>Finance</w:t>
            </w:r>
          </w:p>
        </w:tc>
        <w:tc>
          <w:tcPr>
            <w:tcW w:w="1900" w:type="dxa"/>
            <w:vAlign w:val="bottom"/>
            <w:gridSpan w:val="2"/>
          </w:tcPr>
          <w:p>
            <w:pPr>
              <w:spacing w:after="0"/>
              <w:rPr>
                <w:sz w:val="20"/>
                <w:szCs w:val="20"/>
                <w:color w:val="auto"/>
              </w:rPr>
            </w:pPr>
            <w:r>
              <w:rPr>
                <w:rFonts w:ascii="Arial" w:cs="Arial" w:eastAsia="Arial" w:hAnsi="Arial"/>
                <w:sz w:val="18"/>
                <w:szCs w:val="18"/>
                <w:color w:val="auto"/>
              </w:rPr>
              <w:t>Securities 15.16%,</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1600" w:type="dxa"/>
            <w:vAlign w:val="bottom"/>
            <w:gridSpan w:val="3"/>
          </w:tcPr>
          <w:p>
            <w:pPr>
              <w:ind w:left="440"/>
              <w:spacing w:after="0"/>
              <w:rPr>
                <w:sz w:val="20"/>
                <w:szCs w:val="20"/>
                <w:color w:val="auto"/>
              </w:rPr>
            </w:pPr>
            <w:r>
              <w:rPr>
                <w:rFonts w:ascii="Arial" w:cs="Arial" w:eastAsia="Arial" w:hAnsi="Arial"/>
                <w:sz w:val="18"/>
                <w:szCs w:val="18"/>
                <w:color w:val="auto"/>
              </w:rPr>
              <w:t>Securities</w:t>
            </w:r>
          </w:p>
        </w:tc>
        <w:tc>
          <w:tcPr>
            <w:tcW w:w="1840" w:type="dxa"/>
            <w:vAlign w:val="bottom"/>
          </w:tcPr>
          <w:p>
            <w:pPr>
              <w:spacing w:after="0"/>
              <w:rPr>
                <w:sz w:val="20"/>
                <w:szCs w:val="20"/>
                <w:color w:val="auto"/>
              </w:rPr>
            </w:pPr>
            <w:r>
              <w:rPr>
                <w:rFonts w:ascii="Arial" w:cs="Arial" w:eastAsia="Arial" w:hAnsi="Arial"/>
                <w:sz w:val="18"/>
                <w:szCs w:val="18"/>
                <w:color w:val="auto"/>
              </w:rPr>
              <w:t>10/17/2023</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30,000,000</w:t>
            </w:r>
          </w:p>
        </w:tc>
        <w:tc>
          <w:tcPr>
            <w:tcW w:w="1000" w:type="dxa"/>
            <w:vAlign w:val="bottom"/>
          </w:tcPr>
          <w:p>
            <w:pPr>
              <w:jc w:val="right"/>
              <w:spacing w:after="0"/>
              <w:rPr>
                <w:sz w:val="20"/>
                <w:szCs w:val="20"/>
                <w:color w:val="auto"/>
              </w:rPr>
            </w:pPr>
            <w:r>
              <w:rPr>
                <w:rFonts w:ascii="Arial" w:cs="Arial" w:eastAsia="Arial" w:hAnsi="Arial"/>
                <w:sz w:val="18"/>
                <w:szCs w:val="18"/>
                <w:color w:val="auto"/>
              </w:rPr>
              <w:t>16,555,808</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19,569,596</w:t>
            </w:r>
          </w:p>
        </w:tc>
        <w:tc>
          <w:tcPr>
            <w:tcW w:w="1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Sub Total Control investments</w:t>
            </w:r>
          </w:p>
        </w:tc>
        <w:tc>
          <w:tcPr>
            <w:tcW w:w="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16,555,808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19,569,596</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0"/>
        </w:trPr>
        <w:tc>
          <w:tcPr>
            <w:tcW w:w="34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TOTAL INVESTMENTS - 179.1% (b)</w:t>
            </w: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440" w:type="dxa"/>
            <w:vAlign w:val="bottom"/>
            <w:gridSpan w:val="4"/>
            <w:vMerge w:val="continue"/>
          </w:tcPr>
          <w:p>
            <w:pPr>
              <w:spacing w:after="0"/>
              <w:rPr>
                <w:sz w:val="19"/>
                <w:szCs w:val="19"/>
                <w:color w:val="auto"/>
              </w:rPr>
            </w:pPr>
          </w:p>
        </w:tc>
        <w:tc>
          <w:tcPr>
            <w:tcW w:w="4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201,822,415</w:t>
            </w:r>
          </w:p>
        </w:tc>
        <w:tc>
          <w:tcPr>
            <w:tcW w:w="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88"/>
              </w:rPr>
              <w:t>$</w:t>
            </w:r>
            <w:r>
              <w:rPr>
                <w:rFonts w:ascii="Arial" w:cs="Arial" w:eastAsia="Arial" w:hAnsi="Arial"/>
                <w:sz w:val="18"/>
                <w:szCs w:val="18"/>
                <w:b w:val="1"/>
                <w:bCs w:val="1"/>
                <w:color w:val="auto"/>
                <w:w w:val="88"/>
              </w:rPr>
              <w:t>205,844,702</w:t>
            </w:r>
          </w:p>
        </w:tc>
        <w:tc>
          <w:tcPr>
            <w:tcW w:w="160" w:type="dxa"/>
            <w:vAlign w:val="bottom"/>
            <w:vMerge w:val="continue"/>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260" w:hanging="452"/>
        <w:spacing w:after="0" w:line="29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Represents a non-qualifying investment as defined under Section 55 (a) of the Investment Company Act of 1940, as amended. Non-qualifying assets represent 9.5% of the Company’s portfolio at fair value. As a BDC, the Company can only invest 30% of its portfolio in non-qualifying assets.</w:t>
      </w: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Percentages are based on net assets of $114,924,018 as of February 28, 2014.</w:t>
      </w:r>
    </w:p>
    <w:p>
      <w:pPr>
        <w:spacing w:after="0" w:line="9"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Because there is no readily available market value for these investments, the fair value of these investments is approved in good faith by our board of directors (see Note 3 to the consolidated financial statements).</w:t>
      </w:r>
    </w:p>
    <w:p>
      <w:pPr>
        <w:ind w:left="460" w:hanging="452"/>
        <w:spacing w:after="0"/>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These securities are pledged as collateral under a senior secured revolving credit facility (see Note 6 to the consolidated financial statements).</w:t>
      </w:r>
    </w:p>
    <w:p>
      <w:pPr>
        <w:spacing w:after="0" w:line="20" w:lineRule="exact"/>
        <w:rPr>
          <w:rFonts w:ascii="Arial" w:cs="Arial" w:eastAsia="Arial" w:hAnsi="Arial"/>
          <w:sz w:val="17"/>
          <w:szCs w:val="17"/>
          <w:color w:val="auto"/>
        </w:rPr>
      </w:pPr>
    </w:p>
    <w:p>
      <w:pPr>
        <w:ind w:left="460" w:right="40" w:hanging="452"/>
        <w:spacing w:after="0" w:line="281" w:lineRule="auto"/>
        <w:tabs>
          <w:tab w:leader="none" w:pos="46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This investment does not have a stated interest rate that is payable thereon. As a result, the 15.16% interest rate in the table above represents the interest rate currently earned on the investment cost and is based on the current cash interest and other income generated by the investment.</w:t>
      </w:r>
    </w:p>
    <w:p>
      <w:pPr>
        <w:spacing w:after="0" w:line="1" w:lineRule="exact"/>
        <w:rPr>
          <w:rFonts w:ascii="Arial" w:cs="Arial" w:eastAsia="Arial" w:hAnsi="Arial"/>
          <w:sz w:val="16"/>
          <w:szCs w:val="16"/>
          <w:color w:val="auto"/>
        </w:rPr>
      </w:pPr>
    </w:p>
    <w:p>
      <w:pPr>
        <w:ind w:left="460" w:right="220" w:hanging="452"/>
        <w:spacing w:after="0" w:line="255"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defined in the Investment Company Act, we “Control” this portfolio company because we own more than 25% of the portfolio company’s outstanding voting securities. Transactions during the period in which the issuer was both an Affiliate and a portfolio company that we Control are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Company</w:t>
            </w:r>
          </w:p>
        </w:tc>
        <w:tc>
          <w:tcPr>
            <w:tcW w:w="200" w:type="dxa"/>
            <w:vAlign w:val="bottom"/>
          </w:tcPr>
          <w:p>
            <w:pPr>
              <w:spacing w:after="0"/>
              <w:rPr>
                <w:sz w:val="14"/>
                <w:szCs w:val="14"/>
                <w:color w:val="auto"/>
              </w:rPr>
            </w:pPr>
          </w:p>
        </w:tc>
        <w:tc>
          <w:tcPr>
            <w:tcW w:w="6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4"/>
              </w:rPr>
              <w:t>Purchases</w:t>
            </w:r>
          </w:p>
        </w:tc>
        <w:tc>
          <w:tcPr>
            <w:tcW w:w="360" w:type="dxa"/>
            <w:vAlign w:val="bottom"/>
          </w:tcPr>
          <w:p>
            <w:pPr>
              <w:spacing w:after="0"/>
              <w:rPr>
                <w:sz w:val="14"/>
                <w:szCs w:val="14"/>
                <w:color w:val="auto"/>
              </w:rPr>
            </w:pPr>
          </w:p>
        </w:tc>
        <w:tc>
          <w:tcPr>
            <w:tcW w:w="82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0"/>
              </w:rPr>
              <w:t>Redemptions</w:t>
            </w:r>
          </w:p>
        </w:tc>
        <w:tc>
          <w:tcPr>
            <w:tcW w:w="340" w:type="dxa"/>
            <w:vAlign w:val="bottom"/>
          </w:tcPr>
          <w:p>
            <w:pPr>
              <w:spacing w:after="0"/>
              <w:rPr>
                <w:sz w:val="14"/>
                <w:szCs w:val="14"/>
                <w:color w:val="auto"/>
              </w:rPr>
            </w:pPr>
          </w:p>
        </w:tc>
        <w:tc>
          <w:tcPr>
            <w:tcW w:w="70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86"/>
              </w:rPr>
              <w:t>Sales (cost)</w:t>
            </w:r>
          </w:p>
        </w:tc>
        <w:tc>
          <w:tcPr>
            <w:tcW w:w="340" w:type="dxa"/>
            <w:vAlign w:val="bottom"/>
          </w:tcPr>
          <w:p>
            <w:pPr>
              <w:spacing w:after="0"/>
              <w:rPr>
                <w:sz w:val="14"/>
                <w:szCs w:val="14"/>
                <w:color w:val="auto"/>
              </w:rPr>
            </w:pPr>
          </w:p>
        </w:tc>
        <w:tc>
          <w:tcPr>
            <w:tcW w:w="11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4"/>
              </w:rPr>
              <w:t>Interest</w:t>
            </w: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5"/>
              </w:rPr>
              <w:t>Management</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rPr>
              <w:t>Net Realized</w:t>
            </w: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Net Unrealized</w:t>
            </w:r>
          </w:p>
        </w:tc>
        <w:tc>
          <w:tcPr>
            <w:tcW w:w="0" w:type="dxa"/>
            <w:vAlign w:val="bottom"/>
          </w:tcPr>
          <w:p>
            <w:pPr>
              <w:spacing w:after="0"/>
              <w:rPr>
                <w:sz w:val="1"/>
                <w:szCs w:val="1"/>
                <w:color w:val="auto"/>
              </w:rPr>
            </w:pPr>
          </w:p>
        </w:tc>
      </w:tr>
      <w:tr>
        <w:trPr>
          <w:trHeight w:val="158"/>
        </w:trPr>
        <w:tc>
          <w:tcPr>
            <w:tcW w:w="350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620" w:type="dxa"/>
            <w:vAlign w:val="bottom"/>
            <w:gridSpan w:val="2"/>
            <w:vMerge w:val="continue"/>
          </w:tcPr>
          <w:p>
            <w:pPr>
              <w:spacing w:after="0"/>
              <w:rPr>
                <w:sz w:val="13"/>
                <w:szCs w:val="13"/>
                <w:color w:val="auto"/>
              </w:rPr>
            </w:pPr>
          </w:p>
        </w:tc>
        <w:tc>
          <w:tcPr>
            <w:tcW w:w="36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3"/>
              </w:rPr>
              <w:t>Income</w:t>
            </w:r>
          </w:p>
        </w:tc>
        <w:tc>
          <w:tcPr>
            <w:tcW w:w="1180" w:type="dxa"/>
            <w:vAlign w:val="bottom"/>
            <w:gridSpan w:val="2"/>
          </w:tcPr>
          <w:p>
            <w:pPr>
              <w:jc w:val="center"/>
              <w:ind w:right="360"/>
              <w:spacing w:after="0" w:line="158" w:lineRule="exact"/>
              <w:rPr>
                <w:sz w:val="20"/>
                <w:szCs w:val="20"/>
                <w:color w:val="auto"/>
              </w:rPr>
            </w:pPr>
            <w:r>
              <w:rPr>
                <w:rFonts w:ascii="Arial" w:cs="Arial" w:eastAsia="Arial" w:hAnsi="Arial"/>
                <w:sz w:val="14"/>
                <w:szCs w:val="14"/>
                <w:b w:val="1"/>
                <w:bCs w:val="1"/>
                <w:color w:val="auto"/>
                <w:w w:val="90"/>
              </w:rPr>
              <w:t>fee income</w:t>
            </w:r>
          </w:p>
        </w:tc>
        <w:tc>
          <w:tcPr>
            <w:tcW w:w="11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gains/(losses)</w:t>
            </w:r>
          </w:p>
        </w:tc>
        <w:tc>
          <w:tcPr>
            <w:tcW w:w="1020" w:type="dxa"/>
            <w:vAlign w:val="bottom"/>
            <w:gridSpan w:val="2"/>
          </w:tcPr>
          <w:p>
            <w:pPr>
              <w:jc w:val="center"/>
              <w:ind w:right="100"/>
              <w:spacing w:after="0" w:line="158" w:lineRule="exact"/>
              <w:rPr>
                <w:sz w:val="20"/>
                <w:szCs w:val="20"/>
                <w:color w:val="auto"/>
              </w:rPr>
            </w:pPr>
            <w:r>
              <w:rPr>
                <w:rFonts w:ascii="Arial" w:cs="Arial" w:eastAsia="Arial" w:hAnsi="Arial"/>
                <w:sz w:val="14"/>
                <w:szCs w:val="14"/>
                <w:b w:val="1"/>
                <w:bCs w:val="1"/>
                <w:color w:val="auto"/>
                <w:w w:val="85"/>
              </w:rPr>
              <w:t>gains/(losses)</w:t>
            </w:r>
          </w:p>
        </w:tc>
        <w:tc>
          <w:tcPr>
            <w:tcW w:w="0" w:type="dxa"/>
            <w:vAlign w:val="bottom"/>
          </w:tcPr>
          <w:p>
            <w:pPr>
              <w:spacing w:after="0"/>
              <w:rPr>
                <w:sz w:val="1"/>
                <w:szCs w:val="1"/>
                <w:color w:val="auto"/>
              </w:rPr>
            </w:pPr>
          </w:p>
        </w:tc>
      </w:tr>
      <w:tr>
        <w:trPr>
          <w:trHeight w:val="20"/>
        </w:trPr>
        <w:tc>
          <w:tcPr>
            <w:tcW w:w="600" w:type="dxa"/>
            <w:vAlign w:val="bottom"/>
            <w:tcBorders>
              <w:bottom w:val="single" w:sz="8" w:color="CCEEFF"/>
            </w:tcBorders>
            <w:shd w:val="clear" w:color="auto" w:fill="000000"/>
          </w:tcPr>
          <w:p>
            <w:pPr>
              <w:spacing w:after="0" w:line="20" w:lineRule="exact"/>
              <w:rPr>
                <w:sz w:val="1"/>
                <w:szCs w:val="1"/>
                <w:color w:val="auto"/>
              </w:rPr>
            </w:pPr>
          </w:p>
        </w:tc>
        <w:tc>
          <w:tcPr>
            <w:tcW w:w="29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97"/>
              </w:rPr>
              <w:t>Saratoga Investment Corp. CLO 2013-1, Ltd.</w:t>
            </w:r>
          </w:p>
        </w:tc>
        <w:tc>
          <w:tcPr>
            <w:tcW w:w="2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ind w:left="140"/>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20"/>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ind w:left="160"/>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$3,410,868</w:t>
            </w:r>
          </w:p>
        </w:tc>
        <w:tc>
          <w:tcPr>
            <w:tcW w:w="360" w:type="dxa"/>
            <w:vAlign w:val="bottom"/>
            <w:shd w:val="clear" w:color="auto" w:fill="CCEEFF"/>
          </w:tcPr>
          <w:p>
            <w:pPr>
              <w:spacing w:after="0"/>
              <w:rPr>
                <w:sz w:val="17"/>
                <w:szCs w:val="17"/>
                <w:color w:val="auto"/>
              </w:rPr>
            </w:pPr>
          </w:p>
        </w:tc>
        <w:tc>
          <w:tcPr>
            <w:tcW w:w="8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$1,775,141</w:t>
            </w: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240"/>
              <w:spacing w:after="0" w:line="203" w:lineRule="exact"/>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1"/>
              </w:rPr>
              <w:t>$  3,013,788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Non-income producing at February 28, 2014.</w:t>
      </w:r>
    </w:p>
    <w:p>
      <w:pPr>
        <w:sectPr>
          <w:pgSz w:w="11900" w:h="16838" w:orient="portrait"/>
          <w:cols w:equalWidth="0" w:num="1">
            <w:col w:w="11420"/>
          </w:cols>
          <w:pgMar w:left="240" w:top="459" w:right="239" w:bottom="1095" w:gutter="0" w:footer="0" w:header="0"/>
        </w:sectPr>
      </w:pP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459" w:right="239" w:bottom="1095"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20" w:type="dxa"/>
            <w:vAlign w:val="bottom"/>
            <w:gridSpan w:val="3"/>
          </w:tcPr>
          <w:p>
            <w:pPr>
              <w:ind w:left="20"/>
              <w:spacing w:after="0"/>
              <w:rPr>
                <w:sz w:val="20"/>
                <w:szCs w:val="20"/>
                <w:color w:val="auto"/>
              </w:rPr>
            </w:pPr>
            <w:r>
              <w:rPr>
                <w:rFonts w:ascii="Arial" w:cs="Arial" w:eastAsia="Arial" w:hAnsi="Arial"/>
                <w:sz w:val="14"/>
                <w:szCs w:val="14"/>
                <w:b w:val="1"/>
                <w:bCs w:val="1"/>
                <w:color w:val="auto"/>
              </w:rPr>
              <w:t>For the six months ended</w:t>
            </w:r>
          </w:p>
        </w:tc>
        <w:tc>
          <w:tcPr>
            <w:tcW w:w="42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w w:val="96"/>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9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2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9"/>
              </w:rPr>
              <w:t>August 31, 2014</w:t>
            </w: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August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9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INCREASE FROM OPERATIONS:</w:t>
            </w:r>
          </w:p>
        </w:tc>
        <w:tc>
          <w:tcPr>
            <w:tcW w:w="13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Net investment income</w:t>
            </w:r>
          </w:p>
        </w:tc>
        <w:tc>
          <w:tcPr>
            <w:tcW w:w="1580" w:type="dxa"/>
            <w:vAlign w:val="bottom"/>
            <w:gridSpan w:val="2"/>
          </w:tcPr>
          <w:p>
            <w:pPr>
              <w:ind w:left="1380"/>
              <w:spacing w:after="0"/>
              <w:rPr>
                <w:sz w:val="20"/>
                <w:szCs w:val="20"/>
                <w:color w:val="auto"/>
              </w:rPr>
            </w:pPr>
            <w:r>
              <w:rPr>
                <w:rFonts w:ascii="Arial" w:cs="Arial" w:eastAsia="Arial" w:hAnsi="Arial"/>
                <w:sz w:val="18"/>
                <w:szCs w:val="18"/>
                <w:color w:val="auto"/>
              </w:rPr>
              <w:t>$</w:t>
            </w:r>
          </w:p>
        </w:tc>
        <w:tc>
          <w:tcPr>
            <w:tcW w:w="1820" w:type="dxa"/>
            <w:vAlign w:val="bottom"/>
            <w:gridSpan w:val="2"/>
          </w:tcPr>
          <w:p>
            <w:pPr>
              <w:jc w:val="right"/>
              <w:ind w:right="460"/>
              <w:spacing w:after="0"/>
              <w:rPr>
                <w:sz w:val="20"/>
                <w:szCs w:val="20"/>
                <w:color w:val="auto"/>
              </w:rPr>
            </w:pPr>
            <w:r>
              <w:rPr>
                <w:rFonts w:ascii="Arial" w:cs="Arial" w:eastAsia="Arial" w:hAnsi="Arial"/>
                <w:sz w:val="18"/>
                <w:szCs w:val="18"/>
                <w:color w:val="auto"/>
              </w:rPr>
              <w:t>4,133,152</w:t>
            </w:r>
          </w:p>
        </w:tc>
        <w:tc>
          <w:tcPr>
            <w:tcW w:w="60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4,741,555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Net realized gain from investments</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441,841</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tcPr>
          <w:p>
            <w:pPr>
              <w:ind w:left="340"/>
              <w:spacing w:after="0"/>
              <w:rPr>
                <w:sz w:val="20"/>
                <w:szCs w:val="20"/>
                <w:color w:val="auto"/>
              </w:rPr>
            </w:pPr>
            <w:r>
              <w:rPr>
                <w:rFonts w:ascii="Arial" w:cs="Arial" w:eastAsia="Arial" w:hAnsi="Arial"/>
                <w:sz w:val="18"/>
                <w:szCs w:val="18"/>
                <w:color w:val="auto"/>
              </w:rPr>
              <w:t>Net unrealized appreciation (depreciation) on investments</w:t>
            </w:r>
          </w:p>
        </w:tc>
        <w:tc>
          <w:tcPr>
            <w:tcW w:w="13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gridSpan w:val="2"/>
          </w:tcPr>
          <w:p>
            <w:pPr>
              <w:jc w:val="right"/>
              <w:ind w:right="460"/>
              <w:spacing w:after="0"/>
              <w:rPr>
                <w:sz w:val="20"/>
                <w:szCs w:val="20"/>
                <w:color w:val="auto"/>
              </w:rPr>
            </w:pPr>
            <w:r>
              <w:rPr>
                <w:rFonts w:ascii="Arial" w:cs="Arial" w:eastAsia="Arial" w:hAnsi="Arial"/>
                <w:sz w:val="18"/>
                <w:szCs w:val="18"/>
                <w:color w:val="auto"/>
              </w:rPr>
              <w:t>318,809</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(2,057,943)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increase in net assets from operations</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4,893,802</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3,758,554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20" w:type="dxa"/>
            <w:vAlign w:val="bottom"/>
          </w:tcPr>
          <w:p>
            <w:pPr>
              <w:spacing w:after="0"/>
              <w:rPr>
                <w:sz w:val="24"/>
                <w:szCs w:val="24"/>
                <w:color w:val="auto"/>
              </w:rPr>
            </w:pPr>
          </w:p>
        </w:tc>
        <w:tc>
          <w:tcPr>
            <w:tcW w:w="5920" w:type="dxa"/>
            <w:vAlign w:val="bottom"/>
          </w:tcPr>
          <w:p>
            <w:pPr>
              <w:ind w:left="700"/>
              <w:spacing w:after="0"/>
              <w:rPr>
                <w:sz w:val="20"/>
                <w:szCs w:val="20"/>
                <w:color w:val="auto"/>
              </w:rPr>
            </w:pPr>
            <w:r>
              <w:rPr>
                <w:rFonts w:ascii="Arial" w:cs="Arial" w:eastAsia="Arial" w:hAnsi="Arial"/>
                <w:sz w:val="18"/>
                <w:szCs w:val="18"/>
                <w:color w:val="auto"/>
              </w:rPr>
              <w:t>Total increase in net assets</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jc w:val="right"/>
              <w:ind w:right="460"/>
              <w:spacing w:after="0"/>
              <w:rPr>
                <w:sz w:val="20"/>
                <w:szCs w:val="20"/>
                <w:color w:val="auto"/>
              </w:rPr>
            </w:pPr>
            <w:r>
              <w:rPr>
                <w:rFonts w:ascii="Arial" w:cs="Arial" w:eastAsia="Arial" w:hAnsi="Arial"/>
                <w:sz w:val="18"/>
                <w:szCs w:val="18"/>
                <w:color w:val="auto"/>
              </w:rPr>
              <w:t>4,893,802</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3,758,554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assets at beginning of period</w:t>
            </w:r>
          </w:p>
        </w:tc>
        <w:tc>
          <w:tcPr>
            <w:tcW w:w="13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114,924,018</w:t>
            </w: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108,686,761</w:t>
            </w:r>
          </w:p>
        </w:tc>
        <w:tc>
          <w:tcPr>
            <w:tcW w:w="0" w:type="dxa"/>
            <w:vAlign w:val="bottom"/>
          </w:tcPr>
          <w:p>
            <w:pPr>
              <w:spacing w:after="0"/>
              <w:rPr>
                <w:sz w:val="1"/>
                <w:szCs w:val="1"/>
                <w:color w:val="auto"/>
              </w:rPr>
            </w:pPr>
          </w:p>
        </w:tc>
      </w:tr>
      <w:tr>
        <w:trPr>
          <w:trHeight w:val="223"/>
        </w:trPr>
        <w:tc>
          <w:tcPr>
            <w:tcW w:w="5940" w:type="dxa"/>
            <w:vAlign w:val="bottom"/>
            <w:gridSpan w:val="2"/>
          </w:tcPr>
          <w:p>
            <w:pPr>
              <w:spacing w:after="0"/>
              <w:rPr>
                <w:sz w:val="20"/>
                <w:szCs w:val="20"/>
                <w:color w:val="auto"/>
              </w:rPr>
            </w:pPr>
            <w:r>
              <w:rPr>
                <w:rFonts w:ascii="Arial" w:cs="Arial" w:eastAsia="Arial" w:hAnsi="Arial"/>
                <w:sz w:val="18"/>
                <w:szCs w:val="18"/>
                <w:color w:val="auto"/>
              </w:rPr>
              <w:t>Net assets at end of period</w:t>
            </w:r>
          </w:p>
        </w:tc>
        <w:tc>
          <w:tcPr>
            <w:tcW w:w="138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119,817,820</w:t>
            </w: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112,445,315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592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common share</w:t>
            </w:r>
          </w:p>
        </w:tc>
        <w:tc>
          <w:tcPr>
            <w:tcW w:w="15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22.27</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23.77</w:t>
            </w:r>
          </w:p>
        </w:tc>
        <w:tc>
          <w:tcPr>
            <w:tcW w:w="0" w:type="dxa"/>
            <w:vAlign w:val="bottom"/>
          </w:tcPr>
          <w:p>
            <w:pPr>
              <w:spacing w:after="0"/>
              <w:rPr>
                <w:sz w:val="1"/>
                <w:szCs w:val="1"/>
                <w:color w:val="auto"/>
              </w:rPr>
            </w:pPr>
          </w:p>
        </w:tc>
      </w:tr>
      <w:tr>
        <w:trPr>
          <w:trHeight w:val="324"/>
        </w:trPr>
        <w:tc>
          <w:tcPr>
            <w:tcW w:w="5940" w:type="dxa"/>
            <w:vAlign w:val="bottom"/>
            <w:gridSpan w:val="2"/>
          </w:tcPr>
          <w:p>
            <w:pPr>
              <w:spacing w:after="0"/>
              <w:rPr>
                <w:sz w:val="20"/>
                <w:szCs w:val="20"/>
                <w:color w:val="auto"/>
              </w:rPr>
            </w:pPr>
            <w:r>
              <w:rPr>
                <w:rFonts w:ascii="Arial" w:cs="Arial" w:eastAsia="Arial" w:hAnsi="Arial"/>
                <w:sz w:val="18"/>
                <w:szCs w:val="18"/>
                <w:color w:val="auto"/>
              </w:rPr>
              <w:t>Common shares outstanding at end of period</w:t>
            </w:r>
          </w:p>
        </w:tc>
        <w:tc>
          <w:tcPr>
            <w:tcW w:w="1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20" w:type="dxa"/>
            <w:vAlign w:val="bottom"/>
            <w:gridSpan w:val="2"/>
          </w:tcPr>
          <w:p>
            <w:pPr>
              <w:jc w:val="right"/>
              <w:ind w:right="460"/>
              <w:spacing w:after="0"/>
              <w:rPr>
                <w:sz w:val="20"/>
                <w:szCs w:val="20"/>
                <w:color w:val="auto"/>
              </w:rPr>
            </w:pPr>
            <w:r>
              <w:rPr>
                <w:rFonts w:ascii="Arial" w:cs="Arial" w:eastAsia="Arial" w:hAnsi="Arial"/>
                <w:sz w:val="18"/>
                <w:szCs w:val="18"/>
                <w:color w:val="auto"/>
              </w:rPr>
              <w:t>5,379,616</w:t>
            </w: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4,730,116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20" w:type="dxa"/>
            <w:vAlign w:val="bottom"/>
            <w:shd w:val="clear" w:color="auto" w:fill="CCEEFF"/>
          </w:tcPr>
          <w:p>
            <w:pPr>
              <w:spacing w:after="0"/>
              <w:rPr>
                <w:sz w:val="20"/>
                <w:szCs w:val="20"/>
                <w:color w:val="auto"/>
              </w:rPr>
            </w:pPr>
            <w:r>
              <w:rPr>
                <w:rFonts w:ascii="Arial" w:cs="Arial" w:eastAsia="Arial" w:hAnsi="Arial"/>
                <w:sz w:val="18"/>
                <w:szCs w:val="18"/>
                <w:color w:val="auto"/>
              </w:rPr>
              <w:t>Distribution in excess of net investment income</w:t>
            </w:r>
          </w:p>
        </w:tc>
        <w:tc>
          <w:tcPr>
            <w:tcW w:w="1580" w:type="dxa"/>
            <w:vAlign w:val="bottom"/>
            <w:gridSpan w:val="2"/>
            <w:shd w:val="clear" w:color="auto" w:fill="CCEEFF"/>
          </w:tcPr>
          <w:p>
            <w:pPr>
              <w:ind w:left="1380"/>
              <w:spacing w:after="0"/>
              <w:rPr>
                <w:sz w:val="20"/>
                <w:szCs w:val="20"/>
                <w:color w:val="auto"/>
              </w:rPr>
            </w:pPr>
            <w:r>
              <w:rPr>
                <w:rFonts w:ascii="Arial" w:cs="Arial" w:eastAsia="Arial" w:hAnsi="Arial"/>
                <w:sz w:val="18"/>
                <w:szCs w:val="18"/>
                <w:color w:val="auto"/>
              </w:rPr>
              <w:t>$</w:t>
            </w:r>
          </w:p>
        </w:tc>
        <w:tc>
          <w:tcPr>
            <w:tcW w:w="18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(25,494,426)</w:t>
            </w:r>
          </w:p>
        </w:tc>
        <w:tc>
          <w:tcPr>
            <w:tcW w:w="60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(19,781,396)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For the six months ended</w:t>
            </w:r>
          </w:p>
        </w:tc>
        <w:tc>
          <w:tcPr>
            <w:tcW w:w="44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w w:val="96"/>
              </w:rPr>
              <w:t>For the six months ended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2"/>
          </w:tcPr>
          <w:p>
            <w:pPr>
              <w:jc w:val="right"/>
              <w:ind w:right="780"/>
              <w:spacing w:after="0"/>
              <w:rPr>
                <w:sz w:val="20"/>
                <w:szCs w:val="20"/>
                <w:color w:val="auto"/>
              </w:rPr>
            </w:pPr>
            <w:r>
              <w:rPr>
                <w:rFonts w:ascii="Arial" w:cs="Arial" w:eastAsia="Arial" w:hAnsi="Arial"/>
                <w:sz w:val="14"/>
                <w:szCs w:val="14"/>
                <w:b w:val="1"/>
                <w:bCs w:val="1"/>
                <w:color w:val="auto"/>
                <w:w w:val="99"/>
              </w:rPr>
              <w:t>August 31, 2014</w:t>
            </w:r>
          </w:p>
        </w:tc>
        <w:tc>
          <w:tcPr>
            <w:tcW w:w="4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9"/>
              </w:rPr>
              <w:t>August 31, 2013</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5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Operating activities</w:t>
            </w:r>
          </w:p>
        </w:tc>
        <w:tc>
          <w:tcPr>
            <w:tcW w:w="7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6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NET INCREASE IN NET ASSETS FROM OPERATIONS</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4,893,802</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3,758,554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ADJUSTMENTS TO RECONCILE NET INCREASE IN NET ASSETS FROM</w:t>
            </w: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5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TO NET CASH USED BY OPERATING ACTIVITIES:</w:t>
            </w:r>
          </w:p>
        </w:tc>
        <w:tc>
          <w:tcPr>
            <w:tcW w:w="7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6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Paid-in-kind interest income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440"/>
              <w:spacing w:after="0"/>
              <w:rPr>
                <w:sz w:val="20"/>
                <w:szCs w:val="20"/>
                <w:color w:val="auto"/>
              </w:rPr>
            </w:pPr>
            <w:r>
              <w:rPr>
                <w:rFonts w:ascii="Arial" w:cs="Arial" w:eastAsia="Arial" w:hAnsi="Arial"/>
                <w:sz w:val="18"/>
                <w:szCs w:val="18"/>
                <w:color w:val="auto"/>
              </w:rPr>
              <w:t>(371,527)</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(472,923)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accretion of discount on investments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(382,571)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Amortization of deferred debt financing costs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512,481</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419,294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Net realized gain from investments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(441,841)</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(1,074,942)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Net unrealized (appreciation) depreciation on investments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440"/>
              <w:spacing w:after="0"/>
              <w:rPr>
                <w:sz w:val="20"/>
                <w:szCs w:val="20"/>
                <w:color w:val="auto"/>
              </w:rPr>
            </w:pPr>
            <w:r>
              <w:rPr>
                <w:rFonts w:ascii="Arial" w:cs="Arial" w:eastAsia="Arial" w:hAnsi="Arial"/>
                <w:sz w:val="18"/>
                <w:szCs w:val="18"/>
                <w:color w:val="auto"/>
              </w:rPr>
              <w:t>(318,809)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2,057,943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Proceeds from sale and redemption of investments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24,387,382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54,849,577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Purchase of investments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440"/>
              <w:spacing w:after="0"/>
              <w:rPr>
                <w:sz w:val="20"/>
                <w:szCs w:val="20"/>
                <w:color w:val="auto"/>
              </w:rPr>
            </w:pPr>
            <w:r>
              <w:rPr>
                <w:rFonts w:ascii="Arial" w:cs="Arial" w:eastAsia="Arial" w:hAnsi="Arial"/>
                <w:sz w:val="18"/>
                <w:szCs w:val="18"/>
                <w:color w:val="auto"/>
              </w:rPr>
              <w:t>(53,347,634)</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(87,854,349)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700"/>
              <w:spacing w:after="0"/>
              <w:rPr>
                <w:sz w:val="20"/>
                <w:szCs w:val="20"/>
                <w:color w:val="auto"/>
              </w:rPr>
            </w:pPr>
            <w:r>
              <w:rPr>
                <w:rFonts w:ascii="Arial" w:cs="Arial" w:eastAsia="Arial" w:hAnsi="Arial"/>
                <w:sz w:val="18"/>
                <w:szCs w:val="18"/>
                <w:color w:val="auto"/>
              </w:rPr>
              <w:t>(Increase) decrease in operating assets: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060"/>
              <w:spacing w:after="0"/>
              <w:rPr>
                <w:sz w:val="20"/>
                <w:szCs w:val="20"/>
                <w:color w:val="auto"/>
              </w:rPr>
            </w:pPr>
            <w:r>
              <w:rPr>
                <w:rFonts w:ascii="Arial" w:cs="Arial" w:eastAsia="Arial" w:hAnsi="Arial"/>
                <w:sz w:val="18"/>
                <w:szCs w:val="18"/>
                <w:color w:val="auto"/>
              </w:rPr>
              <w:t>Cash and cash equivalents, reserve accounts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77,442</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(4,506,556)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Interest receivable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(742,554)</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828,945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060"/>
              <w:spacing w:after="0"/>
              <w:rPr>
                <w:sz w:val="20"/>
                <w:szCs w:val="20"/>
                <w:color w:val="auto"/>
              </w:rPr>
            </w:pPr>
            <w:r>
              <w:rPr>
                <w:rFonts w:ascii="Arial" w:cs="Arial" w:eastAsia="Arial" w:hAnsi="Arial"/>
                <w:sz w:val="18"/>
                <w:szCs w:val="18"/>
                <w:color w:val="auto"/>
              </w:rPr>
              <w:t>Due from manager</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(4,929)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Management fee receivable</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(16,925)</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060"/>
              <w:spacing w:after="0"/>
              <w:rPr>
                <w:sz w:val="20"/>
                <w:szCs w:val="20"/>
                <w:color w:val="auto"/>
              </w:rPr>
            </w:pPr>
            <w:r>
              <w:rPr>
                <w:rFonts w:ascii="Arial" w:cs="Arial" w:eastAsia="Arial" w:hAnsi="Arial"/>
                <w:sz w:val="18"/>
                <w:szCs w:val="18"/>
                <w:color w:val="auto"/>
              </w:rPr>
              <w:t>Other assets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440"/>
              <w:spacing w:after="0"/>
              <w:rPr>
                <w:sz w:val="20"/>
                <w:szCs w:val="20"/>
                <w:color w:val="auto"/>
              </w:rPr>
            </w:pPr>
            <w:r>
              <w:rPr>
                <w:rFonts w:ascii="Arial" w:cs="Arial" w:eastAsia="Arial" w:hAnsi="Arial"/>
                <w:sz w:val="18"/>
                <w:szCs w:val="18"/>
                <w:color w:val="auto"/>
              </w:rPr>
              <w:t>(48,308)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Receivable from unsettled trades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316,489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700"/>
              <w:spacing w:after="0"/>
              <w:rPr>
                <w:sz w:val="20"/>
                <w:szCs w:val="20"/>
                <w:color w:val="auto"/>
              </w:rPr>
            </w:pPr>
            <w:r>
              <w:rPr>
                <w:rFonts w:ascii="Arial" w:cs="Arial" w:eastAsia="Arial" w:hAnsi="Arial"/>
                <w:sz w:val="18"/>
                <w:szCs w:val="18"/>
                <w:color w:val="auto"/>
              </w:rPr>
              <w:t>Increase (decrease) in operating liabilities: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Payable for unsettled trades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16,270,000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060"/>
              <w:spacing w:after="0"/>
              <w:rPr>
                <w:sz w:val="20"/>
                <w:szCs w:val="20"/>
                <w:color w:val="auto"/>
              </w:rPr>
            </w:pPr>
            <w:r>
              <w:rPr>
                <w:rFonts w:ascii="Arial" w:cs="Arial" w:eastAsia="Arial" w:hAnsi="Arial"/>
                <w:sz w:val="18"/>
                <w:szCs w:val="18"/>
                <w:color w:val="auto"/>
              </w:rPr>
              <w:t>Management and incentive fees payable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364,629</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977,424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Accounts payable and accrued expenses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(288,213)</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1060"/>
              <w:spacing w:after="0"/>
              <w:rPr>
                <w:sz w:val="20"/>
                <w:szCs w:val="20"/>
                <w:color w:val="auto"/>
              </w:rPr>
            </w:pPr>
            <w:r>
              <w:rPr>
                <w:rFonts w:ascii="Arial" w:cs="Arial" w:eastAsia="Arial" w:hAnsi="Arial"/>
                <w:sz w:val="18"/>
                <w:szCs w:val="18"/>
                <w:color w:val="auto"/>
              </w:rPr>
              <w:t>Interest and debt fees payable</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162,938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487,255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1060"/>
              <w:spacing w:after="0"/>
              <w:rPr>
                <w:sz w:val="20"/>
                <w:szCs w:val="20"/>
                <w:color w:val="auto"/>
              </w:rPr>
            </w:pPr>
            <w:r>
              <w:rPr>
                <w:rFonts w:ascii="Arial" w:cs="Arial" w:eastAsia="Arial" w:hAnsi="Arial"/>
                <w:sz w:val="18"/>
                <w:szCs w:val="18"/>
                <w:color w:val="auto"/>
              </w:rPr>
              <w:t>Due to manager</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20,000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85,888</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NET CASH USED BY OPERATING ACTIVITIES</w:t>
            </w:r>
          </w:p>
        </w:tc>
        <w:tc>
          <w:tcPr>
            <w:tcW w:w="7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(25,539,708)</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(14,010,933)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Borrowings on debt</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27,600,000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Paydowns on debt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(4,700,000)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Issuance of notes</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48,300,000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Debt financing cost</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(382,812)</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(2,579,309)</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Arial" w:cs="Arial" w:eastAsia="Arial" w:hAnsi="Arial"/>
                <w:sz w:val="18"/>
                <w:szCs w:val="18"/>
                <w:color w:val="auto"/>
              </w:rPr>
              <w:t>NET CASH PROVIDED BY FINANCING ACTIVITIES</w:t>
            </w:r>
          </w:p>
        </w:tc>
        <w:tc>
          <w:tcPr>
            <w:tcW w:w="7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22,517,188</w:t>
            </w: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25,420,691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65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(3,022,520)</w:t>
            </w: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11,409,758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3,293,898</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149,025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5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6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13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271,378</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11,558,783</w:t>
            </w:r>
          </w:p>
        </w:tc>
        <w:tc>
          <w:tcPr>
            <w:tcW w:w="0" w:type="dxa"/>
            <w:vAlign w:val="bottom"/>
          </w:tcPr>
          <w:p>
            <w:pPr>
              <w:spacing w:after="0"/>
              <w:rPr>
                <w:sz w:val="1"/>
                <w:szCs w:val="1"/>
                <w:color w:val="auto"/>
              </w:rPr>
            </w:pPr>
          </w:p>
        </w:tc>
      </w:tr>
      <w:tr>
        <w:trPr>
          <w:trHeight w:val="20"/>
        </w:trPr>
        <w:tc>
          <w:tcPr>
            <w:tcW w:w="6540" w:type="dxa"/>
            <w:vAlign w:val="bottom"/>
            <w:gridSpan w:val="2"/>
            <w:vMerge w:val="restart"/>
          </w:tcPr>
          <w:p>
            <w:pPr>
              <w:spacing w:after="0"/>
              <w:rPr>
                <w:sz w:val="20"/>
                <w:szCs w:val="20"/>
                <w:color w:val="auto"/>
              </w:rPr>
            </w:pPr>
            <w:r>
              <w:rPr>
                <w:rFonts w:ascii="Arial" w:cs="Arial" w:eastAsia="Arial" w:hAnsi="Arial"/>
                <w:sz w:val="18"/>
                <w:szCs w:val="18"/>
                <w:color w:val="auto"/>
              </w:rPr>
              <w:t>Supplemental Information:</w:t>
            </w:r>
          </w:p>
        </w:tc>
        <w:tc>
          <w:tcPr>
            <w:tcW w:w="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6540" w:type="dxa"/>
            <w:vAlign w:val="bottom"/>
            <w:gridSpan w:val="2"/>
            <w:vMerge w:val="continue"/>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paid during the period</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2,921,683</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1,824,887</w:t>
            </w:r>
          </w:p>
        </w:tc>
        <w:tc>
          <w:tcPr>
            <w:tcW w:w="0" w:type="dxa"/>
            <w:vAlign w:val="bottom"/>
          </w:tcPr>
          <w:p>
            <w:pPr>
              <w:spacing w:after="0"/>
              <w:rPr>
                <w:sz w:val="1"/>
                <w:szCs w:val="1"/>
                <w:color w:val="auto"/>
              </w:rPr>
            </w:pPr>
          </w:p>
        </w:tc>
      </w:tr>
      <w:tr>
        <w:trPr>
          <w:trHeight w:val="324"/>
        </w:trPr>
        <w:tc>
          <w:tcPr>
            <w:tcW w:w="6540" w:type="dxa"/>
            <w:vAlign w:val="bottom"/>
            <w:gridSpan w:val="2"/>
          </w:tcPr>
          <w:p>
            <w:pPr>
              <w:spacing w:after="0"/>
              <w:rPr>
                <w:sz w:val="20"/>
                <w:szCs w:val="20"/>
                <w:color w:val="auto"/>
              </w:rPr>
            </w:pPr>
            <w:r>
              <w:rPr>
                <w:rFonts w:ascii="Arial" w:cs="Arial" w:eastAsia="Arial" w:hAnsi="Arial"/>
                <w:sz w:val="18"/>
                <w:szCs w:val="18"/>
                <w:color w:val="auto"/>
              </w:rPr>
              <w:t>Supplemental non-cash information:</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Paid-in-kind interest income</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371,527</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472,923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tcPr>
          <w:p>
            <w:pPr>
              <w:ind w:left="340"/>
              <w:spacing w:after="0"/>
              <w:rPr>
                <w:sz w:val="20"/>
                <w:szCs w:val="20"/>
                <w:color w:val="auto"/>
              </w:rPr>
            </w:pPr>
            <w:r>
              <w:rPr>
                <w:rFonts w:ascii="Arial" w:cs="Arial" w:eastAsia="Arial" w:hAnsi="Arial"/>
                <w:sz w:val="18"/>
                <w:szCs w:val="18"/>
                <w:color w:val="auto"/>
              </w:rPr>
              <w:t>Net accretion of discount on investments</w:t>
            </w:r>
          </w:p>
        </w:tc>
        <w:tc>
          <w:tcPr>
            <w:tcW w:w="920" w:type="dxa"/>
            <w:vAlign w:val="bottom"/>
            <w:gridSpan w:val="2"/>
          </w:tcPr>
          <w:p>
            <w:pPr>
              <w:ind w:left="740"/>
              <w:spacing w:after="0"/>
              <w:rPr>
                <w:sz w:val="20"/>
                <w:szCs w:val="20"/>
                <w:color w:val="auto"/>
              </w:rPr>
            </w:pPr>
            <w:r>
              <w:rPr>
                <w:rFonts w:ascii="Arial" w:cs="Arial" w:eastAsia="Arial" w:hAnsi="Arial"/>
                <w:sz w:val="18"/>
                <w:szCs w:val="18"/>
                <w:color w:val="auto"/>
              </w:rPr>
              <w:t>$</w:t>
            </w:r>
          </w:p>
        </w:tc>
        <w:tc>
          <w:tcPr>
            <w:tcW w:w="1860" w:type="dxa"/>
            <w:vAlign w:val="bottom"/>
            <w:gridSpan w:val="2"/>
          </w:tcPr>
          <w:p>
            <w:pPr>
              <w:jc w:val="right"/>
              <w:ind w:right="500"/>
              <w:spacing w:after="0"/>
              <w:rPr>
                <w:sz w:val="20"/>
                <w:szCs w:val="20"/>
                <w:color w:val="auto"/>
              </w:rPr>
            </w:pPr>
            <w:r>
              <w:rPr>
                <w:rFonts w:ascii="Arial" w:cs="Arial" w:eastAsia="Arial" w:hAnsi="Arial"/>
                <w:sz w:val="18"/>
                <w:szCs w:val="18"/>
                <w:color w:val="auto"/>
              </w:rPr>
              <w:t>382,571</w:t>
            </w:r>
          </w:p>
        </w:tc>
        <w:tc>
          <w:tcPr>
            <w:tcW w:w="6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224,598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Amortization of deferred debt financing costs</w:t>
            </w:r>
          </w:p>
        </w:tc>
        <w:tc>
          <w:tcPr>
            <w:tcW w:w="920" w:type="dxa"/>
            <w:vAlign w:val="bottom"/>
            <w:gridSpan w:val="2"/>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8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512,481</w:t>
            </w:r>
          </w:p>
        </w:tc>
        <w:tc>
          <w:tcPr>
            <w:tcW w:w="6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419,294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SARATOGA INVESTMENT CORP.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August 31, 2014</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Basis of Presentation</w:t>
      </w:r>
    </w:p>
    <w:p>
      <w:pPr>
        <w:spacing w:after="0" w:line="121" w:lineRule="exact"/>
        <w:rPr>
          <w:sz w:val="20"/>
          <w:szCs w:val="20"/>
          <w:color w:val="auto"/>
        </w:rPr>
      </w:pPr>
    </w:p>
    <w:p>
      <w:pPr>
        <w:ind w:right="80" w:firstLine="913"/>
        <w:spacing w:after="0" w:line="255" w:lineRule="auto"/>
        <w:rPr>
          <w:sz w:val="20"/>
          <w:szCs w:val="20"/>
          <w:color w:val="auto"/>
        </w:rPr>
      </w:pPr>
      <w:r>
        <w:rPr>
          <w:rFonts w:ascii="Arial" w:cs="Arial" w:eastAsia="Arial" w:hAnsi="Arial"/>
          <w:sz w:val="18"/>
          <w:szCs w:val="18"/>
          <w:color w:val="auto"/>
        </w:rPr>
        <w:t>Saratoga Investment Corp. (the “Company”, “we”, “our” and “us”) is a non-diversified closed end management investment company incorporated in Maryland that has elected to be treated and is regulated as a business development company (“BDC”) under the Investment Company Act of 1940 (the “1940 Act”). We commenced operations on March 23, 2007 as GSC Investment Corp. and completed our initial public offering (“IPO”) on March 28, 2007. We have elected to be treated as a regulated investment company (“RIC”) under subchapter M of the Internal Revenue Code (the “Code”). We expect to continue to qualify and to elect to be treated for tax purposes as a RIC. Our investment objective is to generate current income and, to a lesser extent, capital appreciation from our investments.</w:t>
      </w:r>
    </w:p>
    <w:p>
      <w:pPr>
        <w:spacing w:after="0" w:line="193"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GSC Investment, LLC (the “LLC”) was organized in May 2006 as a Maryland limited liability company. As of February 28, 2007, the LLC had not yet commenced its operations and investment activities.</w:t>
      </w:r>
    </w:p>
    <w:p>
      <w:pPr>
        <w:spacing w:after="0" w:line="170" w:lineRule="exact"/>
        <w:rPr>
          <w:sz w:val="20"/>
          <w:szCs w:val="20"/>
          <w:color w:val="auto"/>
        </w:rPr>
      </w:pPr>
    </w:p>
    <w:p>
      <w:pPr>
        <w:ind w:right="160" w:firstLine="913"/>
        <w:spacing w:after="0" w:line="312" w:lineRule="auto"/>
        <w:rPr>
          <w:sz w:val="20"/>
          <w:szCs w:val="20"/>
          <w:color w:val="auto"/>
        </w:rPr>
      </w:pPr>
      <w:r>
        <w:rPr>
          <w:rFonts w:ascii="Arial" w:cs="Arial" w:eastAsia="Arial" w:hAnsi="Arial"/>
          <w:sz w:val="16"/>
          <w:szCs w:val="16"/>
          <w:color w:val="auto"/>
        </w:rPr>
        <w:t>On March 21, 2007, the Company was incorporated and concurrently therewith the LLC was merged with and into the Company, with the Company as the surviving entity, in accordance with the procedure for such merger in the LLC’s limited liability company agreement and Maryland law. In connection with such merger, each outstanding limited liability company interest of the LLC was converted into a share of common stock of the Company.</w:t>
      </w:r>
    </w:p>
    <w:p>
      <w:pPr>
        <w:spacing w:after="0" w:line="147" w:lineRule="exact"/>
        <w:rPr>
          <w:sz w:val="20"/>
          <w:szCs w:val="20"/>
          <w:color w:val="auto"/>
        </w:rPr>
      </w:pPr>
    </w:p>
    <w:p>
      <w:pPr>
        <w:ind w:right="580" w:firstLine="913"/>
        <w:spacing w:after="0" w:line="277" w:lineRule="auto"/>
        <w:rPr>
          <w:sz w:val="20"/>
          <w:szCs w:val="20"/>
          <w:color w:val="auto"/>
        </w:rPr>
      </w:pPr>
      <w:r>
        <w:rPr>
          <w:rFonts w:ascii="Arial" w:cs="Arial" w:eastAsia="Arial" w:hAnsi="Arial"/>
          <w:sz w:val="18"/>
          <w:szCs w:val="18"/>
          <w:color w:val="auto"/>
        </w:rPr>
        <w:t>On July 30, 2010, the Company changed its name from “GSC Investment Corp.” to “Saratoga Investment Corp.” in conjunction with the transaction described in “Note 13. Recapitalization Transaction” below.</w:t>
      </w:r>
    </w:p>
    <w:p>
      <w:pPr>
        <w:spacing w:after="0" w:line="170"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We are externally managed and advised by our investment adviser, Saratoga Investment Advisors, LLC (the “Manager”), pursuant an investment advisory and management agreement dated July 30, 2010 (the “Management Agreement”). Prior to July 30, 2010, we were managed and advised by GSCP (NJ), L.P.</w:t>
      </w:r>
    </w:p>
    <w:p>
      <w:pPr>
        <w:spacing w:after="0" w:line="181" w:lineRule="exact"/>
        <w:rPr>
          <w:sz w:val="20"/>
          <w:szCs w:val="20"/>
          <w:color w:val="auto"/>
        </w:rPr>
      </w:pPr>
    </w:p>
    <w:p>
      <w:pPr>
        <w:ind w:right="280" w:firstLine="913"/>
        <w:spacing w:after="0" w:line="277" w:lineRule="auto"/>
        <w:rPr>
          <w:sz w:val="20"/>
          <w:szCs w:val="20"/>
          <w:color w:val="auto"/>
        </w:rPr>
      </w:pPr>
      <w:r>
        <w:rPr>
          <w:rFonts w:ascii="Arial" w:cs="Arial" w:eastAsia="Arial" w:hAnsi="Arial"/>
          <w:sz w:val="18"/>
          <w:szCs w:val="18"/>
          <w:color w:val="auto"/>
        </w:rPr>
        <w:t>On March 28, 2012, our wholly-owned subsidiary, Saratoga Investment Corp. SBIC, LP (“SBIC LP”), received a Small Business Investment Company (“SBIC”) license from the Small Business Administration (“SBA”).</w:t>
      </w:r>
    </w:p>
    <w:p>
      <w:pPr>
        <w:spacing w:after="0" w:line="170" w:lineRule="exact"/>
        <w:rPr>
          <w:sz w:val="20"/>
          <w:szCs w:val="20"/>
          <w:color w:val="auto"/>
        </w:rPr>
      </w:pPr>
    </w:p>
    <w:p>
      <w:pPr>
        <w:ind w:right="160" w:firstLine="913"/>
        <w:spacing w:after="0" w:line="257" w:lineRule="auto"/>
        <w:rPr>
          <w:sz w:val="20"/>
          <w:szCs w:val="20"/>
          <w:color w:val="auto"/>
        </w:rPr>
      </w:pPr>
      <w:r>
        <w:rPr>
          <w:rFonts w:ascii="Arial" w:cs="Arial" w:eastAsia="Arial" w:hAnsi="Arial"/>
          <w:sz w:val="18"/>
          <w:szCs w:val="18"/>
          <w:color w:val="auto"/>
        </w:rPr>
        <w:t>The accompanying consolidated financial statements have been prepared on the accrual basis of accounting in conformity with U.S. generally accepted accounting principles (“U.S. GAAP”) and include the accounts of the Company its special purpose financing subsidiary, Saratoga Investment Funding, LLC (previously known as GSC Investment Funding LLC) and SBIC LP. All intercompany accounts and transactions have been eliminated in consolidation. All references made to the “Company,” “we,” and “us” herein include Saratoga Investment Corp. and its consolidated subsidiaries, except as stated otherwise.</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in the Preparation of Financial Statements</w:t>
      </w:r>
    </w:p>
    <w:p>
      <w:pPr>
        <w:spacing w:after="0" w:line="121" w:lineRule="exact"/>
        <w:rPr>
          <w:sz w:val="20"/>
          <w:szCs w:val="20"/>
          <w:color w:val="auto"/>
        </w:rPr>
      </w:pPr>
    </w:p>
    <w:p>
      <w:pPr>
        <w:ind w:right="80" w:firstLine="913"/>
        <w:spacing w:after="0" w:line="312" w:lineRule="auto"/>
        <w:rPr>
          <w:sz w:val="20"/>
          <w:szCs w:val="20"/>
          <w:color w:val="auto"/>
        </w:rPr>
      </w:pPr>
      <w:r>
        <w:rPr>
          <w:rFonts w:ascii="Arial" w:cs="Arial" w:eastAsia="Arial" w:hAnsi="Arial"/>
          <w:sz w:val="16"/>
          <w:szCs w:val="16"/>
          <w:color w:val="auto"/>
        </w:rPr>
        <w:t>The preparation of the accompanying consolidated financial statements in conformity with U.S. GAAP requires management to make estimates and assumptions that affect the reported amounts of assets and liabilities, and disclosure of contingent assets and liabilities at the date of the financial statements, and income, gains (losses) and expenses during the period reported. Actual results could differ materially from those estimates.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121" w:lineRule="exact"/>
        <w:rPr>
          <w:sz w:val="20"/>
          <w:szCs w:val="20"/>
          <w:color w:val="auto"/>
        </w:rPr>
      </w:pPr>
    </w:p>
    <w:p>
      <w:pPr>
        <w:jc w:val="both"/>
        <w:ind w:right="200" w:firstLine="913"/>
        <w:spacing w:after="0" w:line="264" w:lineRule="auto"/>
        <w:rPr>
          <w:sz w:val="20"/>
          <w:szCs w:val="20"/>
          <w:color w:val="auto"/>
        </w:rPr>
      </w:pPr>
      <w:r>
        <w:rPr>
          <w:rFonts w:ascii="Arial" w:cs="Arial" w:eastAsia="Arial" w:hAnsi="Arial"/>
          <w:sz w:val="18"/>
          <w:szCs w:val="18"/>
          <w:color w:val="auto"/>
        </w:rPr>
        <w:t>Cash and cash equivalents include short-term, liquid investments in a money market fund. Cash and cash equivalents are carried at cost which approximates fair value. Per section 12(d)(1)(A) of the 1940 Act, the Company may not invest in another registered investment company such as, a money market fund if such investment would cause the Company to exceed any of the following limitations:</w:t>
      </w:r>
    </w:p>
    <w:p>
      <w:pPr>
        <w:spacing w:after="0" w:line="87" w:lineRule="exact"/>
        <w:rPr>
          <w:sz w:val="20"/>
          <w:szCs w:val="20"/>
          <w:color w:val="auto"/>
        </w:rPr>
      </w:pPr>
    </w:p>
    <w:p>
      <w:pPr>
        <w:ind w:left="5620" w:right="2960" w:hanging="4707"/>
        <w:spacing w:after="0" w:line="449" w:lineRule="auto"/>
        <w:tabs>
          <w:tab w:leader="none" w:pos="1463"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were to own more than 3.0% of the total outstanding voting stock of the money market fund; 13</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were to hold securities in the money market fund having an aggregate value in excess of 5.0% of the value of our total assets; or</w:t>
      </w:r>
    </w:p>
    <w:p>
      <w:pPr>
        <w:spacing w:after="0" w:line="142" w:lineRule="exact"/>
        <w:rPr>
          <w:rFonts w:ascii="Arial" w:cs="Arial" w:eastAsia="Arial" w:hAnsi="Arial"/>
          <w:sz w:val="17"/>
          <w:szCs w:val="17"/>
          <w:color w:val="auto"/>
        </w:rPr>
      </w:pPr>
    </w:p>
    <w:p>
      <w:pPr>
        <w:ind w:left="1460" w:right="320" w:hanging="547"/>
        <w:spacing w:after="0" w:line="277" w:lineRule="auto"/>
        <w:tabs>
          <w:tab w:leader="none" w:pos="1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were to hold securities in money market funds and other registered investment companies and BDCs having an aggregate value in excess of 10.0% of the value of our total assets.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Reserve Accounts</w:t>
      </w:r>
    </w:p>
    <w:p>
      <w:pPr>
        <w:spacing w:after="0" w:line="121" w:lineRule="exact"/>
        <w:rPr>
          <w:sz w:val="20"/>
          <w:szCs w:val="20"/>
          <w:color w:val="auto"/>
        </w:rPr>
      </w:pPr>
    </w:p>
    <w:p>
      <w:pPr>
        <w:ind w:right="260" w:firstLine="913"/>
        <w:spacing w:after="0" w:line="279" w:lineRule="auto"/>
        <w:rPr>
          <w:sz w:val="20"/>
          <w:szCs w:val="20"/>
          <w:color w:val="auto"/>
        </w:rPr>
      </w:pPr>
      <w:r>
        <w:rPr>
          <w:rFonts w:ascii="Arial" w:cs="Arial" w:eastAsia="Arial" w:hAnsi="Arial"/>
          <w:sz w:val="17"/>
          <w:szCs w:val="17"/>
          <w:color w:val="auto"/>
        </w:rPr>
        <w:t>Cash and cash equivalents, reserve accounts include amounts held in designated bank accounts in the form of cash and short-term liquid investments in money market funds representing payments received on secured investments or other reserved amounts associated with our $45.0 million senior secured revolving credit facility with Madison Capital Funding LLC. The Company is required to use these amounts to pay interest expense, reduce borrowings, or pay other amounts in accordance with the terms of the senior secured revolving credit facility.</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Classification</w:t>
      </w:r>
    </w:p>
    <w:p>
      <w:pPr>
        <w:spacing w:after="0" w:line="121" w:lineRule="exact"/>
        <w:rPr>
          <w:sz w:val="20"/>
          <w:szCs w:val="20"/>
          <w:color w:val="auto"/>
        </w:rPr>
      </w:pPr>
    </w:p>
    <w:p>
      <w:pPr>
        <w:ind w:right="200" w:firstLine="913"/>
        <w:spacing w:after="0" w:line="257" w:lineRule="auto"/>
        <w:rPr>
          <w:sz w:val="20"/>
          <w:szCs w:val="20"/>
          <w:color w:val="auto"/>
        </w:rPr>
      </w:pPr>
      <w:r>
        <w:rPr>
          <w:rFonts w:ascii="Arial" w:cs="Arial" w:eastAsia="Arial" w:hAnsi="Arial"/>
          <w:sz w:val="18"/>
          <w:szCs w:val="18"/>
          <w:color w:val="auto"/>
        </w:rPr>
        <w:t>The Company classifies its investments in accordance with the requirements of the 1940 Act. Under the 1940 Act, “Control Investments” are defined as investments in companies in which we own more than 25.0% of the voting securities or maintain greater than 50.0% of the board representation. Under the 1940 Act, “Affiliated Investments” are defined as those non-control investments in companies in which we own between 5.0% and 25.0% of the voting securities. Under the 1940 Act, “Non-affiliated Investments” are defined as investments that are neither Control Investments nor Affiliated Investments.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Valuation</w:t>
      </w:r>
    </w:p>
    <w:p>
      <w:pPr>
        <w:spacing w:after="0" w:line="121"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 xml:space="preserve">The Company accounts for its investments at fair value in accordance with the Financial Accounting Standards Board (“FASB”) Accounting Standards Codification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 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statement of assets and liabilities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89"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color w:val="auto"/>
        </w:rPr>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our Manager, the audit committee of our board of directors and a third party independent valuation firm. Determinations of fair value may involve subjective 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w:t>
      </w:r>
    </w:p>
    <w:p>
      <w:pPr>
        <w:spacing w:after="0" w:line="167"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We undertake a multi-step valuation process each quarter when valuing investments for which market quotations are not readily available, as described below:</w:t>
      </w:r>
    </w:p>
    <w:p>
      <w:pPr>
        <w:spacing w:after="0" w:line="76" w:lineRule="exact"/>
        <w:rPr>
          <w:sz w:val="20"/>
          <w:szCs w:val="20"/>
          <w:color w:val="auto"/>
        </w:rPr>
      </w:pPr>
    </w:p>
    <w:p>
      <w:pPr>
        <w:ind w:left="1460" w:right="40" w:hanging="547"/>
        <w:spacing w:after="0" w:line="277" w:lineRule="auto"/>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Each investment is initially valued by the responsible investment professionals of our Manager and preliminary valuation conclusions are documented and discussed with the senior management of our Manager; and</w:t>
      </w:r>
    </w:p>
    <w:p>
      <w:pPr>
        <w:spacing w:after="0" w:line="75" w:lineRule="exact"/>
        <w:rPr>
          <w:rFonts w:ascii="Arial" w:cs="Arial" w:eastAsia="Arial" w:hAnsi="Arial"/>
          <w:sz w:val="18"/>
          <w:szCs w:val="18"/>
          <w:color w:val="auto"/>
        </w:rPr>
      </w:pPr>
    </w:p>
    <w:p>
      <w:pPr>
        <w:ind w:left="1460" w:right="40" w:hanging="547"/>
        <w:spacing w:after="0" w:line="264" w:lineRule="auto"/>
        <w:tabs>
          <w:tab w:leader="none" w:pos="1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reviews approximately one quarter of these preliminary valuations each quarter so that the valuation of each investment for which market quotes are not readily available is reviewed by the independent valuation firm at least annually.</w:t>
      </w:r>
    </w:p>
    <w:p>
      <w:pPr>
        <w:spacing w:after="0" w:line="7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131" w:lineRule="exact"/>
        <w:rPr>
          <w:sz w:val="20"/>
          <w:szCs w:val="20"/>
          <w:color w:val="auto"/>
        </w:rPr>
      </w:pPr>
    </w:p>
    <w:p>
      <w:pPr>
        <w:ind w:left="1460" w:right="280" w:hanging="547"/>
        <w:spacing w:after="0" w:line="308" w:lineRule="auto"/>
        <w:tabs>
          <w:tab w:leader="none" w:pos="1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audit committee of our board of directors reviews each preliminary valuation and our Manager and independent valuation firm (if applicable) will supplement the preliminary valuation to reflect any comments provided by the audit committee;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280" w:hanging="547"/>
        <w:spacing w:after="0" w:line="308" w:lineRule="auto"/>
        <w:tabs>
          <w:tab w:leader="none" w:pos="14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board of directors discusses the valuations and approves the fair value of each investment, in good faith, based on the input of our Manager, independent valuation firm (to the extent applicable) and the audit committee of our board of directors.</w:t>
      </w:r>
    </w:p>
    <w:p>
      <w:pPr>
        <w:spacing w:after="0" w:line="147" w:lineRule="exact"/>
        <w:rPr>
          <w:sz w:val="20"/>
          <w:szCs w:val="20"/>
          <w:color w:val="auto"/>
        </w:rPr>
      </w:pPr>
    </w:p>
    <w:p>
      <w:pPr>
        <w:ind w:right="160" w:firstLine="913"/>
        <w:spacing w:after="0" w:line="290" w:lineRule="auto"/>
        <w:rPr>
          <w:sz w:val="20"/>
          <w:szCs w:val="20"/>
          <w:color w:val="auto"/>
        </w:rPr>
      </w:pPr>
      <w:r>
        <w:rPr>
          <w:rFonts w:ascii="Arial" w:cs="Arial" w:eastAsia="Arial" w:hAnsi="Arial"/>
          <w:sz w:val="16"/>
          <w:szCs w:val="16"/>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our Manager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flows analysis on expected future cash flows to determine a valuation for our investment in Saratoga CLO.</w:t>
      </w:r>
    </w:p>
    <w:p>
      <w:pPr>
        <w:spacing w:after="0" w:line="166"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Because such valuations, and particularly valuations of private investments and private companies, are inherently uncertain, they may fluctuate over short periods of time and may be based on estimates. The determination of fair value may differ materially from the values that would have been used if a ready market for these investments existed. Our net asset value could be materially affected if the determinations regarding the fair value of our investments were materially higher or lower than the values that we ultimately realize upon the disposal of such investments.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 Transactions and Income Recognition</w:t>
      </w:r>
    </w:p>
    <w:p>
      <w:pPr>
        <w:spacing w:after="0" w:line="121" w:lineRule="exact"/>
        <w:rPr>
          <w:sz w:val="20"/>
          <w:szCs w:val="20"/>
          <w:color w:val="auto"/>
        </w:rPr>
      </w:pPr>
    </w:p>
    <w:p>
      <w:pPr>
        <w:ind w:firstLine="913"/>
        <w:spacing w:after="0" w:line="276" w:lineRule="auto"/>
        <w:rPr>
          <w:sz w:val="20"/>
          <w:szCs w:val="20"/>
          <w:color w:val="auto"/>
        </w:rPr>
      </w:pPr>
      <w:r>
        <w:rPr>
          <w:rFonts w:ascii="Arial" w:cs="Arial" w:eastAsia="Arial" w:hAnsi="Arial"/>
          <w:sz w:val="17"/>
          <w:szCs w:val="17"/>
          <w:color w:val="auto"/>
        </w:rPr>
        <w:t>Purchases and sales of investments and the related realized gains or losses are recorded on a trade-date basis. Interest income, adjusted for amortization of premium and accretion of discount, is recorded on an accrual basis to the extent that such amounts are expected to be collected. The Company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amortizations of premium on investments.</w:t>
      </w:r>
    </w:p>
    <w:p>
      <w:pPr>
        <w:spacing w:after="0" w:line="173"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88" w:lineRule="exact"/>
        <w:rPr>
          <w:sz w:val="20"/>
          <w:szCs w:val="20"/>
          <w:color w:val="auto"/>
        </w:rPr>
      </w:pPr>
    </w:p>
    <w:p>
      <w:pPr>
        <w:ind w:right="60" w:firstLine="913"/>
        <w:spacing w:after="0" w:line="257" w:lineRule="auto"/>
        <w:rPr>
          <w:sz w:val="20"/>
          <w:szCs w:val="20"/>
          <w:color w:val="auto"/>
        </w:rPr>
      </w:pPr>
      <w:r>
        <w:rPr>
          <w:rFonts w:ascii="Arial" w:cs="Arial" w:eastAsia="Arial" w:hAnsi="Arial"/>
          <w:sz w:val="18"/>
          <w:szCs w:val="18"/>
          <w:color w:val="auto"/>
        </w:rPr>
        <w:t xml:space="preserve">Interest income on our investment in Saratoga CLO is recorded using the effective interest method in accordance with the provisions of ASC Topic 325-40, </w:t>
      </w:r>
      <w:r>
        <w:rPr>
          <w:rFonts w:ascii="Arial" w:cs="Arial" w:eastAsia="Arial" w:hAnsi="Arial"/>
          <w:sz w:val="18"/>
          <w:szCs w:val="18"/>
          <w:i w:val="1"/>
          <w:iCs w:val="1"/>
          <w:color w:val="auto"/>
        </w:rPr>
        <w:t>Investments-Other, Beneficial Interests in Securitized Financial Assets</w:t>
      </w:r>
      <w:r>
        <w:rPr>
          <w:rFonts w:ascii="Arial" w:cs="Arial" w:eastAsia="Arial" w:hAnsi="Arial"/>
          <w:sz w:val="18"/>
          <w:szCs w:val="18"/>
          <w:color w:val="auto"/>
        </w:rPr>
        <w:t>, (“ASC 325-40”),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Paid-in-Kind Interest</w:t>
      </w:r>
    </w:p>
    <w:p>
      <w:pPr>
        <w:spacing w:after="0" w:line="12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Debt Financing Costs</w:t>
      </w:r>
    </w:p>
    <w:p>
      <w:pPr>
        <w:spacing w:after="0" w:line="121" w:lineRule="exact"/>
        <w:rPr>
          <w:sz w:val="20"/>
          <w:szCs w:val="20"/>
          <w:color w:val="auto"/>
        </w:rPr>
      </w:pPr>
    </w:p>
    <w:p>
      <w:pPr>
        <w:ind w:firstLine="913"/>
        <w:spacing w:after="0" w:line="264" w:lineRule="auto"/>
        <w:rPr>
          <w:sz w:val="20"/>
          <w:szCs w:val="20"/>
          <w:color w:val="auto"/>
        </w:rPr>
      </w:pPr>
      <w:r>
        <w:rPr>
          <w:rFonts w:ascii="Arial" w:cs="Arial" w:eastAsia="Arial" w:hAnsi="Arial"/>
          <w:sz w:val="18"/>
          <w:szCs w:val="18"/>
          <w:color w:val="auto"/>
        </w:rPr>
        <w:t>Financing costs incurred in connection with our credit facility are deferred and amortized using the straight line method over the life of their respective facilities. Financing costs incurred in connection with our SBA debentures are deferred and amortized using the effective yield method over the life of the debentures.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121"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In the ordinary course of its business, the Company may enter into contracts or agreements that contain indemnifications or warranties. Future events could occur that lead to the execution of these provisions against the Company. Based on its history and experience, management feels that the likelihood of such an event is remote.</w:t>
      </w:r>
    </w:p>
    <w:p>
      <w:pPr>
        <w:spacing w:after="0" w:line="181" w:lineRule="exact"/>
        <w:rPr>
          <w:sz w:val="20"/>
          <w:szCs w:val="20"/>
          <w:color w:val="auto"/>
        </w:rPr>
      </w:pPr>
    </w:p>
    <w:p>
      <w:pPr>
        <w:ind w:right="100" w:firstLine="913"/>
        <w:spacing w:after="0" w:line="264" w:lineRule="auto"/>
        <w:rPr>
          <w:sz w:val="20"/>
          <w:szCs w:val="20"/>
          <w:color w:val="auto"/>
        </w:rPr>
      </w:pPr>
      <w:r>
        <w:rPr>
          <w:rFonts w:ascii="Arial" w:cs="Arial" w:eastAsia="Arial" w:hAnsi="Arial"/>
          <w:sz w:val="18"/>
          <w:szCs w:val="18"/>
          <w:color w:val="auto"/>
        </w:rPr>
        <w:t>In the ordinary course of business, the Company may directly or indirectly be a defendant or plaintiff in legal actions with respect to bankruptcy, insolvency or other types of proceedings. Such lawsuits may involve claims that could adversely affect the value of certain financial instruments owned by the Company.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jc w:val="both"/>
        <w:ind w:right="120" w:firstLine="913"/>
        <w:spacing w:after="0" w:line="264" w:lineRule="auto"/>
        <w:rPr>
          <w:sz w:val="20"/>
          <w:szCs w:val="20"/>
          <w:color w:val="auto"/>
        </w:rPr>
      </w:pPr>
      <w:r>
        <w:rPr>
          <w:rFonts w:ascii="Arial" w:cs="Arial" w:eastAsia="Arial" w:hAnsi="Arial"/>
          <w:sz w:val="18"/>
          <w:szCs w:val="18"/>
          <w:color w:val="auto"/>
        </w:rPr>
        <w:t>The Company has filed an election to be treated for tax purposes as a RIC under Subchapter M of the Code and, among other things, intends to make the requisite distributions to its stockholders which will relieve the Company from federal income taxes. Therefore, no provision has been recorded for federal income taxes.</w:t>
      </w:r>
    </w:p>
    <w:p>
      <w:pPr>
        <w:spacing w:after="0" w:line="18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In order to qualify as a RIC, among other requirements, the Company is required to timely distribute to its stockholders at least 90.0% of its investment company taxable income, as defined by the Code, for each fiscal tax year. The Company will be subject to a nondeductible U.S. federal excise tax of 4.0% on undistributed income if it does not distribute at least 98.0% of its ordinary income in any calendar year and 98.2% of its capital gain net income for each one-year period ending on October 31.</w:t>
      </w:r>
    </w:p>
    <w:p>
      <w:pPr>
        <w:spacing w:after="0" w:line="187" w:lineRule="exact"/>
        <w:rPr>
          <w:sz w:val="20"/>
          <w:szCs w:val="20"/>
          <w:color w:val="auto"/>
        </w:rPr>
      </w:pPr>
    </w:p>
    <w:p>
      <w:pPr>
        <w:ind w:right="120" w:firstLine="913"/>
        <w:spacing w:after="0" w:line="279" w:lineRule="auto"/>
        <w:rPr>
          <w:sz w:val="20"/>
          <w:szCs w:val="20"/>
          <w:color w:val="auto"/>
        </w:rPr>
      </w:pPr>
      <w:r>
        <w:rPr>
          <w:rFonts w:ascii="Arial" w:cs="Arial" w:eastAsia="Arial" w:hAnsi="Arial"/>
          <w:sz w:val="17"/>
          <w:szCs w:val="17"/>
          <w:color w:val="auto"/>
        </w:rPr>
        <w:t>Depending on the level of taxable income earned in a tax year, the Company may choose to carry forward taxable income in excess of current year dividend distributions into the next tax year and pay a 4.0% excise tax on such income, as required. To the extent that the Company determines that its estimated current year annual taxable income will be in excess of estimated current year dividend distributions for excise tax purposes, the Company accrues excise tax, if any, on estimated excess taxable income as taxable income is earned.</w:t>
      </w:r>
    </w:p>
    <w:p>
      <w:pPr>
        <w:spacing w:after="0" w:line="171" w:lineRule="exact"/>
        <w:rPr>
          <w:sz w:val="20"/>
          <w:szCs w:val="20"/>
          <w:color w:val="auto"/>
        </w:rPr>
      </w:pPr>
    </w:p>
    <w:p>
      <w:pPr>
        <w:ind w:firstLine="913"/>
        <w:spacing w:after="0" w:line="272" w:lineRule="auto"/>
        <w:rPr>
          <w:sz w:val="20"/>
          <w:szCs w:val="20"/>
          <w:color w:val="auto"/>
        </w:rPr>
      </w:pPr>
      <w:r>
        <w:rPr>
          <w:rFonts w:ascii="Arial" w:cs="Arial" w:eastAsia="Arial" w:hAnsi="Arial"/>
          <w:sz w:val="17"/>
          <w:szCs w:val="17"/>
          <w:color w:val="auto"/>
        </w:rPr>
        <w:t>In accordance with certain applicable Treasury regulations and private letter rulings issued by the Internal Revenue Service,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20.0% of the aggregate declared distribution. If too many stockholders elect to receive cash, each stockholder electing to receive cash will receive a pro rata amount of cash (with the balance of the distribution paid in stock). In no event will any stockholder, electing to receive cash, receive less than 20.0% of his or her entire distribution in cash. If these and certain other requirements are met, for U.S federal income tax purposes, the amount of the dividend paid in stock will be equal to the amount of cash that could have been received instead of stock.</w:t>
      </w:r>
    </w:p>
    <w:p>
      <w:pPr>
        <w:spacing w:after="0" w:line="178"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 xml:space="preserve">ASC 740, </w:t>
      </w:r>
      <w:r>
        <w:rPr>
          <w:rFonts w:ascii="Arial" w:cs="Arial" w:eastAsia="Arial" w:hAnsi="Arial"/>
          <w:sz w:val="18"/>
          <w:szCs w:val="18"/>
          <w:i w:val="1"/>
          <w:iCs w:val="1"/>
          <w:color w:val="auto"/>
        </w:rPr>
        <w:t>Income Taxes</w:t>
      </w:r>
      <w:r>
        <w:rPr>
          <w:rFonts w:ascii="Arial" w:cs="Arial" w:eastAsia="Arial" w:hAnsi="Arial"/>
          <w:sz w:val="18"/>
          <w:szCs w:val="18"/>
          <w:color w:val="auto"/>
        </w:rPr>
        <w:t>, (“ASC 740”), provides guidance for how uncertain tax positions should be recognized, measured, presented and disclosed in the financial statements. ASC 740 requires the evaluation of tax positions taken or expected to be taken in the course of preparing the Company’s tax returns to determine whether the tax positions are “more-likely-than-not” of being sustained by the applicable tax authority. Tax positions deemed to meet a “more-likely-than-not” threshold would be recorded as a tax benefit or expense in the current period. The Company recognizes interest and penalties, if any, related to unrecognized tax benefits as income tax expense in the consolidated statements of operations. During the fiscal year ended February 28, 2014, the Company did not incur any interest or penalties. Although we file federal and state tax returns, our major tax jurisdiction is federal. The 2011, 2012 and 2013 federal tax years for the Company remain subject to examination by the IRS. As of August 31, 2014 and February 28, 2014, there were no uncertain tax positions.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21" w:lineRule="exact"/>
        <w:rPr>
          <w:sz w:val="20"/>
          <w:szCs w:val="20"/>
          <w:color w:val="auto"/>
        </w:rPr>
      </w:pPr>
    </w:p>
    <w:p>
      <w:pPr>
        <w:ind w:right="120" w:firstLine="913"/>
        <w:spacing w:after="0" w:line="342" w:lineRule="auto"/>
        <w:rPr>
          <w:sz w:val="20"/>
          <w:szCs w:val="20"/>
          <w:color w:val="auto"/>
        </w:rPr>
      </w:pPr>
      <w:r>
        <w:rPr>
          <w:rFonts w:ascii="Arial" w:cs="Arial" w:eastAsia="Arial" w:hAnsi="Arial"/>
          <w:sz w:val="16"/>
          <w:szCs w:val="16"/>
          <w:color w:val="auto"/>
        </w:rPr>
        <w:t>Dividends to common stockholders are recorded on the ex-dividend date. The amount to be paid out as a dividend is determined by the board of directors. Net realized capital gains, if any, are generally distributed at least annually, although we may decide to retain such capital gains for reinvestment.</w:t>
      </w:r>
    </w:p>
    <w:p>
      <w:pPr>
        <w:spacing w:after="0" w:line="124" w:lineRule="exact"/>
        <w:rPr>
          <w:sz w:val="20"/>
          <w:szCs w:val="20"/>
          <w:color w:val="auto"/>
        </w:rPr>
      </w:pPr>
    </w:p>
    <w:p>
      <w:pPr>
        <w:ind w:right="80" w:firstLine="913"/>
        <w:spacing w:after="0" w:line="276" w:lineRule="auto"/>
        <w:rPr>
          <w:sz w:val="20"/>
          <w:szCs w:val="20"/>
          <w:color w:val="auto"/>
        </w:rPr>
      </w:pPr>
      <w:r>
        <w:rPr>
          <w:rFonts w:ascii="Arial" w:cs="Arial" w:eastAsia="Arial" w:hAnsi="Arial"/>
          <w:sz w:val="17"/>
          <w:szCs w:val="17"/>
          <w:color w:val="auto"/>
        </w:rPr>
        <w:t>We have adopted a dividend reinvestment plan (“DRIP”) that provides for reinvestment of our dividend distributions on behalf of our stockholders unless a stockholder elects to receive cash. As a result, if our board of directors authorizes, and we declare, a cash dividend, then our stockholders who have not “opted out” of our dividend reinvestment plan will have their cash dividends automatically reinvested in additional shares of our common stock, rather than receiving the cash dividends. We have the option to satisfy the share requirements of the DRIP through the issuance of new shares of common stock or through open market purchases of common stock by the DRIP plan administrator.</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Gains Incentive Fee</w:t>
      </w:r>
    </w:p>
    <w:p>
      <w:pPr>
        <w:spacing w:after="0" w:line="121" w:lineRule="exact"/>
        <w:rPr>
          <w:sz w:val="20"/>
          <w:szCs w:val="20"/>
          <w:color w:val="auto"/>
        </w:rPr>
      </w:pPr>
    </w:p>
    <w:p>
      <w:pPr>
        <w:ind w:right="60" w:firstLine="913"/>
        <w:spacing w:after="0" w:line="276" w:lineRule="auto"/>
        <w:rPr>
          <w:sz w:val="20"/>
          <w:szCs w:val="20"/>
          <w:color w:val="auto"/>
        </w:rPr>
      </w:pPr>
      <w:r>
        <w:rPr>
          <w:rFonts w:ascii="Arial" w:cs="Arial" w:eastAsia="Arial" w:hAnsi="Arial"/>
          <w:sz w:val="17"/>
          <w:szCs w:val="17"/>
          <w:color w:val="auto"/>
        </w:rPr>
        <w:t>The Company records an expense accrual on the consolidated statements of operations, relating to the capital gains incentive fee payable on the consolidated statements of assets and liabilities, by the Company to its investment adviser when the unrealized gains on its investments exceed all realized capital losses on its investments given the fact that a capital gains incentive fee would be owed to the investment adviser if the Company were to liquidate its investment portfolio at such time. The actual incentive fee payable to the Company’s investment adviser related to capital gains will be determined and payable in arrears at the end of each fiscal year and will include only realized capital gains for the period.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 xml:space="preserve">In June 2014, the FASB issued ASU 2014-11, </w:t>
      </w:r>
      <w:r>
        <w:rPr>
          <w:rFonts w:ascii="Arial" w:cs="Arial" w:eastAsia="Arial" w:hAnsi="Arial"/>
          <w:sz w:val="17"/>
          <w:szCs w:val="17"/>
          <w:i w:val="1"/>
          <w:iCs w:val="1"/>
          <w:color w:val="auto"/>
        </w:rPr>
        <w:t>Repurchase-to-Maturity Transactions, Repurchase Financings, and Disclosures,</w:t>
      </w:r>
      <w:r>
        <w:rPr>
          <w:rFonts w:ascii="Arial" w:cs="Arial" w:eastAsia="Arial" w:hAnsi="Arial"/>
          <w:sz w:val="17"/>
          <w:szCs w:val="17"/>
          <w:color w:val="auto"/>
        </w:rPr>
        <w:t xml:space="preserve"> (“ASU 2014-11”). ASU 2014-11 makes limited changes to the accounting for repurchase agreements, clarifies when repurchase agreements and securities lending transactions should be accounted for as secured borrowings, and requires additional disclosures regarding these types of transactions. The guidance is effective for fiscal years beginning on or after December 15, 2014, and for interim periods within those fiscal years. Management is currently evaluating the impact these changes will have on the Company’s consolidated financial statement disclosures.</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121" w:lineRule="exact"/>
        <w:rPr>
          <w:sz w:val="20"/>
          <w:szCs w:val="20"/>
          <w:color w:val="auto"/>
        </w:rPr>
      </w:pPr>
    </w:p>
    <w:p>
      <w:pPr>
        <w:jc w:val="both"/>
        <w:ind w:right="220" w:firstLine="913"/>
        <w:spacing w:after="0" w:line="264" w:lineRule="auto"/>
        <w:rPr>
          <w:sz w:val="20"/>
          <w:szCs w:val="20"/>
          <w:color w:val="auto"/>
        </w:rPr>
      </w:pPr>
      <w:r>
        <w:rPr>
          <w:rFonts w:ascii="Arial" w:cs="Arial" w:eastAsia="Arial" w:hAnsi="Arial"/>
          <w:sz w:val="18"/>
          <w:szCs w:val="18"/>
          <w:color w:val="auto"/>
        </w:rPr>
        <w:t>In the ordinary course of its business, the Company manages a variety of risks, including market risk and credit risk. Market risk is the risk of potential adverse changes to the value of investments because of changes in market conditions such as interest rate movements and volatility in investment prices.</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Credit risk is the risk of default or non-performance by portfolio companies, equivalent to the investment’s carrying amount.</w:t>
      </w:r>
    </w:p>
    <w:p>
      <w:pPr>
        <w:spacing w:after="0" w:line="225" w:lineRule="exact"/>
        <w:rPr>
          <w:sz w:val="20"/>
          <w:szCs w:val="20"/>
          <w:color w:val="auto"/>
        </w:rPr>
      </w:pPr>
    </w:p>
    <w:p>
      <w:pPr>
        <w:jc w:val="both"/>
        <w:ind w:right="220" w:firstLine="913"/>
        <w:spacing w:after="0" w:line="277" w:lineRule="auto"/>
        <w:rPr>
          <w:sz w:val="20"/>
          <w:szCs w:val="20"/>
          <w:color w:val="auto"/>
        </w:rPr>
      </w:pPr>
      <w:r>
        <w:rPr>
          <w:rFonts w:ascii="Arial" w:cs="Arial" w:eastAsia="Arial" w:hAnsi="Arial"/>
          <w:sz w:val="18"/>
          <w:szCs w:val="18"/>
          <w:color w:val="auto"/>
        </w:rPr>
        <w:t>The Company is also exposed to credit risk related to maintaining all of its cash and cash equivalents, including those in reserve accounts, at a major financial institution and credit risk related to any of its derivative counterparties.</w:t>
      </w:r>
    </w:p>
    <w:p>
      <w:pPr>
        <w:spacing w:after="0" w:line="170" w:lineRule="exact"/>
        <w:rPr>
          <w:sz w:val="20"/>
          <w:szCs w:val="20"/>
          <w:color w:val="auto"/>
        </w:rPr>
      </w:pPr>
    </w:p>
    <w:p>
      <w:pPr>
        <w:ind w:right="220" w:firstLine="913"/>
        <w:spacing w:after="0" w:line="286" w:lineRule="auto"/>
        <w:rPr>
          <w:sz w:val="20"/>
          <w:szCs w:val="20"/>
          <w:color w:val="auto"/>
        </w:rPr>
      </w:pPr>
      <w:r>
        <w:rPr>
          <w:rFonts w:ascii="Arial" w:cs="Arial" w:eastAsia="Arial" w:hAnsi="Arial"/>
          <w:sz w:val="17"/>
          <w:szCs w:val="17"/>
          <w:color w:val="auto"/>
        </w:rPr>
        <w:t>The Company has investments in lower rated and comparable quality unrated high yield bonds and bank loans. Investments in high yield investments are accompanied by a greater degree of credit risk. The risk of loss due to default by the issuer is significantly greater for holders of high yield securities, because such investments are generally unsecured and are often subordinated to other creditors of the issuer.</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Investments</w:t>
      </w:r>
    </w:p>
    <w:p>
      <w:pPr>
        <w:spacing w:after="0" w:line="121" w:lineRule="exact"/>
        <w:rPr>
          <w:sz w:val="20"/>
          <w:szCs w:val="20"/>
          <w:color w:val="auto"/>
        </w:rPr>
      </w:pPr>
    </w:p>
    <w:p>
      <w:pPr>
        <w:ind w:right="60" w:firstLine="913"/>
        <w:spacing w:after="0" w:line="264" w:lineRule="auto"/>
        <w:rPr>
          <w:sz w:val="20"/>
          <w:szCs w:val="20"/>
          <w:color w:val="auto"/>
        </w:rPr>
      </w:pPr>
      <w:r>
        <w:rPr>
          <w:rFonts w:ascii="Arial" w:cs="Arial" w:eastAsia="Arial" w:hAnsi="Arial"/>
          <w:sz w:val="18"/>
          <w:szCs w:val="18"/>
          <w:color w:val="auto"/>
        </w:rPr>
        <w:t>As noted above, the Company values all investments in accordance with ASC 820. ASC 820 requires enhanced disclosures about assets and liabilities that are measured and reported at fair value. As defined in ASC 820, fair value is the price that would be received to sell an asset or paid to transfer a liability in an orderly transaction between market participants at the measurement date.</w:t>
      </w:r>
    </w:p>
    <w:p>
      <w:pPr>
        <w:spacing w:after="0" w:line="181" w:lineRule="exact"/>
        <w:rPr>
          <w:sz w:val="20"/>
          <w:szCs w:val="20"/>
          <w:color w:val="auto"/>
        </w:rPr>
      </w:pPr>
    </w:p>
    <w:p>
      <w:pPr>
        <w:ind w:right="280" w:firstLine="913"/>
        <w:spacing w:after="0" w:line="302" w:lineRule="auto"/>
        <w:rPr>
          <w:sz w:val="20"/>
          <w:szCs w:val="20"/>
          <w:color w:val="auto"/>
        </w:rPr>
      </w:pPr>
      <w:r>
        <w:rPr>
          <w:rFonts w:ascii="Arial" w:cs="Arial" w:eastAsia="Arial" w:hAnsi="Arial"/>
          <w:sz w:val="16"/>
          <w:szCs w:val="16"/>
          <w:color w:val="auto"/>
        </w:rPr>
        <w:t>ASC 820 establishes a hierarchal disclosure framework which prioritizes and ranks the level of market price observability of inputs used in measuring investments at fair value.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w:t>
      </w:r>
    </w:p>
    <w:p>
      <w:pPr>
        <w:spacing w:after="0" w:line="154"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Based on the observability of the inputs used in the valuation techniques, the Company is required to provide disclosures on fair value measurements according to the fair value hierarchy. The fair value hierarchy ranks the observability of the inputs used to determine fair values. Investments carried at fair value are classified and disclosed in one of the following three categories:</w:t>
      </w:r>
    </w:p>
    <w:p>
      <w:pPr>
        <w:spacing w:after="0" w:line="87" w:lineRule="exact"/>
        <w:rPr>
          <w:sz w:val="20"/>
          <w:szCs w:val="20"/>
          <w:color w:val="auto"/>
        </w:rPr>
      </w:pPr>
    </w:p>
    <w:p>
      <w:pPr>
        <w:ind w:left="1460" w:hanging="547"/>
        <w:spacing w:after="0"/>
        <w:tabs>
          <w:tab w:leader="none" w:pos="14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Level 1—Valuations based on quoted prices in active markets for identical assets or liabilities that the Company has the ability to access.</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Level 2—Valuations based on inputs other than quoted prices in active markets, which are either directly or indirectly observable.</w:t>
      </w:r>
    </w:p>
    <w:p>
      <w:pPr>
        <w:spacing w:after="0" w:line="142" w:lineRule="exact"/>
        <w:rPr>
          <w:rFonts w:ascii="Arial" w:cs="Arial" w:eastAsia="Arial" w:hAnsi="Arial"/>
          <w:sz w:val="17"/>
          <w:szCs w:val="17"/>
          <w:color w:val="auto"/>
        </w:rPr>
      </w:pPr>
    </w:p>
    <w:p>
      <w:pPr>
        <w:ind w:left="1460" w:hanging="547"/>
        <w:spacing w:after="0" w:line="264" w:lineRule="auto"/>
        <w:tabs>
          <w:tab w:leader="none" w:pos="14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Level 3—Valuations based on inputs that are unobservable and significant to the overall fair value measurement. The inputs used in the determination of fair value may require significant management judgment or estimation. Such information may be the result of consensus pricing information or broker quotes which include a disclaimer that the</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80"/>
        <w:spacing w:after="0" w:line="277" w:lineRule="auto"/>
        <w:rPr>
          <w:sz w:val="20"/>
          <w:szCs w:val="20"/>
          <w:color w:val="auto"/>
        </w:rPr>
      </w:pPr>
      <w:r>
        <w:rPr>
          <w:rFonts w:ascii="Arial" w:cs="Arial" w:eastAsia="Arial" w:hAnsi="Arial"/>
          <w:sz w:val="18"/>
          <w:szCs w:val="18"/>
          <w:color w:val="auto"/>
        </w:rPr>
        <w:t>broker would not be held to such a price in an actual transaction. The non-binding nature of consensus pricing and/or quotes accompanied by disclaimer would result in classification as Level 3 asset, assuming no additional corroborating evidence.</w:t>
      </w:r>
    </w:p>
    <w:p>
      <w:pPr>
        <w:spacing w:after="0" w:line="170" w:lineRule="exact"/>
        <w:rPr>
          <w:sz w:val="20"/>
          <w:szCs w:val="20"/>
          <w:color w:val="auto"/>
        </w:rPr>
      </w:pPr>
    </w:p>
    <w:p>
      <w:pPr>
        <w:jc w:val="both"/>
        <w:ind w:right="180" w:firstLine="913"/>
        <w:spacing w:after="0" w:line="264" w:lineRule="auto"/>
        <w:rPr>
          <w:sz w:val="20"/>
          <w:szCs w:val="20"/>
          <w:color w:val="auto"/>
        </w:rPr>
      </w:pPr>
      <w:r>
        <w:rPr>
          <w:rFonts w:ascii="Arial" w:cs="Arial" w:eastAsia="Arial" w:hAnsi="Arial"/>
          <w:sz w:val="18"/>
          <w:szCs w:val="18"/>
          <w:color w:val="auto"/>
        </w:rPr>
        <w:t>In addition to using the above inputs in investment valuations, the Company continues to employ the valuation policy approved by the board of directors that is consistent with ASC 820 and the 1940 Act (see Note 2). Consistent with our Company’s valuation policy, we evaluate the source of inputs, including any markets in which our investments are trading, in determining fair value.</w:t>
      </w:r>
    </w:p>
    <w:p>
      <w:pPr>
        <w:spacing w:after="0" w:line="18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August 31, 2014 (dollars in thousands), according to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3"/>
              </w:rPr>
              <w:t>Fair Value Measurements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4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Middle market loans</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26,814</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26,814</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First lien term loans</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w w:val="86"/>
              </w:rPr>
              <w:t>115,589</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115,589</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29,262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29,262</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Senior secured notes</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25,035</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25,035</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5,909</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20,090</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20,090</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13,621</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13,621</w:t>
            </w: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236,320</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236,320</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The following table presents fair value measurements of investments, by major class, as of February 28, 2014 (dollars in thousands), according to the fair value hierarchy:</w:t>
      </w:r>
    </w:p>
    <w:p>
      <w:pPr>
        <w:spacing w:after="0" w:line="18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5"/>
          </w:tcPr>
          <w:p>
            <w:pPr>
              <w:jc w:val="center"/>
              <w:ind w:right="140"/>
              <w:spacing w:after="0"/>
              <w:rPr>
                <w:sz w:val="20"/>
                <w:szCs w:val="20"/>
                <w:color w:val="auto"/>
              </w:rPr>
            </w:pPr>
            <w:r>
              <w:rPr>
                <w:rFonts w:ascii="Arial" w:cs="Arial" w:eastAsia="Arial" w:hAnsi="Arial"/>
                <w:sz w:val="14"/>
                <w:szCs w:val="14"/>
                <w:b w:val="1"/>
                <w:bCs w:val="1"/>
                <w:color w:val="auto"/>
                <w:w w:val="93"/>
              </w:rPr>
              <w:t>Fair Value Measurements</w:t>
            </w: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9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4"/>
              </w:rPr>
              <w:t>Level 1</w:t>
            </w:r>
          </w:p>
        </w:tc>
        <w:tc>
          <w:tcPr>
            <w:tcW w:w="400" w:type="dxa"/>
            <w:vAlign w:val="bottom"/>
          </w:tcPr>
          <w:p>
            <w:pPr>
              <w:spacing w:after="0"/>
              <w:rPr>
                <w:sz w:val="12"/>
                <w:szCs w:val="12"/>
                <w:color w:val="auto"/>
              </w:rPr>
            </w:pPr>
          </w:p>
        </w:tc>
        <w:tc>
          <w:tcPr>
            <w:tcW w:w="440" w:type="dxa"/>
            <w:vAlign w:val="bottom"/>
          </w:tcPr>
          <w:p>
            <w:pPr>
              <w:jc w:val="right"/>
              <w:spacing w:after="0" w:line="142" w:lineRule="exact"/>
              <w:rPr>
                <w:sz w:val="20"/>
                <w:szCs w:val="20"/>
                <w:color w:val="auto"/>
              </w:rPr>
            </w:pPr>
            <w:r>
              <w:rPr>
                <w:rFonts w:ascii="Arial" w:cs="Arial" w:eastAsia="Arial" w:hAnsi="Arial"/>
                <w:sz w:val="14"/>
                <w:szCs w:val="14"/>
                <w:b w:val="1"/>
                <w:bCs w:val="1"/>
                <w:color w:val="auto"/>
                <w:w w:val="88"/>
              </w:rPr>
              <w:t>Level 2</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520"/>
              <w:spacing w:after="0" w:line="142" w:lineRule="exact"/>
              <w:rPr>
                <w:sz w:val="20"/>
                <w:szCs w:val="20"/>
                <w:color w:val="auto"/>
              </w:rPr>
            </w:pPr>
            <w:r>
              <w:rPr>
                <w:rFonts w:ascii="Arial" w:cs="Arial" w:eastAsia="Arial" w:hAnsi="Arial"/>
                <w:sz w:val="14"/>
                <w:szCs w:val="14"/>
                <w:b w:val="1"/>
                <w:bCs w:val="1"/>
                <w:color w:val="auto"/>
                <w:w w:val="92"/>
              </w:rPr>
              <w:t>Level 3</w:t>
            </w:r>
          </w:p>
        </w:tc>
        <w:tc>
          <w:tcPr>
            <w:tcW w:w="100" w:type="dxa"/>
            <w:vAlign w:val="bottom"/>
          </w:tcPr>
          <w:p>
            <w:pPr>
              <w:spacing w:after="0"/>
              <w:rPr>
                <w:sz w:val="12"/>
                <w:szCs w:val="12"/>
                <w:color w:val="auto"/>
              </w:rPr>
            </w:pPr>
          </w:p>
        </w:tc>
        <w:tc>
          <w:tcPr>
            <w:tcW w:w="580" w:type="dxa"/>
            <w:vAlign w:val="bottom"/>
          </w:tcPr>
          <w:p>
            <w:pPr>
              <w:jc w:val="right"/>
              <w:ind w:right="92"/>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r>
      <w:tr>
        <w:trPr>
          <w:trHeight w:val="210"/>
        </w:trPr>
        <w:tc>
          <w:tcPr>
            <w:tcW w:w="6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Middle market loans</w:t>
            </w:r>
          </w:p>
        </w:tc>
        <w:tc>
          <w:tcPr>
            <w:tcW w:w="2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32,390</w:t>
            </w:r>
          </w:p>
        </w:tc>
        <w:tc>
          <w:tcPr>
            <w:tcW w:w="4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32,390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First lien term loans</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80,246</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80,246</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27,804</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27,804</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Senior secured notes</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30,032</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30,032</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5,471</w:t>
            </w:r>
          </w:p>
        </w:tc>
      </w:tr>
      <w:tr>
        <w:trPr>
          <w:trHeight w:val="216"/>
        </w:trPr>
        <w:tc>
          <w:tcPr>
            <w:tcW w:w="696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2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8"/>
                <w:szCs w:val="18"/>
                <w:color w:val="auto"/>
              </w:rPr>
              <w:t>19,570</w:t>
            </w: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19,570</w:t>
            </w:r>
          </w:p>
        </w:tc>
      </w:tr>
      <w:tr>
        <w:trPr>
          <w:trHeight w:val="216"/>
        </w:trPr>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10,332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10,332</w:t>
            </w:r>
          </w:p>
        </w:tc>
      </w:tr>
      <w:tr>
        <w:trPr>
          <w:trHeight w:val="223"/>
        </w:trPr>
        <w:tc>
          <w:tcPr>
            <w:tcW w:w="696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6"/>
              </w:rPr>
              <w:t>$ —</w:t>
            </w:r>
          </w:p>
        </w:tc>
        <w:tc>
          <w:tcPr>
            <w:tcW w:w="400" w:type="dxa"/>
            <w:vAlign w:val="bottom"/>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 —</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79"/>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205,845</w:t>
            </w:r>
          </w:p>
        </w:tc>
        <w:tc>
          <w:tcPr>
            <w:tcW w:w="4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205,845</w:t>
            </w:r>
          </w:p>
        </w:tc>
        <w:tc>
          <w:tcPr>
            <w:tcW w:w="100" w:type="dxa"/>
            <w:vAlign w:val="bottom"/>
          </w:tcPr>
          <w:p>
            <w:pPr>
              <w:spacing w:after="0"/>
              <w:rPr>
                <w:sz w:val="19"/>
                <w:szCs w:val="19"/>
                <w:color w:val="auto"/>
              </w:rPr>
            </w:pPr>
          </w:p>
        </w:tc>
      </w:tr>
      <w:tr>
        <w:trPr>
          <w:trHeight w:val="20"/>
        </w:trPr>
        <w:tc>
          <w:tcPr>
            <w:tcW w:w="6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six months ended August 31, 2014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Middle</w:t>
            </w:r>
          </w:p>
        </w:tc>
        <w:tc>
          <w:tcPr>
            <w:tcW w:w="86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w w:val="99"/>
              </w:rPr>
              <w:t>First lien</w:t>
            </w:r>
          </w:p>
        </w:tc>
        <w:tc>
          <w:tcPr>
            <w:tcW w:w="9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Second lien</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Senior</w:t>
            </w:r>
          </w:p>
        </w:tc>
        <w:tc>
          <w:tcPr>
            <w:tcW w:w="74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9"/>
              </w:rPr>
              <w:t>Unsecured</w:t>
            </w:r>
          </w:p>
        </w:tc>
        <w:tc>
          <w:tcPr>
            <w:tcW w:w="100" w:type="dxa"/>
            <w:vAlign w:val="bottom"/>
          </w:tcPr>
          <w:p>
            <w:pPr>
              <w:spacing w:after="0"/>
              <w:rPr>
                <w:sz w:val="14"/>
                <w:szCs w:val="14"/>
                <w:color w:val="auto"/>
              </w:rPr>
            </w:pP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Structured</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Common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9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market</w:t>
            </w:r>
          </w:p>
        </w:tc>
        <w:tc>
          <w:tcPr>
            <w:tcW w:w="860" w:type="dxa"/>
            <w:vAlign w:val="bottom"/>
            <w:gridSpan w:val="3"/>
            <w:vMerge w:val="continue"/>
          </w:tcPr>
          <w:p>
            <w:pPr>
              <w:spacing w:after="0"/>
              <w:rPr>
                <w:sz w:val="12"/>
                <w:szCs w:val="12"/>
                <w:color w:val="auto"/>
              </w:rPr>
            </w:pPr>
          </w:p>
        </w:tc>
        <w:tc>
          <w:tcPr>
            <w:tcW w:w="920" w:type="dxa"/>
            <w:vAlign w:val="bottom"/>
            <w:gridSpan w:val="3"/>
            <w:vMerge w:val="continue"/>
          </w:tcPr>
          <w:p>
            <w:pPr>
              <w:spacing w:after="0"/>
              <w:rPr>
                <w:sz w:val="12"/>
                <w:szCs w:val="12"/>
                <w:color w:val="auto"/>
              </w:rPr>
            </w:pPr>
          </w:p>
        </w:tc>
        <w:tc>
          <w:tcPr>
            <w:tcW w:w="8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secured</w:t>
            </w:r>
          </w:p>
        </w:tc>
        <w:tc>
          <w:tcPr>
            <w:tcW w:w="7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finance</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stock/</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loans</w:t>
            </w:r>
          </w:p>
        </w:tc>
        <w:tc>
          <w:tcPr>
            <w:tcW w:w="860" w:type="dxa"/>
            <w:vAlign w:val="bottom"/>
            <w:gridSpan w:val="3"/>
          </w:tcPr>
          <w:p>
            <w:pPr>
              <w:spacing w:after="0"/>
              <w:rPr>
                <w:sz w:val="20"/>
                <w:szCs w:val="20"/>
                <w:color w:val="auto"/>
              </w:rPr>
            </w:pPr>
            <w:r>
              <w:rPr>
                <w:rFonts w:ascii="Arial" w:cs="Arial" w:eastAsia="Arial" w:hAnsi="Arial"/>
                <w:sz w:val="14"/>
                <w:szCs w:val="14"/>
                <w:b w:val="1"/>
                <w:bCs w:val="1"/>
                <w:color w:val="auto"/>
              </w:rPr>
              <w:t>term loans</w:t>
            </w:r>
          </w:p>
        </w:tc>
        <w:tc>
          <w:tcPr>
            <w:tcW w:w="920" w:type="dxa"/>
            <w:vAlign w:val="bottom"/>
            <w:gridSpan w:val="3"/>
          </w:tcPr>
          <w:p>
            <w:pPr>
              <w:ind w:left="40"/>
              <w:spacing w:after="0"/>
              <w:rPr>
                <w:sz w:val="20"/>
                <w:szCs w:val="20"/>
                <w:color w:val="auto"/>
              </w:rPr>
            </w:pPr>
            <w:r>
              <w:rPr>
                <w:rFonts w:ascii="Arial" w:cs="Arial" w:eastAsia="Arial" w:hAnsi="Arial"/>
                <w:sz w:val="14"/>
                <w:szCs w:val="14"/>
                <w:b w:val="1"/>
                <w:bCs w:val="1"/>
                <w:color w:val="auto"/>
              </w:rPr>
              <w:t>term loans</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notes</w:t>
            </w:r>
          </w:p>
        </w:tc>
        <w:tc>
          <w:tcPr>
            <w:tcW w:w="120" w:type="dxa"/>
            <w:vAlign w:val="bottom"/>
          </w:tcPr>
          <w:p>
            <w:pPr>
              <w:spacing w:after="0"/>
              <w:rPr>
                <w:sz w:val="14"/>
                <w:szCs w:val="14"/>
                <w:color w:val="auto"/>
              </w:rPr>
            </w:pPr>
          </w:p>
        </w:tc>
        <w:tc>
          <w:tcPr>
            <w:tcW w:w="620" w:type="dxa"/>
            <w:vAlign w:val="bottom"/>
            <w:gridSpan w:val="2"/>
          </w:tcPr>
          <w:p>
            <w:pPr>
              <w:ind w:left="40"/>
              <w:spacing w:after="0"/>
              <w:rPr>
                <w:sz w:val="20"/>
                <w:szCs w:val="20"/>
                <w:color w:val="auto"/>
              </w:rPr>
            </w:pPr>
            <w:r>
              <w:rPr>
                <w:rFonts w:ascii="Arial" w:cs="Arial" w:eastAsia="Arial" w:hAnsi="Arial"/>
                <w:sz w:val="14"/>
                <w:szCs w:val="14"/>
                <w:b w:val="1"/>
                <w:bCs w:val="1"/>
                <w:color w:val="auto"/>
              </w:rPr>
              <w:t>notes</w:t>
            </w:r>
          </w:p>
        </w:tc>
        <w:tc>
          <w:tcPr>
            <w:tcW w:w="100" w:type="dxa"/>
            <w:vAlign w:val="bottom"/>
          </w:tcPr>
          <w:p>
            <w:pPr>
              <w:spacing w:after="0"/>
              <w:rPr>
                <w:sz w:val="14"/>
                <w:szCs w:val="14"/>
                <w:color w:val="auto"/>
              </w:rPr>
            </w:pPr>
          </w:p>
        </w:tc>
        <w:tc>
          <w:tcPr>
            <w:tcW w:w="860" w:type="dxa"/>
            <w:vAlign w:val="bottom"/>
            <w:gridSpan w:val="3"/>
          </w:tcPr>
          <w:p>
            <w:pPr>
              <w:ind w:left="60"/>
              <w:spacing w:after="0"/>
              <w:rPr>
                <w:sz w:val="20"/>
                <w:szCs w:val="20"/>
                <w:color w:val="auto"/>
              </w:rPr>
            </w:pPr>
            <w:r>
              <w:rPr>
                <w:rFonts w:ascii="Arial" w:cs="Arial" w:eastAsia="Arial" w:hAnsi="Arial"/>
                <w:sz w:val="14"/>
                <w:szCs w:val="14"/>
                <w:b w:val="1"/>
                <w:bCs w:val="1"/>
                <w:color w:val="auto"/>
              </w:rPr>
              <w:t>securities</w:t>
            </w:r>
          </w:p>
        </w:tc>
        <w:tc>
          <w:tcPr>
            <w:tcW w:w="8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0"/>
              </w:rPr>
              <w:t>equities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28, 2014</w:t>
            </w:r>
          </w:p>
        </w:tc>
        <w:tc>
          <w:tcPr>
            <w:tcW w:w="76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$32,390</w:t>
            </w: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80,246</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27,804</w:t>
            </w:r>
          </w:p>
        </w:tc>
        <w:tc>
          <w:tcPr>
            <w:tcW w:w="20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$30,032</w:t>
            </w:r>
          </w:p>
        </w:tc>
        <w:tc>
          <w:tcPr>
            <w:tcW w:w="2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5,471</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tcBorders>
            <w:shd w:val="clear" w:color="auto" w:fill="CCEEFF"/>
          </w:tcPr>
          <w:p>
            <w:pPr>
              <w:ind w:left="80"/>
              <w:spacing w:after="0"/>
              <w:rPr>
                <w:sz w:val="20"/>
                <w:szCs w:val="20"/>
                <w:color w:val="auto"/>
              </w:rPr>
            </w:pPr>
            <w:r>
              <w:rPr>
                <w:rFonts w:ascii="Arial" w:cs="Arial" w:eastAsia="Arial" w:hAnsi="Arial"/>
                <w:sz w:val="18"/>
                <w:szCs w:val="18"/>
                <w:color w:val="auto"/>
                <w:w w:val="87"/>
              </w:rPr>
              <w:t>19,570</w:t>
            </w:r>
          </w:p>
        </w:tc>
        <w:tc>
          <w:tcPr>
            <w:tcW w:w="18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$10,332</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$205,845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Net unrealized gains (losses)</w:t>
            </w: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auto"/>
              </w:rPr>
              <w:t>(256)</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(395)</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(263)</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(1,108)</w:t>
            </w:r>
          </w:p>
        </w:tc>
        <w:tc>
          <w:tcPr>
            <w:tcW w:w="12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520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1,499</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Purchases and other adjustments to cost</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40,446</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8"/>
              </w:rPr>
              <w:t>11,175</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2,260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54,101</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Sales and redemptions</w:t>
            </w:r>
          </w:p>
        </w:tc>
        <w:tc>
          <w:tcPr>
            <w:tcW w:w="1560" w:type="dxa"/>
            <w:vAlign w:val="bottom"/>
            <w:gridSpan w:val="3"/>
          </w:tcPr>
          <w:p>
            <w:pPr>
              <w:jc w:val="right"/>
              <w:ind w:right="160"/>
              <w:spacing w:after="0"/>
              <w:rPr>
                <w:sz w:val="20"/>
                <w:szCs w:val="20"/>
                <w:color w:val="auto"/>
              </w:rPr>
            </w:pPr>
            <w:r>
              <w:rPr>
                <w:rFonts w:ascii="Arial" w:cs="Arial" w:eastAsia="Arial" w:hAnsi="Arial"/>
                <w:sz w:val="18"/>
                <w:szCs w:val="18"/>
                <w:color w:val="auto"/>
              </w:rPr>
              <w:t>(5,383)</w:t>
            </w:r>
          </w:p>
        </w:tc>
        <w:tc>
          <w:tcPr>
            <w:tcW w:w="8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(5,155)</w:t>
            </w:r>
          </w:p>
        </w:tc>
        <w:tc>
          <w:tcPr>
            <w:tcW w:w="1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(9,500)</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(4,253)</w:t>
            </w:r>
          </w:p>
        </w:tc>
        <w:tc>
          <w:tcPr>
            <w:tcW w:w="120" w:type="dxa"/>
            <w:vAlign w:val="bottom"/>
          </w:tcPr>
          <w:p>
            <w:pPr>
              <w:spacing w:after="0"/>
              <w:rPr>
                <w:sz w:val="18"/>
                <w:szCs w:val="18"/>
                <w:color w:val="auto"/>
              </w:rPr>
            </w:pPr>
          </w:p>
        </w:tc>
        <w:tc>
          <w:tcPr>
            <w:tcW w:w="6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(96)</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(24,387)</w:t>
            </w:r>
          </w:p>
        </w:tc>
        <w:tc>
          <w:tcPr>
            <w:tcW w:w="0" w:type="dxa"/>
            <w:vAlign w:val="bottom"/>
          </w:tcPr>
          <w:p>
            <w:pPr>
              <w:spacing w:after="0"/>
              <w:rPr>
                <w:sz w:val="1"/>
                <w:szCs w:val="1"/>
                <w:color w:val="auto"/>
              </w:rPr>
            </w:pPr>
          </w:p>
        </w:tc>
      </w:tr>
      <w:tr>
        <w:trPr>
          <w:trHeight w:val="216"/>
        </w:trPr>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gains/(losses) from investments</w:t>
            </w:r>
          </w:p>
        </w:tc>
        <w:tc>
          <w:tcPr>
            <w:tcW w:w="1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447</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23"/>
        </w:trPr>
        <w:tc>
          <w:tcPr>
            <w:tcW w:w="3980" w:type="dxa"/>
            <w:vAlign w:val="bottom"/>
          </w:tcPr>
          <w:p>
            <w:pPr>
              <w:spacing w:after="0"/>
              <w:rPr>
                <w:sz w:val="20"/>
                <w:szCs w:val="20"/>
                <w:color w:val="auto"/>
              </w:rPr>
            </w:pPr>
            <w:r>
              <w:rPr>
                <w:rFonts w:ascii="Arial" w:cs="Arial" w:eastAsia="Arial" w:hAnsi="Arial"/>
                <w:sz w:val="18"/>
                <w:szCs w:val="18"/>
                <w:color w:val="auto"/>
              </w:rPr>
              <w:t>Balance as of August 31, 2014</w:t>
            </w:r>
          </w:p>
        </w:tc>
        <w:tc>
          <w:tcPr>
            <w:tcW w:w="76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26,814</w:t>
            </w:r>
          </w:p>
        </w:tc>
        <w:tc>
          <w:tcPr>
            <w:tcW w:w="2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u w:val="single" w:color="auto"/>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115,589</w:t>
            </w:r>
          </w:p>
        </w:tc>
        <w:tc>
          <w:tcPr>
            <w:tcW w:w="2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29,262</w:t>
            </w: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25,035</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5,909</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8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7"/>
              </w:rPr>
              <w:t>20,090</w:t>
            </w:r>
          </w:p>
        </w:tc>
        <w:tc>
          <w:tcPr>
            <w:tcW w:w="18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13,621</w:t>
            </w:r>
          </w:p>
        </w:tc>
        <w:tc>
          <w:tcPr>
            <w:tcW w:w="20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236,320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9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jc w:val="right"/>
              <w:ind w:right="310"/>
              <w:spacing w:after="0"/>
              <w:rPr>
                <w:sz w:val="20"/>
                <w:szCs w:val="20"/>
                <w:color w:val="auto"/>
              </w:rPr>
            </w:pPr>
            <w:r>
              <w:rPr>
                <w:rFonts w:ascii="Arial" w:cs="Arial" w:eastAsia="Arial" w:hAnsi="Arial"/>
                <w:sz w:val="18"/>
                <w:szCs w:val="18"/>
                <w:color w:val="auto"/>
                <w:w w:val="79"/>
              </w:rPr>
              <w:t>18</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for investments that use Level 3 inputs for the six months ended August 31, 2013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860" w:type="dxa"/>
            <w:vAlign w:val="bottom"/>
            <w:gridSpan w:val="4"/>
          </w:tcPr>
          <w:p>
            <w:pPr>
              <w:ind w:left="80"/>
              <w:spacing w:after="0"/>
              <w:rPr>
                <w:sz w:val="20"/>
                <w:szCs w:val="20"/>
                <w:color w:val="auto"/>
              </w:rPr>
            </w:pPr>
            <w:r>
              <w:rPr>
                <w:rFonts w:ascii="Arial" w:cs="Arial" w:eastAsia="Arial" w:hAnsi="Arial"/>
                <w:sz w:val="14"/>
                <w:szCs w:val="14"/>
                <w:b w:val="1"/>
                <w:bCs w:val="1"/>
                <w:color w:val="auto"/>
              </w:rPr>
              <w:t>Middle</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First</w:t>
            </w:r>
          </w:p>
        </w:tc>
        <w:tc>
          <w:tcPr>
            <w:tcW w:w="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Second lien</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Senior</w:t>
            </w:r>
          </w:p>
        </w:tc>
        <w:tc>
          <w:tcPr>
            <w:tcW w:w="9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Unsecured</w:t>
            </w: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Structured</w:t>
            </w:r>
          </w:p>
        </w:tc>
        <w:tc>
          <w:tcPr>
            <w:tcW w:w="100" w:type="dxa"/>
            <w:vAlign w:val="bottom"/>
          </w:tcPr>
          <w:p>
            <w:pPr>
              <w:spacing w:after="0"/>
              <w:rPr>
                <w:sz w:val="14"/>
                <w:szCs w:val="14"/>
                <w:color w:val="auto"/>
              </w:rPr>
            </w:pPr>
          </w:p>
        </w:tc>
        <w:tc>
          <w:tcPr>
            <w:tcW w:w="100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95"/>
              </w:rPr>
              <w:t>Common</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860" w:type="dxa"/>
            <w:vAlign w:val="bottom"/>
            <w:gridSpan w:val="4"/>
          </w:tcPr>
          <w:p>
            <w:pPr>
              <w:ind w:left="80"/>
              <w:spacing w:after="0" w:line="149" w:lineRule="exact"/>
              <w:rPr>
                <w:sz w:val="20"/>
                <w:szCs w:val="20"/>
                <w:color w:val="auto"/>
              </w:rPr>
            </w:pPr>
            <w:r>
              <w:rPr>
                <w:rFonts w:ascii="Arial" w:cs="Arial" w:eastAsia="Arial" w:hAnsi="Arial"/>
                <w:sz w:val="14"/>
                <w:szCs w:val="14"/>
                <w:b w:val="1"/>
                <w:bCs w:val="1"/>
                <w:color w:val="auto"/>
              </w:rPr>
              <w:t>market</w:t>
            </w:r>
          </w:p>
        </w:tc>
        <w:tc>
          <w:tcPr>
            <w:tcW w:w="9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5"/>
              </w:rPr>
              <w:t>lien term</w:t>
            </w:r>
          </w:p>
        </w:tc>
        <w:tc>
          <w:tcPr>
            <w:tcW w:w="980" w:type="dxa"/>
            <w:vAlign w:val="bottom"/>
            <w:gridSpan w:val="3"/>
            <w:vMerge w:val="continue"/>
          </w:tcPr>
          <w:p>
            <w:pPr>
              <w:spacing w:after="0"/>
              <w:rPr>
                <w:sz w:val="12"/>
                <w:szCs w:val="12"/>
                <w:color w:val="auto"/>
              </w:rPr>
            </w:pPr>
          </w:p>
        </w:tc>
        <w:tc>
          <w:tcPr>
            <w:tcW w:w="8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secured</w:t>
            </w:r>
          </w:p>
        </w:tc>
        <w:tc>
          <w:tcPr>
            <w:tcW w:w="94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w w:val="89"/>
              </w:rPr>
              <w:t>finance</w:t>
            </w: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loans</w:t>
            </w:r>
          </w:p>
        </w:tc>
        <w:tc>
          <w:tcPr>
            <w:tcW w:w="9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loans</w:t>
            </w:r>
          </w:p>
        </w:tc>
        <w:tc>
          <w:tcPr>
            <w:tcW w:w="980" w:type="dxa"/>
            <w:vAlign w:val="bottom"/>
            <w:gridSpan w:val="3"/>
          </w:tcPr>
          <w:p>
            <w:pPr>
              <w:jc w:val="right"/>
              <w:ind w:right="300"/>
              <w:spacing w:after="0"/>
              <w:rPr>
                <w:sz w:val="20"/>
                <w:szCs w:val="20"/>
                <w:color w:val="auto"/>
              </w:rPr>
            </w:pPr>
            <w:r>
              <w:rPr>
                <w:rFonts w:ascii="Arial" w:cs="Arial" w:eastAsia="Arial" w:hAnsi="Arial"/>
                <w:sz w:val="14"/>
                <w:szCs w:val="14"/>
                <w:b w:val="1"/>
                <w:bCs w:val="1"/>
                <w:color w:val="auto"/>
                <w:w w:val="93"/>
              </w:rPr>
              <w:t>term loans</w:t>
            </w: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5"/>
              </w:rPr>
              <w:t>notes</w:t>
            </w:r>
          </w:p>
        </w:tc>
        <w:tc>
          <w:tcPr>
            <w:tcW w:w="120" w:type="dxa"/>
            <w:vAlign w:val="bottom"/>
          </w:tcPr>
          <w:p>
            <w:pPr>
              <w:spacing w:after="0"/>
              <w:rPr>
                <w:sz w:val="14"/>
                <w:szCs w:val="14"/>
                <w:color w:val="auto"/>
              </w:rPr>
            </w:pPr>
          </w:p>
        </w:tc>
        <w:tc>
          <w:tcPr>
            <w:tcW w:w="82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notes</w:t>
            </w:r>
          </w:p>
        </w:tc>
        <w:tc>
          <w:tcPr>
            <w:tcW w:w="940" w:type="dxa"/>
            <w:vAlign w:val="bottom"/>
            <w:gridSpan w:val="3"/>
          </w:tcPr>
          <w:p>
            <w:pPr>
              <w:ind w:left="40"/>
              <w:spacing w:after="0"/>
              <w:rPr>
                <w:sz w:val="20"/>
                <w:szCs w:val="20"/>
                <w:color w:val="auto"/>
              </w:rPr>
            </w:pPr>
            <w:r>
              <w:rPr>
                <w:rFonts w:ascii="Arial" w:cs="Arial" w:eastAsia="Arial" w:hAnsi="Arial"/>
                <w:sz w:val="14"/>
                <w:szCs w:val="14"/>
                <w:b w:val="1"/>
                <w:bCs w:val="1"/>
                <w:color w:val="auto"/>
              </w:rPr>
              <w:t>securities</w:t>
            </w:r>
          </w:p>
        </w:tc>
        <w:tc>
          <w:tcPr>
            <w:tcW w:w="1100" w:type="dxa"/>
            <w:vAlign w:val="bottom"/>
            <w:gridSpan w:val="3"/>
          </w:tcPr>
          <w:p>
            <w:pPr>
              <w:spacing w:after="0"/>
              <w:rPr>
                <w:sz w:val="20"/>
                <w:szCs w:val="20"/>
                <w:color w:val="auto"/>
              </w:rPr>
            </w:pPr>
            <w:r>
              <w:rPr>
                <w:rFonts w:ascii="Arial" w:cs="Arial" w:eastAsia="Arial" w:hAnsi="Arial"/>
                <w:sz w:val="14"/>
                <w:szCs w:val="14"/>
                <w:b w:val="1"/>
                <w:bCs w:val="1"/>
                <w:color w:val="auto"/>
              </w:rPr>
              <w:t>stock/equities</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as of February 28, 2013</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gridSpan w:val="2"/>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$ 83,792</w:t>
            </w:r>
          </w:p>
        </w:tc>
        <w:tc>
          <w:tcPr>
            <w:tcW w:w="2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9,571</w:t>
            </w:r>
          </w:p>
        </w:tc>
        <w:tc>
          <w:tcPr>
            <w:tcW w:w="2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$23,305</w:t>
            </w:r>
          </w:p>
        </w:tc>
        <w:tc>
          <w:tcPr>
            <w:tcW w:w="2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4,874</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25,517</w:t>
            </w:r>
          </w:p>
        </w:tc>
        <w:tc>
          <w:tcPr>
            <w:tcW w:w="2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8,021</w:t>
            </w:r>
          </w:p>
        </w:tc>
        <w:tc>
          <w:tcPr>
            <w:tcW w:w="2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$155,080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Net unrealized gains (losses)</w:t>
            </w:r>
          </w:p>
        </w:tc>
        <w:tc>
          <w:tcPr>
            <w:tcW w:w="100" w:type="dxa"/>
            <w:vAlign w:val="bottom"/>
          </w:tcPr>
          <w:p>
            <w:pPr>
              <w:spacing w:after="0"/>
              <w:rPr>
                <w:sz w:val="18"/>
                <w:szCs w:val="18"/>
                <w:color w:val="auto"/>
              </w:rPr>
            </w:pPr>
          </w:p>
        </w:tc>
        <w:tc>
          <w:tcPr>
            <w:tcW w:w="520" w:type="dxa"/>
            <w:vAlign w:val="bottom"/>
            <w:gridSpan w:val="2"/>
          </w:tcPr>
          <w:p>
            <w:pPr>
              <w:ind w:left="240"/>
              <w:spacing w:after="0"/>
              <w:rPr>
                <w:sz w:val="20"/>
                <w:szCs w:val="20"/>
                <w:color w:val="auto"/>
              </w:rPr>
            </w:pPr>
            <w:r>
              <w:rPr>
                <w:rFonts w:ascii="Arial" w:cs="Arial" w:eastAsia="Arial" w:hAnsi="Arial"/>
                <w:sz w:val="18"/>
                <w:szCs w:val="18"/>
                <w:color w:val="auto"/>
                <w:w w:val="86"/>
              </w:rPr>
              <w:t>222</w:t>
            </w:r>
          </w:p>
        </w:tc>
        <w:tc>
          <w:tcPr>
            <w:tcW w:w="2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820" w:type="dxa"/>
            <w:vAlign w:val="bottom"/>
            <w:gridSpan w:val="2"/>
          </w:tcPr>
          <w:p>
            <w:pPr>
              <w:jc w:val="right"/>
              <w:ind w:right="280"/>
              <w:spacing w:after="0"/>
              <w:rPr>
                <w:sz w:val="20"/>
                <w:szCs w:val="20"/>
                <w:color w:val="auto"/>
              </w:rPr>
            </w:pPr>
            <w:r>
              <w:rPr>
                <w:rFonts w:ascii="Arial" w:cs="Arial" w:eastAsia="Arial" w:hAnsi="Arial"/>
                <w:sz w:val="18"/>
                <w:szCs w:val="18"/>
                <w:color w:val="auto"/>
              </w:rPr>
              <w:t>432</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(3,635)</w:t>
            </w:r>
          </w:p>
        </w:tc>
        <w:tc>
          <w:tcPr>
            <w:tcW w:w="100" w:type="dxa"/>
            <w:vAlign w:val="bottom"/>
          </w:tcPr>
          <w:p>
            <w:pPr>
              <w:spacing w:after="0"/>
              <w:rPr>
                <w:sz w:val="18"/>
                <w:szCs w:val="18"/>
                <w:color w:val="auto"/>
              </w:rPr>
            </w:pPr>
          </w:p>
        </w:tc>
        <w:tc>
          <w:tcPr>
            <w:tcW w:w="1000" w:type="dxa"/>
            <w:vAlign w:val="bottom"/>
            <w:gridSpan w:val="2"/>
          </w:tcPr>
          <w:p>
            <w:pPr>
              <w:jc w:val="right"/>
              <w:ind w:right="260"/>
              <w:spacing w:after="0"/>
              <w:rPr>
                <w:sz w:val="20"/>
                <w:szCs w:val="20"/>
                <w:color w:val="auto"/>
              </w:rPr>
            </w:pPr>
            <w:r>
              <w:rPr>
                <w:rFonts w:ascii="Arial" w:cs="Arial" w:eastAsia="Arial" w:hAnsi="Arial"/>
                <w:sz w:val="18"/>
                <w:szCs w:val="18"/>
                <w:color w:val="auto"/>
              </w:rPr>
              <w:t>1,037</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(2,057)</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Purchases and other adjustments to cost</w:t>
            </w: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0"/>
              </w:rPr>
              <w:t>37,013</w:t>
            </w: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32,924</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9,400</w:t>
            </w: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8,938</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127</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150</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88,552</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Sales and redemptions</w:t>
            </w:r>
          </w:p>
        </w:tc>
        <w:tc>
          <w:tcPr>
            <w:tcW w:w="100" w:type="dxa"/>
            <w:vAlign w:val="bottom"/>
          </w:tcPr>
          <w:p>
            <w:pPr>
              <w:spacing w:after="0"/>
              <w:rPr>
                <w:sz w:val="18"/>
                <w:szCs w:val="18"/>
                <w:color w:val="auto"/>
              </w:rPr>
            </w:pPr>
          </w:p>
        </w:tc>
        <w:tc>
          <w:tcPr>
            <w:tcW w:w="760" w:type="dxa"/>
            <w:vAlign w:val="bottom"/>
            <w:gridSpan w:val="3"/>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(41,650)</w:t>
            </w:r>
          </w:p>
        </w:tc>
        <w:tc>
          <w:tcPr>
            <w:tcW w:w="16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(3,030)</w:t>
            </w:r>
          </w:p>
        </w:tc>
        <w:tc>
          <w:tcPr>
            <w:tcW w:w="860" w:type="dxa"/>
            <w:vAlign w:val="bottom"/>
            <w:gridSpan w:val="2"/>
          </w:tcPr>
          <w:p>
            <w:pPr>
              <w:jc w:val="right"/>
              <w:ind w:right="220"/>
              <w:spacing w:after="0"/>
              <w:rPr>
                <w:sz w:val="20"/>
                <w:szCs w:val="20"/>
                <w:color w:val="auto"/>
              </w:rPr>
            </w:pPr>
            <w:r>
              <w:rPr>
                <w:rFonts w:ascii="Arial" w:cs="Arial" w:eastAsia="Arial" w:hAnsi="Arial"/>
                <w:sz w:val="18"/>
                <w:szCs w:val="18"/>
                <w:color w:val="auto"/>
              </w:rPr>
              <w:t>(7,728)</w:t>
            </w:r>
          </w:p>
        </w:tc>
        <w:tc>
          <w:tcPr>
            <w:tcW w:w="12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(2,140)</w:t>
            </w: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(301)</w:t>
            </w:r>
          </w:p>
        </w:tc>
        <w:tc>
          <w:tcPr>
            <w:tcW w:w="800" w:type="dxa"/>
            <w:vAlign w:val="bottom"/>
            <w:gridSpan w:val="2"/>
          </w:tcPr>
          <w:p>
            <w:pPr>
              <w:jc w:val="right"/>
              <w:ind w:right="40"/>
              <w:spacing w:after="0"/>
              <w:rPr>
                <w:sz w:val="20"/>
                <w:szCs w:val="20"/>
                <w:color w:val="auto"/>
              </w:rPr>
            </w:pPr>
            <w:r>
              <w:rPr>
                <w:rFonts w:ascii="Arial" w:cs="Arial" w:eastAsia="Arial" w:hAnsi="Arial"/>
                <w:sz w:val="18"/>
                <w:szCs w:val="18"/>
                <w:color w:val="auto"/>
              </w:rPr>
              <w:t>(54,849)</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gains from investments</w:t>
            </w: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403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370</w:t>
            </w:r>
          </w:p>
        </w:tc>
        <w:tc>
          <w:tcPr>
            <w:tcW w:w="8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1,074</w:t>
            </w:r>
          </w:p>
        </w:tc>
        <w:tc>
          <w:tcPr>
            <w:tcW w:w="0" w:type="dxa"/>
            <w:vAlign w:val="bottom"/>
          </w:tcPr>
          <w:p>
            <w:pPr>
              <w:spacing w:after="0"/>
              <w:rPr>
                <w:sz w:val="1"/>
                <w:szCs w:val="1"/>
                <w:color w:val="auto"/>
              </w:rPr>
            </w:pPr>
          </w:p>
        </w:tc>
      </w:tr>
      <w:tr>
        <w:trPr>
          <w:trHeight w:val="223"/>
        </w:trPr>
        <w:tc>
          <w:tcPr>
            <w:tcW w:w="4000" w:type="dxa"/>
            <w:vAlign w:val="bottom"/>
          </w:tcPr>
          <w:p>
            <w:pPr>
              <w:spacing w:after="0"/>
              <w:rPr>
                <w:sz w:val="20"/>
                <w:szCs w:val="20"/>
                <w:color w:val="auto"/>
              </w:rPr>
            </w:pPr>
            <w:r>
              <w:rPr>
                <w:rFonts w:ascii="Arial" w:cs="Arial" w:eastAsia="Arial" w:hAnsi="Arial"/>
                <w:sz w:val="18"/>
                <w:szCs w:val="18"/>
                <w:color w:val="auto"/>
              </w:rPr>
              <w:t>Balance as of August 31, 2013</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5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87"/>
              </w:rPr>
              <w:t>37,235</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$ 75,507</w:t>
            </w:r>
          </w:p>
        </w:tc>
        <w:tc>
          <w:tcPr>
            <w:tcW w:w="26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16,282</w:t>
            </w:r>
          </w:p>
        </w:tc>
        <w:tc>
          <w:tcPr>
            <w:tcW w:w="28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24,393</w:t>
            </w:r>
          </w:p>
        </w:tc>
        <w:tc>
          <w:tcPr>
            <w:tcW w:w="2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5,433</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19,742</w:t>
            </w:r>
          </w:p>
        </w:tc>
        <w:tc>
          <w:tcPr>
            <w:tcW w:w="28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9,208</w:t>
            </w:r>
          </w:p>
        </w:tc>
        <w:tc>
          <w:tcPr>
            <w:tcW w:w="26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187,800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40" w:firstLine="913"/>
        <w:spacing w:after="0" w:line="277" w:lineRule="auto"/>
        <w:rPr>
          <w:sz w:val="20"/>
          <w:szCs w:val="20"/>
          <w:color w:val="auto"/>
        </w:rPr>
      </w:pPr>
      <w:r>
        <w:rPr>
          <w:rFonts w:ascii="Arial" w:cs="Arial" w:eastAsia="Arial" w:hAnsi="Arial"/>
          <w:sz w:val="18"/>
          <w:szCs w:val="18"/>
          <w:color w:val="auto"/>
        </w:rPr>
        <w:t>Purchases and other adjustments to cost include purchases of new investments at cost, effects of refinancing/restructuring, accretion/amortization of income from discount/premium on debt securities, and PIK.</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Sales and redemptions represent net proceeds received from investments sold, and principal paydowns received, during the period.</w:t>
      </w:r>
    </w:p>
    <w:p>
      <w:pPr>
        <w:spacing w:after="0" w:line="225" w:lineRule="exact"/>
        <w:rPr>
          <w:sz w:val="20"/>
          <w:szCs w:val="20"/>
          <w:color w:val="auto"/>
        </w:rPr>
      </w:pPr>
    </w:p>
    <w:p>
      <w:pPr>
        <w:ind w:right="380" w:firstLine="913"/>
        <w:spacing w:after="0" w:line="264" w:lineRule="auto"/>
        <w:rPr>
          <w:sz w:val="20"/>
          <w:szCs w:val="20"/>
          <w:color w:val="auto"/>
        </w:rPr>
      </w:pPr>
      <w:r>
        <w:rPr>
          <w:rFonts w:ascii="Arial" w:cs="Arial" w:eastAsia="Arial" w:hAnsi="Arial"/>
          <w:sz w:val="18"/>
          <w:szCs w:val="18"/>
          <w:color w:val="auto"/>
        </w:rPr>
        <w:t>The net change in unrealized gain/(loss) for the six months ended August 31, 2014 and 2013, on investments held as of August 31, 2014 and 2013, was $734,740 and $(2,349,502), respectively, and is included in net unrealized appreciation (depreciation) on investments in the consolidated statements of operations.</w:t>
      </w:r>
    </w:p>
    <w:p>
      <w:pPr>
        <w:spacing w:after="0" w:line="181" w:lineRule="exact"/>
        <w:rPr>
          <w:sz w:val="20"/>
          <w:szCs w:val="20"/>
          <w:color w:val="auto"/>
        </w:rPr>
      </w:pPr>
    </w:p>
    <w:p>
      <w:pPr>
        <w:ind w:right="140" w:firstLine="913"/>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August 31, 2014 were as follows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164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Valuation Technique</w:t>
            </w:r>
          </w:p>
        </w:tc>
        <w:tc>
          <w:tcPr>
            <w:tcW w:w="320" w:type="dxa"/>
            <w:vAlign w:val="bottom"/>
          </w:tcPr>
          <w:p>
            <w:pPr>
              <w:spacing w:after="0"/>
              <w:rPr>
                <w:sz w:val="14"/>
                <w:szCs w:val="14"/>
                <w:color w:val="auto"/>
              </w:rPr>
            </w:pPr>
          </w:p>
        </w:tc>
        <w:tc>
          <w:tcPr>
            <w:tcW w:w="16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Unobservable Input</w:t>
            </w:r>
          </w:p>
        </w:tc>
        <w:tc>
          <w:tcPr>
            <w:tcW w:w="1400" w:type="dxa"/>
            <w:vAlign w:val="bottom"/>
            <w:gridSpan w:val="3"/>
            <w:vMerge w:val="restart"/>
          </w:tcPr>
          <w:p>
            <w:pPr>
              <w:ind w:left="340"/>
              <w:spacing w:after="0"/>
              <w:rPr>
                <w:sz w:val="20"/>
                <w:szCs w:val="20"/>
                <w:color w:val="auto"/>
              </w:rPr>
            </w:pPr>
            <w:r>
              <w:rPr>
                <w:rFonts w:ascii="Arial" w:cs="Arial" w:eastAsia="Arial" w:hAnsi="Arial"/>
                <w:sz w:val="14"/>
                <w:szCs w:val="14"/>
                <w:b w:val="1"/>
                <w:bCs w:val="1"/>
                <w:color w:val="auto"/>
              </w:rPr>
              <w:t>Range</w:t>
            </w:r>
          </w:p>
        </w:tc>
        <w:tc>
          <w:tcPr>
            <w:tcW w:w="96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Weighted</w:t>
            </w: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400" w:type="dxa"/>
            <w:vAlign w:val="bottom"/>
            <w:gridSpan w:val="3"/>
            <w:vMerge w:val="continue"/>
          </w:tcPr>
          <w:p>
            <w:pPr>
              <w:spacing w:after="0"/>
              <w:rPr>
                <w:sz w:val="14"/>
                <w:szCs w:val="1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0"/>
              </w:rPr>
              <w:t>Average Yield</w:t>
            </w:r>
          </w:p>
        </w:tc>
        <w:tc>
          <w:tcPr>
            <w:tcW w:w="0" w:type="dxa"/>
            <w:vAlign w:val="bottom"/>
          </w:tcPr>
          <w:p>
            <w:pPr>
              <w:spacing w:after="0"/>
              <w:rPr>
                <w:sz w:val="1"/>
                <w:szCs w:val="1"/>
                <w:color w:val="auto"/>
              </w:rPr>
            </w:pPr>
          </w:p>
        </w:tc>
      </w:tr>
      <w:tr>
        <w:trPr>
          <w:trHeight w:val="210"/>
        </w:trPr>
        <w:tc>
          <w:tcPr>
            <w:tcW w:w="4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Middle market loans</w:t>
            </w: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$ 26,814</w:t>
            </w:r>
          </w:p>
        </w:tc>
        <w:tc>
          <w:tcPr>
            <w:tcW w:w="420" w:type="dxa"/>
            <w:vAlign w:val="bottom"/>
            <w:tcBorders>
              <w:top w:val="single" w:sz="8" w:color="CCEEFF"/>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Market Comparables</w:t>
            </w:r>
          </w:p>
        </w:tc>
        <w:tc>
          <w:tcPr>
            <w:tcW w:w="3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Third-Party Bid</w:t>
            </w:r>
          </w:p>
        </w:tc>
        <w:tc>
          <w:tcPr>
            <w:tcW w:w="3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97.5</w:t>
            </w: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- 100.3</w:t>
            </w:r>
          </w:p>
        </w:tc>
        <w:tc>
          <w:tcPr>
            <w:tcW w:w="3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00" w:type="dxa"/>
            <w:vAlign w:val="bottom"/>
          </w:tcPr>
          <w:p>
            <w:pPr>
              <w:spacing w:after="0" w:line="201" w:lineRule="exact"/>
              <w:rPr>
                <w:sz w:val="20"/>
                <w:szCs w:val="20"/>
                <w:color w:val="auto"/>
              </w:rPr>
            </w:pPr>
            <w:r>
              <w:rPr>
                <w:rFonts w:ascii="Arial" w:cs="Arial" w:eastAsia="Arial" w:hAnsi="Arial"/>
                <w:sz w:val="18"/>
                <w:szCs w:val="18"/>
                <w:color w:val="auto"/>
              </w:rPr>
              <w:t>First lien term loans</w:t>
            </w:r>
          </w:p>
        </w:tc>
        <w:tc>
          <w:tcPr>
            <w:tcW w:w="1420" w:type="dxa"/>
            <w:vAlign w:val="bottom"/>
            <w:gridSpan w:val="3"/>
          </w:tcPr>
          <w:p>
            <w:pPr>
              <w:jc w:val="right"/>
              <w:ind w:right="420"/>
              <w:spacing w:after="0" w:line="201" w:lineRule="exact"/>
              <w:rPr>
                <w:sz w:val="20"/>
                <w:szCs w:val="20"/>
                <w:color w:val="auto"/>
              </w:rPr>
            </w:pPr>
            <w:r>
              <w:rPr>
                <w:rFonts w:ascii="Arial" w:cs="Arial" w:eastAsia="Arial" w:hAnsi="Arial"/>
                <w:sz w:val="18"/>
                <w:szCs w:val="18"/>
                <w:color w:val="auto"/>
              </w:rPr>
              <w:t>115,589</w:t>
            </w:r>
          </w:p>
        </w:tc>
        <w:tc>
          <w:tcPr>
            <w:tcW w:w="1640" w:type="dxa"/>
            <w:vAlign w:val="bottom"/>
          </w:tcPr>
          <w:p>
            <w:pPr>
              <w:spacing w:after="0" w:line="201" w:lineRule="exact"/>
              <w:rPr>
                <w:sz w:val="20"/>
                <w:szCs w:val="20"/>
                <w:color w:val="auto"/>
              </w:rPr>
            </w:pPr>
            <w:r>
              <w:rPr>
                <w:rFonts w:ascii="Arial" w:cs="Arial" w:eastAsia="Arial" w:hAnsi="Arial"/>
                <w:sz w:val="18"/>
                <w:szCs w:val="18"/>
                <w:color w:val="auto"/>
                <w:w w:val="96"/>
              </w:rPr>
              <w:t>Market Comparables</w:t>
            </w:r>
          </w:p>
        </w:tc>
        <w:tc>
          <w:tcPr>
            <w:tcW w:w="2000" w:type="dxa"/>
            <w:vAlign w:val="bottom"/>
            <w:gridSpan w:val="3"/>
          </w:tcPr>
          <w:p>
            <w:pPr>
              <w:ind w:left="320"/>
              <w:spacing w:after="0" w:line="201" w:lineRule="exact"/>
              <w:rPr>
                <w:sz w:val="20"/>
                <w:szCs w:val="20"/>
                <w:color w:val="auto"/>
              </w:rPr>
            </w:pPr>
            <w:r>
              <w:rPr>
                <w:rFonts w:ascii="Arial" w:cs="Arial" w:eastAsia="Arial" w:hAnsi="Arial"/>
                <w:sz w:val="18"/>
                <w:szCs w:val="18"/>
                <w:color w:val="auto"/>
              </w:rPr>
              <w:t>Market Yield (%)</w:t>
            </w:r>
          </w:p>
        </w:tc>
        <w:tc>
          <w:tcPr>
            <w:tcW w:w="440" w:type="dxa"/>
            <w:vAlign w:val="bottom"/>
          </w:tcPr>
          <w:p>
            <w:pPr>
              <w:jc w:val="right"/>
              <w:spacing w:after="0" w:line="201" w:lineRule="exact"/>
              <w:rPr>
                <w:sz w:val="20"/>
                <w:szCs w:val="20"/>
                <w:color w:val="auto"/>
              </w:rPr>
            </w:pPr>
            <w:r>
              <w:rPr>
                <w:rFonts w:ascii="Arial" w:cs="Arial" w:eastAsia="Arial" w:hAnsi="Arial"/>
                <w:sz w:val="18"/>
                <w:szCs w:val="18"/>
                <w:color w:val="auto"/>
                <w:w w:val="97"/>
              </w:rPr>
              <w:t>5.5%</w:t>
            </w:r>
          </w:p>
        </w:tc>
        <w:tc>
          <w:tcPr>
            <w:tcW w:w="640" w:type="dxa"/>
            <w:vAlign w:val="bottom"/>
          </w:tcPr>
          <w:p>
            <w:pPr>
              <w:ind w:left="20"/>
              <w:spacing w:after="0" w:line="201" w:lineRule="exact"/>
              <w:rPr>
                <w:sz w:val="20"/>
                <w:szCs w:val="20"/>
                <w:color w:val="auto"/>
              </w:rPr>
            </w:pPr>
            <w:r>
              <w:rPr>
                <w:rFonts w:ascii="Arial" w:cs="Arial" w:eastAsia="Arial" w:hAnsi="Arial"/>
                <w:sz w:val="18"/>
                <w:szCs w:val="18"/>
                <w:color w:val="auto"/>
                <w:w w:val="96"/>
              </w:rPr>
              <w:t>- 15.7%</w:t>
            </w:r>
          </w:p>
        </w:tc>
        <w:tc>
          <w:tcPr>
            <w:tcW w:w="320" w:type="dxa"/>
            <w:vAlign w:val="bottom"/>
          </w:tcPr>
          <w:p>
            <w:pPr>
              <w:spacing w:after="0"/>
              <w:rPr>
                <w:sz w:val="17"/>
                <w:szCs w:val="17"/>
                <w:color w:val="auto"/>
              </w:rPr>
            </w:pPr>
          </w:p>
        </w:tc>
        <w:tc>
          <w:tcPr>
            <w:tcW w:w="9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0" w:type="dxa"/>
            <w:vAlign w:val="bottom"/>
            <w:gridSpan w:val="3"/>
          </w:tcPr>
          <w:p>
            <w:pPr>
              <w:ind w:left="320"/>
              <w:spacing w:after="0"/>
              <w:rPr>
                <w:sz w:val="20"/>
                <w:szCs w:val="20"/>
                <w:color w:val="auto"/>
              </w:rPr>
            </w:pPr>
            <w:r>
              <w:rPr>
                <w:rFonts w:ascii="Arial" w:cs="Arial" w:eastAsia="Arial" w:hAnsi="Arial"/>
                <w:sz w:val="18"/>
                <w:szCs w:val="18"/>
                <w:color w:val="auto"/>
              </w:rPr>
              <w:t>EBITDA</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00" w:type="dxa"/>
            <w:vAlign w:val="bottom"/>
            <w:gridSpan w:val="3"/>
          </w:tcPr>
          <w:p>
            <w:pPr>
              <w:ind w:left="320"/>
              <w:spacing w:after="0"/>
              <w:rPr>
                <w:sz w:val="20"/>
                <w:szCs w:val="20"/>
                <w:color w:val="auto"/>
              </w:rPr>
            </w:pPr>
            <w:r>
              <w:rPr>
                <w:rFonts w:ascii="Arial" w:cs="Arial" w:eastAsia="Arial" w:hAnsi="Arial"/>
                <w:sz w:val="18"/>
                <w:szCs w:val="18"/>
                <w:color w:val="auto"/>
              </w:rPr>
              <w:t>Multiples (x)</w:t>
            </w:r>
          </w:p>
        </w:tc>
        <w:tc>
          <w:tcPr>
            <w:tcW w:w="1400" w:type="dxa"/>
            <w:vAlign w:val="bottom"/>
            <w:gridSpan w:val="3"/>
          </w:tcPr>
          <w:p>
            <w:pPr>
              <w:jc w:val="center"/>
              <w:ind w:right="320"/>
              <w:spacing w:after="0"/>
              <w:rPr>
                <w:sz w:val="20"/>
                <w:szCs w:val="20"/>
                <w:color w:val="auto"/>
              </w:rPr>
            </w:pPr>
            <w:r>
              <w:rPr>
                <w:rFonts w:ascii="Arial" w:cs="Arial" w:eastAsia="Arial" w:hAnsi="Arial"/>
                <w:sz w:val="18"/>
                <w:szCs w:val="18"/>
                <w:color w:val="auto"/>
                <w:w w:val="93"/>
              </w:rPr>
              <w:t>3.0x</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3.0x</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0" w:type="dxa"/>
            <w:vAlign w:val="bottom"/>
            <w:gridSpan w:val="3"/>
          </w:tcPr>
          <w:p>
            <w:pPr>
              <w:ind w:left="320"/>
              <w:spacing w:after="0"/>
              <w:rPr>
                <w:sz w:val="20"/>
                <w:szCs w:val="20"/>
                <w:color w:val="auto"/>
              </w:rPr>
            </w:pPr>
            <w:r>
              <w:rPr>
                <w:rFonts w:ascii="Arial" w:cs="Arial" w:eastAsia="Arial" w:hAnsi="Arial"/>
                <w:sz w:val="18"/>
                <w:szCs w:val="18"/>
                <w:color w:val="auto"/>
              </w:rPr>
              <w:t>Third-Party Bid</w:t>
            </w:r>
          </w:p>
        </w:tc>
        <w:tc>
          <w:tcPr>
            <w:tcW w:w="440" w:type="dxa"/>
            <w:vAlign w:val="bottom"/>
          </w:tcPr>
          <w:p>
            <w:pPr>
              <w:jc w:val="right"/>
              <w:spacing w:after="0"/>
              <w:rPr>
                <w:sz w:val="20"/>
                <w:szCs w:val="20"/>
                <w:color w:val="auto"/>
              </w:rPr>
            </w:pPr>
            <w:r>
              <w:rPr>
                <w:rFonts w:ascii="Arial" w:cs="Arial" w:eastAsia="Arial" w:hAnsi="Arial"/>
                <w:sz w:val="18"/>
                <w:szCs w:val="18"/>
                <w:color w:val="auto"/>
              </w:rPr>
              <w:t>83.7</w:t>
            </w:r>
          </w:p>
        </w:tc>
        <w:tc>
          <w:tcPr>
            <w:tcW w:w="640" w:type="dxa"/>
            <w:vAlign w:val="bottom"/>
          </w:tcPr>
          <w:p>
            <w:pPr>
              <w:ind w:left="20"/>
              <w:spacing w:after="0"/>
              <w:rPr>
                <w:sz w:val="20"/>
                <w:szCs w:val="20"/>
                <w:color w:val="auto"/>
              </w:rPr>
            </w:pPr>
            <w:r>
              <w:rPr>
                <w:rFonts w:ascii="Arial" w:cs="Arial" w:eastAsia="Arial" w:hAnsi="Arial"/>
                <w:sz w:val="18"/>
                <w:szCs w:val="18"/>
                <w:color w:val="auto"/>
              </w:rPr>
              <w:t>- 101.0</w:t>
            </w:r>
          </w:p>
        </w:tc>
        <w:tc>
          <w:tcPr>
            <w:tcW w:w="3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96.1%</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29,262</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96"/>
              </w:rPr>
              <w:t>Market Comparables</w:t>
            </w:r>
          </w:p>
        </w:tc>
        <w:tc>
          <w:tcPr>
            <w:tcW w:w="20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Market Yield (%)</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8.8%</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- 14.8%</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20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Third-Party Bid</w:t>
            </w:r>
          </w:p>
        </w:tc>
        <w:tc>
          <w:tcPr>
            <w:tcW w:w="140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91"/>
              </w:rPr>
              <w:t>100.0 — 101.9</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02"/>
        </w:trPr>
        <w:tc>
          <w:tcPr>
            <w:tcW w:w="4000" w:type="dxa"/>
            <w:vAlign w:val="bottom"/>
          </w:tcPr>
          <w:p>
            <w:pPr>
              <w:spacing w:after="0" w:line="201" w:lineRule="exact"/>
              <w:rPr>
                <w:sz w:val="20"/>
                <w:szCs w:val="20"/>
                <w:color w:val="auto"/>
              </w:rPr>
            </w:pPr>
            <w:r>
              <w:rPr>
                <w:rFonts w:ascii="Arial" w:cs="Arial" w:eastAsia="Arial" w:hAnsi="Arial"/>
                <w:sz w:val="18"/>
                <w:szCs w:val="18"/>
                <w:color w:val="auto"/>
              </w:rPr>
              <w:t>Senior secured notes</w:t>
            </w:r>
          </w:p>
        </w:tc>
        <w:tc>
          <w:tcPr>
            <w:tcW w:w="1420" w:type="dxa"/>
            <w:vAlign w:val="bottom"/>
            <w:gridSpan w:val="3"/>
          </w:tcPr>
          <w:p>
            <w:pPr>
              <w:jc w:val="right"/>
              <w:ind w:right="420"/>
              <w:spacing w:after="0" w:line="201" w:lineRule="exact"/>
              <w:rPr>
                <w:sz w:val="20"/>
                <w:szCs w:val="20"/>
                <w:color w:val="auto"/>
              </w:rPr>
            </w:pPr>
            <w:r>
              <w:rPr>
                <w:rFonts w:ascii="Arial" w:cs="Arial" w:eastAsia="Arial" w:hAnsi="Arial"/>
                <w:sz w:val="18"/>
                <w:szCs w:val="18"/>
                <w:color w:val="auto"/>
              </w:rPr>
              <w:t>25,035</w:t>
            </w:r>
          </w:p>
        </w:tc>
        <w:tc>
          <w:tcPr>
            <w:tcW w:w="1640" w:type="dxa"/>
            <w:vAlign w:val="bottom"/>
          </w:tcPr>
          <w:p>
            <w:pPr>
              <w:spacing w:after="0" w:line="201" w:lineRule="exact"/>
              <w:rPr>
                <w:sz w:val="20"/>
                <w:szCs w:val="20"/>
                <w:color w:val="auto"/>
              </w:rPr>
            </w:pPr>
            <w:r>
              <w:rPr>
                <w:rFonts w:ascii="Arial" w:cs="Arial" w:eastAsia="Arial" w:hAnsi="Arial"/>
                <w:sz w:val="18"/>
                <w:szCs w:val="18"/>
                <w:color w:val="auto"/>
                <w:w w:val="96"/>
              </w:rPr>
              <w:t>Market Comparables</w:t>
            </w:r>
          </w:p>
        </w:tc>
        <w:tc>
          <w:tcPr>
            <w:tcW w:w="2000" w:type="dxa"/>
            <w:vAlign w:val="bottom"/>
            <w:gridSpan w:val="3"/>
          </w:tcPr>
          <w:p>
            <w:pPr>
              <w:ind w:left="320"/>
              <w:spacing w:after="0" w:line="201" w:lineRule="exact"/>
              <w:rPr>
                <w:sz w:val="20"/>
                <w:szCs w:val="20"/>
                <w:color w:val="auto"/>
              </w:rPr>
            </w:pPr>
            <w:r>
              <w:rPr>
                <w:rFonts w:ascii="Arial" w:cs="Arial" w:eastAsia="Arial" w:hAnsi="Arial"/>
                <w:sz w:val="18"/>
                <w:szCs w:val="18"/>
                <w:color w:val="auto"/>
              </w:rPr>
              <w:t>Market Yield (%)</w:t>
            </w:r>
          </w:p>
        </w:tc>
        <w:tc>
          <w:tcPr>
            <w:tcW w:w="108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91"/>
              </w:rPr>
              <w:t>11.0% - 42.5%</w:t>
            </w:r>
          </w:p>
        </w:tc>
        <w:tc>
          <w:tcPr>
            <w:tcW w:w="320" w:type="dxa"/>
            <w:vAlign w:val="bottom"/>
          </w:tcPr>
          <w:p>
            <w:pPr>
              <w:spacing w:after="0"/>
              <w:rPr>
                <w:sz w:val="17"/>
                <w:szCs w:val="17"/>
                <w:color w:val="auto"/>
              </w:rPr>
            </w:pPr>
          </w:p>
        </w:tc>
        <w:tc>
          <w:tcPr>
            <w:tcW w:w="96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0" w:type="dxa"/>
            <w:vAlign w:val="bottom"/>
            <w:gridSpan w:val="3"/>
          </w:tcPr>
          <w:p>
            <w:pPr>
              <w:ind w:left="320"/>
              <w:spacing w:after="0"/>
              <w:rPr>
                <w:sz w:val="20"/>
                <w:szCs w:val="20"/>
                <w:color w:val="auto"/>
              </w:rPr>
            </w:pPr>
            <w:r>
              <w:rPr>
                <w:rFonts w:ascii="Arial" w:cs="Arial" w:eastAsia="Arial" w:hAnsi="Arial"/>
                <w:sz w:val="18"/>
                <w:szCs w:val="18"/>
                <w:color w:val="auto"/>
              </w:rPr>
              <w:t>EBITDA</w:t>
            </w: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00" w:type="dxa"/>
            <w:vAlign w:val="bottom"/>
            <w:gridSpan w:val="3"/>
          </w:tcPr>
          <w:p>
            <w:pPr>
              <w:ind w:left="320"/>
              <w:spacing w:after="0"/>
              <w:rPr>
                <w:sz w:val="20"/>
                <w:szCs w:val="20"/>
                <w:color w:val="auto"/>
              </w:rPr>
            </w:pPr>
            <w:r>
              <w:rPr>
                <w:rFonts w:ascii="Arial" w:cs="Arial" w:eastAsia="Arial" w:hAnsi="Arial"/>
                <w:sz w:val="18"/>
                <w:szCs w:val="18"/>
                <w:color w:val="auto"/>
              </w:rPr>
              <w:t>Multiples (x)</w:t>
            </w:r>
          </w:p>
        </w:tc>
        <w:tc>
          <w:tcPr>
            <w:tcW w:w="1400" w:type="dxa"/>
            <w:vAlign w:val="bottom"/>
            <w:gridSpan w:val="3"/>
          </w:tcPr>
          <w:p>
            <w:pPr>
              <w:jc w:val="center"/>
              <w:ind w:right="320"/>
              <w:spacing w:after="0"/>
              <w:rPr>
                <w:sz w:val="20"/>
                <w:szCs w:val="20"/>
                <w:color w:val="auto"/>
              </w:rPr>
            </w:pPr>
            <w:r>
              <w:rPr>
                <w:rFonts w:ascii="Arial" w:cs="Arial" w:eastAsia="Arial" w:hAnsi="Arial"/>
                <w:sz w:val="18"/>
                <w:szCs w:val="18"/>
                <w:color w:val="auto"/>
                <w:w w:val="93"/>
              </w:rPr>
              <w:t>5.0x</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5.0x</w:t>
            </w:r>
          </w:p>
        </w:tc>
        <w:tc>
          <w:tcPr>
            <w:tcW w:w="0" w:type="dxa"/>
            <w:vAlign w:val="bottom"/>
          </w:tcPr>
          <w:p>
            <w:pPr>
              <w:spacing w:after="0"/>
              <w:rPr>
                <w:sz w:val="1"/>
                <w:szCs w:val="1"/>
                <w:color w:val="auto"/>
              </w:rPr>
            </w:pPr>
          </w:p>
        </w:tc>
      </w:tr>
      <w:tr>
        <w:trPr>
          <w:trHeight w:val="230"/>
        </w:trPr>
        <w:tc>
          <w:tcPr>
            <w:tcW w:w="40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00" w:type="dxa"/>
            <w:vAlign w:val="bottom"/>
            <w:gridSpan w:val="3"/>
          </w:tcPr>
          <w:p>
            <w:pPr>
              <w:ind w:left="320"/>
              <w:spacing w:after="0"/>
              <w:rPr>
                <w:sz w:val="20"/>
                <w:szCs w:val="20"/>
                <w:color w:val="auto"/>
              </w:rPr>
            </w:pPr>
            <w:r>
              <w:rPr>
                <w:rFonts w:ascii="Arial" w:cs="Arial" w:eastAsia="Arial" w:hAnsi="Arial"/>
                <w:sz w:val="18"/>
                <w:szCs w:val="18"/>
                <w:color w:val="auto"/>
              </w:rPr>
              <w:t>Third-Party Bid</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88"/>
              </w:rPr>
              <w:t>108.0</w:t>
            </w:r>
          </w:p>
        </w:tc>
        <w:tc>
          <w:tcPr>
            <w:tcW w:w="320" w:type="dxa"/>
            <w:vAlign w:val="bottom"/>
          </w:tcPr>
          <w:p>
            <w:pPr>
              <w:spacing w:after="0"/>
              <w:rPr>
                <w:sz w:val="20"/>
                <w:szCs w:val="20"/>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108.0%</w:t>
            </w:r>
          </w:p>
        </w:tc>
        <w:tc>
          <w:tcPr>
            <w:tcW w:w="0" w:type="dxa"/>
            <w:vAlign w:val="bottom"/>
          </w:tcPr>
          <w:p>
            <w:pPr>
              <w:spacing w:after="0"/>
              <w:rPr>
                <w:sz w:val="1"/>
                <w:szCs w:val="1"/>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142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5,909</w:t>
            </w: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w w:val="96"/>
              </w:rPr>
              <w:t>Market Comparables</w:t>
            </w:r>
          </w:p>
        </w:tc>
        <w:tc>
          <w:tcPr>
            <w:tcW w:w="20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Market Yield (%)</w:t>
            </w:r>
          </w:p>
        </w:tc>
        <w:tc>
          <w:tcPr>
            <w:tcW w:w="108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13.2% - 22.2%</w:t>
            </w:r>
          </w:p>
        </w:tc>
        <w:tc>
          <w:tcPr>
            <w:tcW w:w="3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1420" w:type="dxa"/>
            <w:vAlign w:val="bottom"/>
            <w:gridSpan w:val="3"/>
          </w:tcPr>
          <w:p>
            <w:pPr>
              <w:jc w:val="right"/>
              <w:ind w:right="420"/>
              <w:spacing w:after="0"/>
              <w:rPr>
                <w:sz w:val="20"/>
                <w:szCs w:val="20"/>
                <w:color w:val="auto"/>
              </w:rPr>
            </w:pPr>
            <w:r>
              <w:rPr>
                <w:rFonts w:ascii="Arial" w:cs="Arial" w:eastAsia="Arial" w:hAnsi="Arial"/>
                <w:sz w:val="18"/>
                <w:szCs w:val="18"/>
                <w:color w:val="auto"/>
              </w:rPr>
              <w:t>20,090</w:t>
            </w:r>
          </w:p>
        </w:tc>
        <w:tc>
          <w:tcPr>
            <w:tcW w:w="1640" w:type="dxa"/>
            <w:vAlign w:val="bottom"/>
          </w:tcPr>
          <w:p>
            <w:pPr>
              <w:spacing w:after="0"/>
              <w:rPr>
                <w:sz w:val="20"/>
                <w:szCs w:val="20"/>
                <w:color w:val="auto"/>
              </w:rPr>
            </w:pPr>
            <w:r>
              <w:rPr>
                <w:rFonts w:ascii="Arial" w:cs="Arial" w:eastAsia="Arial" w:hAnsi="Arial"/>
                <w:sz w:val="18"/>
                <w:szCs w:val="18"/>
                <w:color w:val="auto"/>
                <w:w w:val="89"/>
              </w:rPr>
              <w:t>Discounted Cash Flow</w:t>
            </w:r>
          </w:p>
        </w:tc>
        <w:tc>
          <w:tcPr>
            <w:tcW w:w="2000" w:type="dxa"/>
            <w:vAlign w:val="bottom"/>
            <w:gridSpan w:val="3"/>
          </w:tcPr>
          <w:p>
            <w:pPr>
              <w:ind w:left="320"/>
              <w:spacing w:after="0"/>
              <w:rPr>
                <w:sz w:val="20"/>
                <w:szCs w:val="20"/>
                <w:color w:val="auto"/>
              </w:rPr>
            </w:pPr>
            <w:r>
              <w:rPr>
                <w:rFonts w:ascii="Arial" w:cs="Arial" w:eastAsia="Arial" w:hAnsi="Arial"/>
                <w:sz w:val="18"/>
                <w:szCs w:val="18"/>
                <w:color w:val="auto"/>
              </w:rPr>
              <w:t>Discount Rate (%)</w:t>
            </w:r>
          </w:p>
        </w:tc>
        <w:tc>
          <w:tcPr>
            <w:tcW w:w="1080" w:type="dxa"/>
            <w:vAlign w:val="bottom"/>
            <w:gridSpan w:val="2"/>
          </w:tcPr>
          <w:p>
            <w:pPr>
              <w:jc w:val="center"/>
              <w:spacing w:after="0"/>
              <w:rPr>
                <w:sz w:val="20"/>
                <w:szCs w:val="20"/>
                <w:color w:val="auto"/>
              </w:rPr>
            </w:pPr>
            <w:r>
              <w:rPr>
                <w:rFonts w:ascii="Arial" w:cs="Arial" w:eastAsia="Arial" w:hAnsi="Arial"/>
                <w:sz w:val="18"/>
                <w:szCs w:val="18"/>
                <w:color w:val="auto"/>
                <w:w w:val="92"/>
              </w:rPr>
              <w:t>7.5%</w:t>
            </w:r>
          </w:p>
        </w:tc>
        <w:tc>
          <w:tcPr>
            <w:tcW w:w="32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02"/>
        </w:trPr>
        <w:tc>
          <w:tcPr>
            <w:tcW w:w="40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interests</w:t>
            </w:r>
          </w:p>
        </w:tc>
        <w:tc>
          <w:tcPr>
            <w:tcW w:w="1420" w:type="dxa"/>
            <w:vAlign w:val="bottom"/>
            <w:gridSpan w:val="3"/>
            <w:shd w:val="clear" w:color="auto" w:fill="CCEEFF"/>
          </w:tcPr>
          <w:p>
            <w:pPr>
              <w:jc w:val="right"/>
              <w:ind w:right="420"/>
              <w:spacing w:after="0" w:line="201" w:lineRule="exact"/>
              <w:rPr>
                <w:sz w:val="20"/>
                <w:szCs w:val="20"/>
                <w:color w:val="auto"/>
              </w:rPr>
            </w:pPr>
            <w:r>
              <w:rPr>
                <w:rFonts w:ascii="Arial" w:cs="Arial" w:eastAsia="Arial" w:hAnsi="Arial"/>
                <w:sz w:val="18"/>
                <w:szCs w:val="18"/>
                <w:color w:val="auto"/>
              </w:rPr>
              <w:t>13,621</w:t>
            </w:r>
          </w:p>
        </w:tc>
        <w:tc>
          <w:tcPr>
            <w:tcW w:w="16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6"/>
              </w:rPr>
              <w:t>Market Comparables</w:t>
            </w:r>
          </w:p>
        </w:tc>
        <w:tc>
          <w:tcPr>
            <w:tcW w:w="2000" w:type="dxa"/>
            <w:vAlign w:val="bottom"/>
            <w:gridSpan w:val="3"/>
            <w:shd w:val="clear" w:color="auto" w:fill="CCEEFF"/>
          </w:tcPr>
          <w:p>
            <w:pPr>
              <w:ind w:left="320"/>
              <w:spacing w:after="0" w:line="201" w:lineRule="exact"/>
              <w:rPr>
                <w:sz w:val="20"/>
                <w:szCs w:val="20"/>
                <w:color w:val="auto"/>
              </w:rPr>
            </w:pPr>
            <w:r>
              <w:rPr>
                <w:rFonts w:ascii="Arial" w:cs="Arial" w:eastAsia="Arial" w:hAnsi="Arial"/>
                <w:sz w:val="18"/>
                <w:szCs w:val="18"/>
                <w:color w:val="auto"/>
              </w:rPr>
              <w:t>EBITDA</w:t>
            </w:r>
          </w:p>
        </w:tc>
        <w:tc>
          <w:tcPr>
            <w:tcW w:w="4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640" w:type="dxa"/>
            <w:vAlign w:val="bottom"/>
            <w:shd w:val="clear" w:color="auto" w:fill="CCEEFF"/>
          </w:tcPr>
          <w:p>
            <w:pPr>
              <w:spacing w:after="0"/>
              <w:rPr>
                <w:sz w:val="20"/>
                <w:szCs w:val="20"/>
                <w:color w:val="auto"/>
              </w:rPr>
            </w:pPr>
          </w:p>
        </w:tc>
        <w:tc>
          <w:tcPr>
            <w:tcW w:w="2000" w:type="dxa"/>
            <w:vAlign w:val="bottom"/>
            <w:gridSpan w:val="3"/>
            <w:shd w:val="clear" w:color="auto" w:fill="CCEEFF"/>
          </w:tcPr>
          <w:p>
            <w:pPr>
              <w:ind w:left="320"/>
              <w:spacing w:after="0"/>
              <w:rPr>
                <w:sz w:val="20"/>
                <w:szCs w:val="20"/>
                <w:color w:val="auto"/>
              </w:rPr>
            </w:pPr>
            <w:r>
              <w:rPr>
                <w:rFonts w:ascii="Arial" w:cs="Arial" w:eastAsia="Arial" w:hAnsi="Arial"/>
                <w:sz w:val="18"/>
                <w:szCs w:val="18"/>
                <w:color w:val="auto"/>
              </w:rPr>
              <w:t>Multiples (x)</w:t>
            </w:r>
          </w:p>
        </w:tc>
        <w:tc>
          <w:tcPr>
            <w:tcW w:w="1400" w:type="dxa"/>
            <w:vAlign w:val="bottom"/>
            <w:gridSpan w:val="3"/>
            <w:shd w:val="clear" w:color="auto" w:fill="CCEEFF"/>
          </w:tcPr>
          <w:p>
            <w:pPr>
              <w:jc w:val="center"/>
              <w:ind w:right="320"/>
              <w:spacing w:after="0"/>
              <w:rPr>
                <w:sz w:val="20"/>
                <w:szCs w:val="20"/>
                <w:color w:val="auto"/>
              </w:rPr>
            </w:pPr>
            <w:r>
              <w:rPr>
                <w:rFonts w:ascii="Arial" w:cs="Arial" w:eastAsia="Arial" w:hAnsi="Arial"/>
                <w:sz w:val="18"/>
                <w:szCs w:val="18"/>
                <w:color w:val="auto"/>
                <w:w w:val="94"/>
              </w:rPr>
              <w:t>6.3x — 14.0x</w:t>
            </w: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8.1x</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913"/>
        <w:spacing w:after="0" w:line="277" w:lineRule="auto"/>
        <w:rPr>
          <w:sz w:val="20"/>
          <w:szCs w:val="20"/>
          <w:color w:val="auto"/>
        </w:rPr>
      </w:pPr>
      <w:r>
        <w:rPr>
          <w:rFonts w:ascii="Arial" w:cs="Arial" w:eastAsia="Arial" w:hAnsi="Arial"/>
          <w:sz w:val="18"/>
          <w:szCs w:val="18"/>
          <w:color w:val="auto"/>
        </w:rPr>
        <w:t>The valuation techniques and significant unobservable inputs used in recurring Level 3 fair value measurements of assets as of February 28, 2014 were as follows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188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Valuation Technique</w:t>
            </w:r>
          </w:p>
        </w:tc>
        <w:tc>
          <w:tcPr>
            <w:tcW w:w="15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Unobservable Input</w:t>
            </w:r>
          </w:p>
        </w:tc>
        <w:tc>
          <w:tcPr>
            <w:tcW w:w="132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rPr>
              <w:t>Range</w:t>
            </w: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71"/>
        </w:trPr>
        <w:tc>
          <w:tcPr>
            <w:tcW w:w="44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880" w:type="dxa"/>
            <w:vAlign w:val="bottom"/>
            <w:gridSpan w:val="2"/>
            <w:vMerge w:val="continue"/>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9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Average Yield</w:t>
            </w:r>
          </w:p>
        </w:tc>
        <w:tc>
          <w:tcPr>
            <w:tcW w:w="0" w:type="dxa"/>
            <w:vAlign w:val="bottom"/>
          </w:tcPr>
          <w:p>
            <w:pPr>
              <w:spacing w:after="0"/>
              <w:rPr>
                <w:sz w:val="1"/>
                <w:szCs w:val="1"/>
                <w:color w:val="auto"/>
              </w:rPr>
            </w:pPr>
          </w:p>
        </w:tc>
      </w:tr>
      <w:tr>
        <w:trPr>
          <w:trHeight w:val="210"/>
        </w:trPr>
        <w:tc>
          <w:tcPr>
            <w:tcW w:w="44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Middle market loans</w:t>
            </w:r>
          </w:p>
        </w:tc>
        <w:tc>
          <w:tcPr>
            <w:tcW w:w="2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$ 32,390</w:t>
            </w:r>
          </w:p>
        </w:tc>
        <w:tc>
          <w:tcPr>
            <w:tcW w:w="300" w:type="dxa"/>
            <w:vAlign w:val="bottom"/>
            <w:tcBorders>
              <w:top w:val="single" w:sz="8" w:color="CCEEFF"/>
            </w:tcBorders>
            <w:shd w:val="clear" w:color="auto" w:fill="CCEEFF"/>
          </w:tcPr>
          <w:p>
            <w:pPr>
              <w:spacing w:after="0"/>
              <w:rPr>
                <w:sz w:val="18"/>
                <w:szCs w:val="18"/>
                <w:color w:val="auto"/>
              </w:rPr>
            </w:pPr>
          </w:p>
        </w:tc>
        <w:tc>
          <w:tcPr>
            <w:tcW w:w="1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8"/>
              </w:rPr>
              <w:t>Market Comparables</w:t>
            </w:r>
          </w:p>
        </w:tc>
        <w:tc>
          <w:tcPr>
            <w:tcW w:w="2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Third-Party Bid</w:t>
            </w:r>
          </w:p>
        </w:tc>
        <w:tc>
          <w:tcPr>
            <w:tcW w:w="2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99.5</w:t>
            </w:r>
          </w:p>
        </w:tc>
        <w:tc>
          <w:tcPr>
            <w:tcW w:w="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- 100.6</w:t>
            </w:r>
          </w:p>
        </w:tc>
        <w:tc>
          <w:tcPr>
            <w:tcW w:w="22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rPr>
              <w:t>First lien term loans</w:t>
            </w:r>
          </w:p>
        </w:tc>
        <w:tc>
          <w:tcPr>
            <w:tcW w:w="1200" w:type="dxa"/>
            <w:vAlign w:val="bottom"/>
            <w:gridSpan w:val="3"/>
          </w:tcPr>
          <w:p>
            <w:pPr>
              <w:jc w:val="right"/>
              <w:ind w:right="300"/>
              <w:spacing w:after="0" w:line="201" w:lineRule="exact"/>
              <w:rPr>
                <w:sz w:val="20"/>
                <w:szCs w:val="20"/>
                <w:color w:val="auto"/>
              </w:rPr>
            </w:pPr>
            <w:r>
              <w:rPr>
                <w:rFonts w:ascii="Arial" w:cs="Arial" w:eastAsia="Arial" w:hAnsi="Arial"/>
                <w:sz w:val="18"/>
                <w:szCs w:val="18"/>
                <w:color w:val="auto"/>
              </w:rPr>
              <w:t>80,246</w:t>
            </w: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Market Comparables</w:t>
            </w:r>
          </w:p>
        </w:tc>
        <w:tc>
          <w:tcPr>
            <w:tcW w:w="1580" w:type="dxa"/>
            <w:vAlign w:val="bottom"/>
            <w:gridSpan w:val="2"/>
          </w:tcPr>
          <w:p>
            <w:pPr>
              <w:spacing w:after="0" w:line="201" w:lineRule="exact"/>
              <w:rPr>
                <w:sz w:val="20"/>
                <w:szCs w:val="20"/>
                <w:color w:val="auto"/>
              </w:rPr>
            </w:pPr>
            <w:r>
              <w:rPr>
                <w:rFonts w:ascii="Arial" w:cs="Arial" w:eastAsia="Arial" w:hAnsi="Arial"/>
                <w:sz w:val="18"/>
                <w:szCs w:val="18"/>
                <w:color w:val="auto"/>
              </w:rPr>
              <w:t>Market Yield (%)</w:t>
            </w:r>
          </w:p>
        </w:tc>
        <w:tc>
          <w:tcPr>
            <w:tcW w:w="460" w:type="dxa"/>
            <w:vAlign w:val="bottom"/>
          </w:tcPr>
          <w:p>
            <w:pPr>
              <w:jc w:val="right"/>
              <w:spacing w:after="0" w:line="201" w:lineRule="exact"/>
              <w:rPr>
                <w:sz w:val="20"/>
                <w:szCs w:val="20"/>
                <w:color w:val="auto"/>
              </w:rPr>
            </w:pPr>
            <w:r>
              <w:rPr>
                <w:rFonts w:ascii="Arial" w:cs="Arial" w:eastAsia="Arial" w:hAnsi="Arial"/>
                <w:sz w:val="18"/>
                <w:szCs w:val="18"/>
                <w:color w:val="auto"/>
              </w:rPr>
              <w:t>5.1%</w:t>
            </w:r>
          </w:p>
        </w:tc>
        <w:tc>
          <w:tcPr>
            <w:tcW w:w="640" w:type="dxa"/>
            <w:vAlign w:val="bottom"/>
          </w:tcPr>
          <w:p>
            <w:pPr>
              <w:ind w:left="20"/>
              <w:spacing w:after="0" w:line="201" w:lineRule="exact"/>
              <w:rPr>
                <w:sz w:val="20"/>
                <w:szCs w:val="20"/>
                <w:color w:val="auto"/>
              </w:rPr>
            </w:pPr>
            <w:r>
              <w:rPr>
                <w:rFonts w:ascii="Arial" w:cs="Arial" w:eastAsia="Arial" w:hAnsi="Arial"/>
                <w:sz w:val="18"/>
                <w:szCs w:val="18"/>
                <w:color w:val="auto"/>
                <w:w w:val="96"/>
              </w:rPr>
              <w:t>- 15.5%</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EBITDA</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Multiples (x)</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3.0x</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3.0x</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Third-Party Bid</w:t>
            </w:r>
          </w:p>
        </w:tc>
        <w:tc>
          <w:tcPr>
            <w:tcW w:w="460" w:type="dxa"/>
            <w:vAlign w:val="bottom"/>
          </w:tcPr>
          <w:p>
            <w:pPr>
              <w:jc w:val="right"/>
              <w:spacing w:after="0"/>
              <w:rPr>
                <w:sz w:val="20"/>
                <w:szCs w:val="20"/>
                <w:color w:val="auto"/>
              </w:rPr>
            </w:pPr>
            <w:r>
              <w:rPr>
                <w:rFonts w:ascii="Arial" w:cs="Arial" w:eastAsia="Arial" w:hAnsi="Arial"/>
                <w:sz w:val="18"/>
                <w:szCs w:val="18"/>
                <w:color w:val="auto"/>
              </w:rPr>
              <w:t>83.3</w:t>
            </w:r>
          </w:p>
        </w:tc>
        <w:tc>
          <w:tcPr>
            <w:tcW w:w="640" w:type="dxa"/>
            <w:vAlign w:val="bottom"/>
          </w:tcPr>
          <w:p>
            <w:pPr>
              <w:ind w:left="20"/>
              <w:spacing w:after="0"/>
              <w:rPr>
                <w:sz w:val="20"/>
                <w:szCs w:val="20"/>
                <w:color w:val="auto"/>
              </w:rPr>
            </w:pPr>
            <w:r>
              <w:rPr>
                <w:rFonts w:ascii="Arial" w:cs="Arial" w:eastAsia="Arial" w:hAnsi="Arial"/>
                <w:sz w:val="18"/>
                <w:szCs w:val="18"/>
                <w:color w:val="auto"/>
              </w:rPr>
              <w:t>- 101.5</w:t>
            </w:r>
          </w:p>
        </w:tc>
        <w:tc>
          <w:tcPr>
            <w:tcW w:w="2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97.0%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27,804</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Yield (%)</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6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- 12.5%</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Third-Party Bid</w:t>
            </w:r>
          </w:p>
        </w:tc>
        <w:tc>
          <w:tcPr>
            <w:tcW w:w="1320" w:type="dxa"/>
            <w:vAlign w:val="bottom"/>
            <w:gridSpan w:val="3"/>
            <w:shd w:val="clear" w:color="auto" w:fill="CCEEFF"/>
          </w:tcPr>
          <w:p>
            <w:pPr>
              <w:jc w:val="center"/>
              <w:ind w:right="200"/>
              <w:spacing w:after="0"/>
              <w:rPr>
                <w:sz w:val="20"/>
                <w:szCs w:val="20"/>
                <w:color w:val="auto"/>
              </w:rPr>
            </w:pPr>
            <w:r>
              <w:rPr>
                <w:rFonts w:ascii="Arial" w:cs="Arial" w:eastAsia="Arial" w:hAnsi="Arial"/>
                <w:sz w:val="18"/>
                <w:szCs w:val="18"/>
                <w:color w:val="auto"/>
                <w:w w:val="91"/>
              </w:rPr>
              <w:t>100.0 — 101.8</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02"/>
        </w:trPr>
        <w:tc>
          <w:tcPr>
            <w:tcW w:w="4460" w:type="dxa"/>
            <w:vAlign w:val="bottom"/>
          </w:tcPr>
          <w:p>
            <w:pPr>
              <w:spacing w:after="0" w:line="201" w:lineRule="exact"/>
              <w:rPr>
                <w:sz w:val="20"/>
                <w:szCs w:val="20"/>
                <w:color w:val="auto"/>
              </w:rPr>
            </w:pPr>
            <w:r>
              <w:rPr>
                <w:rFonts w:ascii="Arial" w:cs="Arial" w:eastAsia="Arial" w:hAnsi="Arial"/>
                <w:sz w:val="18"/>
                <w:szCs w:val="18"/>
                <w:color w:val="auto"/>
              </w:rPr>
              <w:t>Senior secured notes</w:t>
            </w:r>
          </w:p>
        </w:tc>
        <w:tc>
          <w:tcPr>
            <w:tcW w:w="1200" w:type="dxa"/>
            <w:vAlign w:val="bottom"/>
            <w:gridSpan w:val="3"/>
          </w:tcPr>
          <w:p>
            <w:pPr>
              <w:jc w:val="right"/>
              <w:ind w:right="300"/>
              <w:spacing w:after="0" w:line="201" w:lineRule="exact"/>
              <w:rPr>
                <w:sz w:val="20"/>
                <w:szCs w:val="20"/>
                <w:color w:val="auto"/>
              </w:rPr>
            </w:pPr>
            <w:r>
              <w:rPr>
                <w:rFonts w:ascii="Arial" w:cs="Arial" w:eastAsia="Arial" w:hAnsi="Arial"/>
                <w:sz w:val="18"/>
                <w:szCs w:val="18"/>
                <w:color w:val="auto"/>
              </w:rPr>
              <w:t>30,032</w:t>
            </w:r>
          </w:p>
        </w:tc>
        <w:tc>
          <w:tcPr>
            <w:tcW w:w="1880" w:type="dxa"/>
            <w:vAlign w:val="bottom"/>
            <w:gridSpan w:val="2"/>
          </w:tcPr>
          <w:p>
            <w:pPr>
              <w:spacing w:after="0" w:line="201" w:lineRule="exact"/>
              <w:rPr>
                <w:sz w:val="20"/>
                <w:szCs w:val="20"/>
                <w:color w:val="auto"/>
              </w:rPr>
            </w:pPr>
            <w:r>
              <w:rPr>
                <w:rFonts w:ascii="Arial" w:cs="Arial" w:eastAsia="Arial" w:hAnsi="Arial"/>
                <w:sz w:val="18"/>
                <w:szCs w:val="18"/>
                <w:color w:val="auto"/>
              </w:rPr>
              <w:t>Market Comparables</w:t>
            </w:r>
          </w:p>
        </w:tc>
        <w:tc>
          <w:tcPr>
            <w:tcW w:w="1580" w:type="dxa"/>
            <w:vAlign w:val="bottom"/>
            <w:gridSpan w:val="2"/>
          </w:tcPr>
          <w:p>
            <w:pPr>
              <w:spacing w:after="0" w:line="201" w:lineRule="exact"/>
              <w:rPr>
                <w:sz w:val="20"/>
                <w:szCs w:val="20"/>
                <w:color w:val="auto"/>
              </w:rPr>
            </w:pPr>
            <w:r>
              <w:rPr>
                <w:rFonts w:ascii="Arial" w:cs="Arial" w:eastAsia="Arial" w:hAnsi="Arial"/>
                <w:sz w:val="18"/>
                <w:szCs w:val="18"/>
                <w:color w:val="auto"/>
              </w:rPr>
              <w:t>Market Yield (%)</w:t>
            </w:r>
          </w:p>
        </w:tc>
        <w:tc>
          <w:tcPr>
            <w:tcW w:w="1100" w:type="dxa"/>
            <w:vAlign w:val="bottom"/>
            <w:gridSpan w:val="2"/>
          </w:tcPr>
          <w:p>
            <w:pPr>
              <w:jc w:val="center"/>
              <w:spacing w:after="0" w:line="201" w:lineRule="exact"/>
              <w:rPr>
                <w:sz w:val="20"/>
                <w:szCs w:val="20"/>
                <w:color w:val="auto"/>
              </w:rPr>
            </w:pPr>
            <w:r>
              <w:rPr>
                <w:rFonts w:ascii="Arial" w:cs="Arial" w:eastAsia="Arial" w:hAnsi="Arial"/>
                <w:sz w:val="18"/>
                <w:szCs w:val="18"/>
                <w:color w:val="auto"/>
                <w:w w:val="89"/>
              </w:rPr>
              <w:t>11.0% - 42.5%</w:t>
            </w:r>
          </w:p>
        </w:tc>
        <w:tc>
          <w:tcPr>
            <w:tcW w:w="220" w:type="dxa"/>
            <w:vAlign w:val="bottom"/>
          </w:tcPr>
          <w:p>
            <w:pPr>
              <w:spacing w:after="0"/>
              <w:rPr>
                <w:sz w:val="17"/>
                <w:szCs w:val="17"/>
                <w:color w:val="auto"/>
              </w:rPr>
            </w:pPr>
          </w:p>
        </w:tc>
        <w:tc>
          <w:tcPr>
            <w:tcW w:w="98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EBITDA</w:t>
            </w: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Multiples (x)</w:t>
            </w:r>
          </w:p>
        </w:tc>
        <w:tc>
          <w:tcPr>
            <w:tcW w:w="1320" w:type="dxa"/>
            <w:vAlign w:val="bottom"/>
            <w:gridSpan w:val="3"/>
          </w:tcPr>
          <w:p>
            <w:pPr>
              <w:jc w:val="center"/>
              <w:ind w:right="220"/>
              <w:spacing w:after="0"/>
              <w:rPr>
                <w:sz w:val="20"/>
                <w:szCs w:val="20"/>
                <w:color w:val="auto"/>
              </w:rPr>
            </w:pPr>
            <w:r>
              <w:rPr>
                <w:rFonts w:ascii="Arial" w:cs="Arial" w:eastAsia="Arial" w:hAnsi="Arial"/>
                <w:sz w:val="18"/>
                <w:szCs w:val="18"/>
                <w:color w:val="auto"/>
                <w:w w:val="88"/>
              </w:rPr>
              <w:t>5.0x</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5.0x</w:t>
            </w:r>
          </w:p>
        </w:tc>
        <w:tc>
          <w:tcPr>
            <w:tcW w:w="0" w:type="dxa"/>
            <w:vAlign w:val="bottom"/>
          </w:tcPr>
          <w:p>
            <w:pPr>
              <w:spacing w:after="0"/>
              <w:rPr>
                <w:sz w:val="1"/>
                <w:szCs w:val="1"/>
                <w:color w:val="auto"/>
              </w:rPr>
            </w:pPr>
          </w:p>
        </w:tc>
      </w:tr>
      <w:tr>
        <w:trPr>
          <w:trHeight w:val="230"/>
        </w:trPr>
        <w:tc>
          <w:tcPr>
            <w:tcW w:w="4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gridSpan w:val="2"/>
          </w:tcPr>
          <w:p>
            <w:pPr>
              <w:spacing w:after="0"/>
              <w:rPr>
                <w:sz w:val="20"/>
                <w:szCs w:val="20"/>
                <w:color w:val="auto"/>
              </w:rPr>
            </w:pPr>
            <w:r>
              <w:rPr>
                <w:rFonts w:ascii="Arial" w:cs="Arial" w:eastAsia="Arial" w:hAnsi="Arial"/>
                <w:sz w:val="18"/>
                <w:szCs w:val="18"/>
                <w:color w:val="auto"/>
              </w:rPr>
              <w:t>Third-Party Bid</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0"/>
              </w:rPr>
              <w:t>106.0 - 107.5</w:t>
            </w:r>
          </w:p>
        </w:tc>
        <w:tc>
          <w:tcPr>
            <w:tcW w:w="220" w:type="dxa"/>
            <w:vAlign w:val="bottom"/>
          </w:tcPr>
          <w:p>
            <w:pPr>
              <w:spacing w:after="0"/>
              <w:rPr>
                <w:sz w:val="20"/>
                <w:szCs w:val="20"/>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107.0%</w:t>
            </w:r>
          </w:p>
        </w:tc>
        <w:tc>
          <w:tcPr>
            <w:tcW w:w="0" w:type="dxa"/>
            <w:vAlign w:val="bottom"/>
          </w:tcPr>
          <w:p>
            <w:pPr>
              <w:spacing w:after="0"/>
              <w:rPr>
                <w:sz w:val="1"/>
                <w:szCs w:val="1"/>
                <w:color w:val="auto"/>
              </w:rPr>
            </w:pPr>
          </w:p>
        </w:tc>
      </w:tr>
      <w:tr>
        <w:trPr>
          <w:trHeight w:val="216"/>
        </w:trPr>
        <w:tc>
          <w:tcPr>
            <w:tcW w:w="446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120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5,471</w:t>
            </w:r>
          </w:p>
        </w:tc>
        <w:tc>
          <w:tcPr>
            <w:tcW w:w="1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Comparables</w:t>
            </w: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Market Yield (%)</w:t>
            </w:r>
          </w:p>
        </w:tc>
        <w:tc>
          <w:tcPr>
            <w:tcW w:w="110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91"/>
              </w:rPr>
              <w:t>12.8% - 20.3%</w:t>
            </w: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16"/>
        </w:trPr>
        <w:tc>
          <w:tcPr>
            <w:tcW w:w="446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1200" w:type="dxa"/>
            <w:vAlign w:val="bottom"/>
            <w:gridSpan w:val="3"/>
          </w:tcPr>
          <w:p>
            <w:pPr>
              <w:jc w:val="right"/>
              <w:ind w:right="300"/>
              <w:spacing w:after="0"/>
              <w:rPr>
                <w:sz w:val="20"/>
                <w:szCs w:val="20"/>
                <w:color w:val="auto"/>
              </w:rPr>
            </w:pPr>
            <w:r>
              <w:rPr>
                <w:rFonts w:ascii="Arial" w:cs="Arial" w:eastAsia="Arial" w:hAnsi="Arial"/>
                <w:sz w:val="18"/>
                <w:szCs w:val="18"/>
                <w:color w:val="auto"/>
              </w:rPr>
              <w:t>19,570</w:t>
            </w:r>
          </w:p>
        </w:tc>
        <w:tc>
          <w:tcPr>
            <w:tcW w:w="1880" w:type="dxa"/>
            <w:vAlign w:val="bottom"/>
            <w:gridSpan w:val="2"/>
          </w:tcPr>
          <w:p>
            <w:pPr>
              <w:spacing w:after="0"/>
              <w:rPr>
                <w:sz w:val="20"/>
                <w:szCs w:val="20"/>
                <w:color w:val="auto"/>
              </w:rPr>
            </w:pPr>
            <w:r>
              <w:rPr>
                <w:rFonts w:ascii="Arial" w:cs="Arial" w:eastAsia="Arial" w:hAnsi="Arial"/>
                <w:sz w:val="18"/>
                <w:szCs w:val="18"/>
                <w:color w:val="auto"/>
              </w:rPr>
              <w:t>Discounted Cash Flow</w:t>
            </w:r>
          </w:p>
        </w:tc>
        <w:tc>
          <w:tcPr>
            <w:tcW w:w="1580" w:type="dxa"/>
            <w:vAlign w:val="bottom"/>
            <w:gridSpan w:val="2"/>
          </w:tcPr>
          <w:p>
            <w:pPr>
              <w:spacing w:after="0"/>
              <w:rPr>
                <w:sz w:val="20"/>
                <w:szCs w:val="20"/>
                <w:color w:val="auto"/>
              </w:rPr>
            </w:pPr>
            <w:r>
              <w:rPr>
                <w:rFonts w:ascii="Arial" w:cs="Arial" w:eastAsia="Arial" w:hAnsi="Arial"/>
                <w:sz w:val="18"/>
                <w:szCs w:val="18"/>
                <w:color w:val="auto"/>
              </w:rPr>
              <w:t>Discount Rate (%)</w:t>
            </w: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2"/>
              </w:rPr>
              <w:t>9.0%</w:t>
            </w:r>
          </w:p>
        </w:tc>
        <w:tc>
          <w:tcPr>
            <w:tcW w:w="2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2"/>
        </w:trPr>
        <w:tc>
          <w:tcPr>
            <w:tcW w:w="44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Equity interests</w:t>
            </w:r>
          </w:p>
        </w:tc>
        <w:tc>
          <w:tcPr>
            <w:tcW w:w="1200" w:type="dxa"/>
            <w:vAlign w:val="bottom"/>
            <w:gridSpan w:val="3"/>
            <w:shd w:val="clear" w:color="auto" w:fill="CCEEFF"/>
          </w:tcPr>
          <w:p>
            <w:pPr>
              <w:jc w:val="right"/>
              <w:ind w:right="300"/>
              <w:spacing w:after="0" w:line="201" w:lineRule="exact"/>
              <w:rPr>
                <w:sz w:val="20"/>
                <w:szCs w:val="20"/>
                <w:color w:val="auto"/>
              </w:rPr>
            </w:pPr>
            <w:r>
              <w:rPr>
                <w:rFonts w:ascii="Arial" w:cs="Arial" w:eastAsia="Arial" w:hAnsi="Arial"/>
                <w:sz w:val="18"/>
                <w:szCs w:val="18"/>
                <w:color w:val="auto"/>
              </w:rPr>
              <w:t>10,332</w:t>
            </w:r>
          </w:p>
        </w:tc>
        <w:tc>
          <w:tcPr>
            <w:tcW w:w="18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Market Comparables</w:t>
            </w:r>
          </w:p>
        </w:tc>
        <w:tc>
          <w:tcPr>
            <w:tcW w:w="15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EBITDA</w:t>
            </w:r>
          </w:p>
        </w:tc>
        <w:tc>
          <w:tcPr>
            <w:tcW w:w="4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Multiples (x)</w:t>
            </w:r>
          </w:p>
        </w:tc>
        <w:tc>
          <w:tcPr>
            <w:tcW w:w="1320" w:type="dxa"/>
            <w:vAlign w:val="bottom"/>
            <w:gridSpan w:val="3"/>
            <w:shd w:val="clear" w:color="auto" w:fill="CCEEFF"/>
          </w:tcPr>
          <w:p>
            <w:pPr>
              <w:jc w:val="center"/>
              <w:ind w:right="220"/>
              <w:spacing w:after="0"/>
              <w:rPr>
                <w:sz w:val="20"/>
                <w:szCs w:val="20"/>
                <w:color w:val="auto"/>
              </w:rPr>
            </w:pPr>
            <w:r>
              <w:rPr>
                <w:rFonts w:ascii="Arial" w:cs="Arial" w:eastAsia="Arial" w:hAnsi="Arial"/>
                <w:sz w:val="18"/>
                <w:szCs w:val="18"/>
                <w:color w:val="auto"/>
                <w:w w:val="92"/>
              </w:rPr>
              <w:t>6.3x — 12.0x</w:t>
            </w: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7.8x</w:t>
            </w:r>
          </w:p>
        </w:tc>
        <w:tc>
          <w:tcPr>
            <w:tcW w:w="0" w:type="dxa"/>
            <w:vAlign w:val="bottom"/>
          </w:tcPr>
          <w:p>
            <w:pPr>
              <w:spacing w:after="0"/>
              <w:rPr>
                <w:sz w:val="1"/>
                <w:szCs w:val="1"/>
                <w:color w:val="auto"/>
              </w:rPr>
            </w:pPr>
          </w:p>
        </w:tc>
      </w:tr>
    </w:tbl>
    <w:p>
      <w:pPr>
        <w:spacing w:after="0" w:line="13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459" w:right="239" w:bottom="1440" w:gutter="0" w:footer="0" w:header="0"/>
          <w:type w:val="continuous"/>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913"/>
        <w:spacing w:after="0" w:line="279" w:lineRule="auto"/>
        <w:rPr>
          <w:sz w:val="20"/>
          <w:szCs w:val="20"/>
          <w:color w:val="auto"/>
        </w:rPr>
      </w:pPr>
      <w:r>
        <w:rPr>
          <w:rFonts w:ascii="Arial" w:cs="Arial" w:eastAsia="Arial" w:hAnsi="Arial"/>
          <w:sz w:val="17"/>
          <w:szCs w:val="17"/>
          <w:color w:val="auto"/>
        </w:rPr>
        <w:t>For investments utilizing a market comparables valuation technique, a significant increase (decrease) in the market yield, in isolation, would result in a significantly lower (higher) fair value measurement, and a significant increase (decrease) in any of the EBITDA valuation multiples, in isolation, would result in a significantly higher (lower) fair value measurement. For investments utilizing a discounted cash flow valuation technique, a significant increase (decrease) in the discount rate, in isolation, would result in a significantly lower (higher) fair value measurement.</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composition of the Company’s investments as of August 31, 2014, at amortized cost and fair value were as follows (dollars in thousands):</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6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Investments at</w:t>
            </w:r>
          </w:p>
        </w:tc>
        <w:tc>
          <w:tcPr>
            <w:tcW w:w="17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Amortized Cost</w:t>
            </w: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Investments at</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17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1600" w:type="dxa"/>
            <w:vAlign w:val="bottom"/>
            <w:gridSpan w:val="3"/>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43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Amortized Cost</w:t>
            </w:r>
          </w:p>
        </w:tc>
        <w:tc>
          <w:tcPr>
            <w:tcW w:w="680" w:type="dxa"/>
            <w:vAlign w:val="bottom"/>
            <w:tcBorders>
              <w:bottom w:val="single" w:sz="8" w:color="CCEEFF"/>
            </w:tcBorders>
            <w:gridSpan w:val="2"/>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5"/>
              </w:rPr>
              <w:t>Fair Value</w:t>
            </w:r>
          </w:p>
        </w:tc>
        <w:tc>
          <w:tcPr>
            <w:tcW w:w="7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Middle market loans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26,662</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26,814</w:t>
            </w: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First lien term loans</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116,473</w:t>
            </w:r>
          </w:p>
        </w:tc>
        <w:tc>
          <w:tcPr>
            <w:tcW w:w="66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rPr>
              <w:t>50.2</w:t>
            </w: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115,589</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48.9</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29,261</w:t>
            </w:r>
          </w:p>
        </w:tc>
        <w:tc>
          <w:tcPr>
            <w:tcW w:w="6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12.6</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29,262</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Senior secured notes</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27,416</w:t>
            </w: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11.8</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25,035</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7,265</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5,909</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16,556</w:t>
            </w: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7.1</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20,090</w:t>
            </w:r>
          </w:p>
        </w:tc>
        <w:tc>
          <w:tcPr>
            <w:tcW w:w="900" w:type="dxa"/>
            <w:vAlign w:val="bottom"/>
          </w:tcPr>
          <w:p>
            <w:pPr>
              <w:jc w:val="right"/>
              <w:spacing w:after="0"/>
              <w:rPr>
                <w:sz w:val="20"/>
                <w:szCs w:val="20"/>
                <w:color w:val="auto"/>
              </w:rPr>
            </w:pPr>
            <w:r>
              <w:rPr>
                <w:rFonts w:ascii="Arial" w:cs="Arial" w:eastAsia="Arial" w:hAnsi="Arial"/>
                <w:sz w:val="18"/>
                <w:szCs w:val="18"/>
                <w:color w:val="auto"/>
              </w:rPr>
              <w:t>8.5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13,621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231,979</w:t>
            </w:r>
          </w:p>
        </w:tc>
        <w:tc>
          <w:tcPr>
            <w:tcW w:w="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236,320</w:t>
            </w:r>
          </w:p>
        </w:tc>
        <w:tc>
          <w:tcPr>
            <w:tcW w:w="700" w:type="dxa"/>
            <w:vAlign w:val="bottom"/>
            <w:vMerge w:val="continue"/>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composition of the Company’s investments as of February 28, 2014, at amortized cost and fair value were as follows (dollars in thousands):</w:t>
      </w:r>
    </w:p>
    <w:p>
      <w:pPr>
        <w:spacing w:after="0" w:line="25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380" w:type="dxa"/>
            <w:vAlign w:val="bottom"/>
          </w:tcPr>
          <w:p>
            <w:pPr>
              <w:spacing w:after="0"/>
              <w:rPr>
                <w:sz w:val="14"/>
                <w:szCs w:val="14"/>
                <w:color w:val="auto"/>
              </w:rPr>
            </w:pPr>
          </w:p>
        </w:tc>
        <w:tc>
          <w:tcPr>
            <w:tcW w:w="1660" w:type="dxa"/>
            <w:vAlign w:val="bottom"/>
            <w:gridSpan w:val="4"/>
            <w:vMerge w:val="restart"/>
          </w:tcPr>
          <w:p>
            <w:pPr>
              <w:ind w:left="40"/>
              <w:spacing w:after="0"/>
              <w:rPr>
                <w:sz w:val="20"/>
                <w:szCs w:val="20"/>
                <w:color w:val="auto"/>
              </w:rPr>
            </w:pPr>
            <w:r>
              <w:rPr>
                <w:rFonts w:ascii="Arial" w:cs="Arial" w:eastAsia="Arial" w:hAnsi="Arial"/>
                <w:sz w:val="14"/>
                <w:szCs w:val="14"/>
                <w:b w:val="1"/>
                <w:bCs w:val="1"/>
                <w:color w:val="auto"/>
              </w:rPr>
              <w:t>Investments at</w:t>
            </w:r>
          </w:p>
        </w:tc>
        <w:tc>
          <w:tcPr>
            <w:tcW w:w="1760" w:type="dxa"/>
            <w:vAlign w:val="bottom"/>
            <w:gridSpan w:val="2"/>
          </w:tcPr>
          <w:p>
            <w:pPr>
              <w:jc w:val="center"/>
              <w:ind w:right="780"/>
              <w:spacing w:after="0"/>
              <w:rPr>
                <w:sz w:val="20"/>
                <w:szCs w:val="20"/>
                <w:color w:val="auto"/>
              </w:rPr>
            </w:pPr>
            <w:r>
              <w:rPr>
                <w:rFonts w:ascii="Arial" w:cs="Arial" w:eastAsia="Arial" w:hAnsi="Arial"/>
                <w:sz w:val="14"/>
                <w:szCs w:val="14"/>
                <w:b w:val="1"/>
                <w:bCs w:val="1"/>
                <w:color w:val="auto"/>
                <w:w w:val="94"/>
              </w:rPr>
              <w:t>Amortized Cost</w:t>
            </w:r>
          </w:p>
        </w:tc>
        <w:tc>
          <w:tcPr>
            <w:tcW w:w="16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Investments at</w:t>
            </w: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4380" w:type="dxa"/>
            <w:vAlign w:val="bottom"/>
          </w:tcPr>
          <w:p>
            <w:pPr>
              <w:spacing w:after="0"/>
              <w:rPr>
                <w:sz w:val="12"/>
                <w:szCs w:val="12"/>
                <w:color w:val="auto"/>
              </w:rPr>
            </w:pPr>
          </w:p>
        </w:tc>
        <w:tc>
          <w:tcPr>
            <w:tcW w:w="1660" w:type="dxa"/>
            <w:vAlign w:val="bottom"/>
            <w:gridSpan w:val="4"/>
            <w:vMerge w:val="continue"/>
          </w:tcPr>
          <w:p>
            <w:pPr>
              <w:spacing w:after="0"/>
              <w:rPr>
                <w:sz w:val="12"/>
                <w:szCs w:val="12"/>
                <w:color w:val="auto"/>
              </w:rPr>
            </w:pPr>
          </w:p>
        </w:tc>
        <w:tc>
          <w:tcPr>
            <w:tcW w:w="17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8"/>
              </w:rPr>
              <w:t>Percentage of</w:t>
            </w:r>
          </w:p>
        </w:tc>
        <w:tc>
          <w:tcPr>
            <w:tcW w:w="1600" w:type="dxa"/>
            <w:vAlign w:val="bottom"/>
            <w:gridSpan w:val="3"/>
            <w:vMerge w:val="continue"/>
          </w:tcPr>
          <w:p>
            <w:pPr>
              <w:spacing w:after="0"/>
              <w:rPr>
                <w:sz w:val="12"/>
                <w:szCs w:val="12"/>
                <w:color w:val="auto"/>
              </w:rPr>
            </w:pPr>
          </w:p>
        </w:tc>
        <w:tc>
          <w:tcPr>
            <w:tcW w:w="11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Percentage of</w:t>
            </w:r>
          </w:p>
        </w:tc>
        <w:tc>
          <w:tcPr>
            <w:tcW w:w="0" w:type="dxa"/>
            <w:vAlign w:val="bottom"/>
          </w:tcPr>
          <w:p>
            <w:pPr>
              <w:spacing w:after="0"/>
              <w:rPr>
                <w:sz w:val="1"/>
                <w:szCs w:val="1"/>
                <w:color w:val="auto"/>
              </w:rPr>
            </w:pPr>
          </w:p>
        </w:tc>
      </w:tr>
      <w:tr>
        <w:trPr>
          <w:trHeight w:val="171"/>
        </w:trPr>
        <w:tc>
          <w:tcPr>
            <w:tcW w:w="438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2"/>
              </w:rPr>
              <w:t>Amortized Cost</w:t>
            </w:r>
          </w:p>
        </w:tc>
        <w:tc>
          <w:tcPr>
            <w:tcW w:w="680" w:type="dxa"/>
            <w:vAlign w:val="bottom"/>
            <w:tcBorders>
              <w:bottom w:val="single" w:sz="8" w:color="CCEEFF"/>
            </w:tcBorders>
            <w:gridSpan w:val="2"/>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7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5"/>
              </w:rPr>
              <w:t>Fair Value</w:t>
            </w:r>
          </w:p>
        </w:tc>
        <w:tc>
          <w:tcPr>
            <w:tcW w:w="70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Total Portfolio</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Middle market loans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31,983</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15.8%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32,390</w:t>
            </w:r>
          </w:p>
        </w:tc>
        <w:tc>
          <w:tcPr>
            <w:tcW w:w="7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First lien term loans</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80,734</w:t>
            </w:r>
          </w:p>
        </w:tc>
        <w:tc>
          <w:tcPr>
            <w:tcW w:w="66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rPr>
              <w:t>40.0</w:t>
            </w: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80,246</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27,540</w:t>
            </w:r>
          </w:p>
        </w:tc>
        <w:tc>
          <w:tcPr>
            <w:tcW w:w="66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27,804</w:t>
            </w: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Senior secured notes</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31,304</w:t>
            </w:r>
          </w:p>
        </w:tc>
        <w:tc>
          <w:tcPr>
            <w:tcW w:w="660" w:type="dxa"/>
            <w:vAlign w:val="bottom"/>
          </w:tcPr>
          <w:p>
            <w:pPr>
              <w:spacing w:after="0"/>
              <w:rPr>
                <w:sz w:val="18"/>
                <w:szCs w:val="18"/>
                <w:color w:val="auto"/>
              </w:rPr>
            </w:pPr>
          </w:p>
        </w:tc>
        <w:tc>
          <w:tcPr>
            <w:tcW w:w="1760" w:type="dxa"/>
            <w:vAlign w:val="bottom"/>
            <w:gridSpan w:val="2"/>
          </w:tcPr>
          <w:p>
            <w:pPr>
              <w:jc w:val="right"/>
              <w:ind w:right="780"/>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30,032</w:t>
            </w: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2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7,149</w:t>
            </w: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5,471</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2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16,556</w:t>
            </w:r>
          </w:p>
        </w:tc>
        <w:tc>
          <w:tcPr>
            <w:tcW w:w="6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w:t>
            </w: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right"/>
              <w:ind w:right="700"/>
              <w:spacing w:after="0"/>
              <w:rPr>
                <w:sz w:val="20"/>
                <w:szCs w:val="20"/>
                <w:color w:val="auto"/>
              </w:rPr>
            </w:pPr>
            <w:r>
              <w:rPr>
                <w:rFonts w:ascii="Arial" w:cs="Arial" w:eastAsia="Arial" w:hAnsi="Arial"/>
                <w:sz w:val="18"/>
                <w:szCs w:val="18"/>
                <w:color w:val="auto"/>
              </w:rPr>
              <w:t>19,570</w:t>
            </w:r>
          </w:p>
        </w:tc>
        <w:tc>
          <w:tcPr>
            <w:tcW w:w="900" w:type="dxa"/>
            <w:vAlign w:val="bottom"/>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2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6,556</w:t>
            </w:r>
          </w:p>
        </w:tc>
        <w:tc>
          <w:tcPr>
            <w:tcW w:w="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10,332</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3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00" w:type="dxa"/>
            <w:vAlign w:val="bottom"/>
            <w:vMerge w:val="restart"/>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380" w:type="dxa"/>
            <w:vAlign w:val="bottom"/>
            <w:vMerge w:val="continue"/>
          </w:tcPr>
          <w:p>
            <w:pPr>
              <w:spacing w:after="0"/>
              <w:rPr>
                <w:sz w:val="19"/>
                <w:szCs w:val="19"/>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201,822</w:t>
            </w:r>
          </w:p>
        </w:tc>
        <w:tc>
          <w:tcPr>
            <w:tcW w:w="20" w:type="dxa"/>
            <w:vAlign w:val="bottom"/>
            <w:vMerge w:val="continue"/>
          </w:tcPr>
          <w:p>
            <w:pPr>
              <w:spacing w:after="0"/>
              <w:rPr>
                <w:sz w:val="19"/>
                <w:szCs w:val="19"/>
                <w:color w:val="auto"/>
              </w:rPr>
            </w:pPr>
          </w:p>
        </w:tc>
        <w:tc>
          <w:tcPr>
            <w:tcW w:w="660" w:type="dxa"/>
            <w:vAlign w:val="bottom"/>
            <w:vMerge w:val="continue"/>
          </w:tcPr>
          <w:p>
            <w:pPr>
              <w:spacing w:after="0"/>
              <w:rPr>
                <w:sz w:val="19"/>
                <w:szCs w:val="19"/>
                <w:color w:val="auto"/>
              </w:rPr>
            </w:pPr>
          </w:p>
        </w:tc>
        <w:tc>
          <w:tcPr>
            <w:tcW w:w="1760" w:type="dxa"/>
            <w:vAlign w:val="bottom"/>
            <w:gridSpan w:val="2"/>
          </w:tcPr>
          <w:p>
            <w:pPr>
              <w:jc w:val="right"/>
              <w:ind w:right="640"/>
              <w:spacing w:after="0"/>
              <w:rPr>
                <w:sz w:val="20"/>
                <w:szCs w:val="20"/>
                <w:color w:val="auto"/>
              </w:rPr>
            </w:pPr>
            <w:r>
              <w:rPr>
                <w:rFonts w:ascii="Arial" w:cs="Arial" w:eastAsia="Arial" w:hAnsi="Arial"/>
                <w:sz w:val="18"/>
                <w:szCs w:val="18"/>
                <w:color w:val="auto"/>
              </w:rPr>
              <w:t>100.0%</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205,845</w:t>
            </w:r>
          </w:p>
        </w:tc>
        <w:tc>
          <w:tcPr>
            <w:tcW w:w="700" w:type="dxa"/>
            <w:vAlign w:val="bottom"/>
            <w:vMerge w:val="continue"/>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For loans and debt securities for which market quotations are not available, we determine their fair value based on third party indicative broker quotes, where available, or the assumptions that a hypothetical market participant would use to value the security in a current hypothetical sale using a market yield valuation methodology. In applying the market yield valuation methodology, we determine the fair value based on such factors as market participant assumptions including synthetic credit ratings, estimated remaining life, current market yield and interest rate spreads of similar securities as of the measurement date. If, in our judgment, the market yield methodology is not sufficient or appropriate, we may use additional methodologies such as an asset liquidation or expected recovery model.</w:t>
      </w:r>
    </w:p>
    <w:p>
      <w:pPr>
        <w:spacing w:after="0" w:line="193"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For equity securities of portfolio companies and partnership interests, we determine the fair value based on the market approach with value then attributed to equity or equity like securities using the enterprise value waterfall valuation methodology. Under the enterprise value waterfall valuation methodology, we determine the enterprise fair value of the portfolio company and then waterfall the enterprise value over the portfolio company’s securities in order of their preference relative to one another. To estimate the enterprise value of the portfolio company, we weigh some or all of the traditional market valuation methods and factors based on the individual circumstances of the portfolio company in order to estimate the enterprise value. The methodologies for performing investments may be based on, among other things: valuations of comparable public companies, recent sales of private and public comparable companies, discounting the forecasted cash flows of the portfolio company, third party valuations of the portfolio company, considering offers from third parties to buy the company, estimating the value to potential strategic buyers and considering</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40"/>
        <w:spacing w:after="0" w:line="342" w:lineRule="auto"/>
        <w:rPr>
          <w:sz w:val="20"/>
          <w:szCs w:val="20"/>
          <w:color w:val="auto"/>
        </w:rPr>
      </w:pPr>
      <w:r>
        <w:rPr>
          <w:rFonts w:ascii="Arial" w:cs="Arial" w:eastAsia="Arial" w:hAnsi="Arial"/>
          <w:sz w:val="16"/>
          <w:szCs w:val="16"/>
          <w:color w:val="auto"/>
        </w:rPr>
        <w:t>the value of recent investments in the equity securities of the portfolio company. For non-performing investments, we may estimate the liquidation or collateral value of the portfolio company’s assets and liabilities. We also take into account historical and anticipated financial results.</w:t>
      </w:r>
    </w:p>
    <w:p>
      <w:pPr>
        <w:spacing w:after="0" w:line="124"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Our investment in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our Manager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flows analysis on expected future cash flows to determine a valuation for our investment in Saratoga CLO at August 31, 2014. The significant inputs for the valuation model include:</w:t>
      </w:r>
    </w:p>
    <w:p>
      <w:pPr>
        <w:spacing w:after="0" w:line="72" w:lineRule="exact"/>
        <w:rPr>
          <w:sz w:val="20"/>
          <w:szCs w:val="20"/>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Default rates: 2.0%</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Recovery rates: 35-75%</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Prepayment rate: 25.0%</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Reinvestment rate / price: L+375bps / $99.75</w:t>
      </w:r>
    </w:p>
    <w:p>
      <w:pPr>
        <w:spacing w:after="0" w:line="225" w:lineRule="exact"/>
        <w:rPr>
          <w:sz w:val="20"/>
          <w:szCs w:val="20"/>
          <w:color w:val="auto"/>
        </w:rPr>
      </w:pPr>
    </w:p>
    <w:p>
      <w:pPr>
        <w:ind w:right="20" w:firstLine="913"/>
        <w:spacing w:after="0" w:line="264" w:lineRule="auto"/>
        <w:rPr>
          <w:sz w:val="20"/>
          <w:szCs w:val="20"/>
          <w:color w:val="auto"/>
        </w:rPr>
      </w:pPr>
      <w:r>
        <w:rPr>
          <w:rFonts w:ascii="Arial" w:cs="Arial" w:eastAsia="Arial" w:hAnsi="Arial"/>
          <w:sz w:val="18"/>
          <w:szCs w:val="18"/>
          <w:color w:val="auto"/>
        </w:rPr>
        <w:t>The Company and SBIC are both considered to be investment companies for financial reporting purposes and have applied the guidance in Topic 946, “Financial Services — Investment Companies”. There have been no changes to the Company or SBIC’s status as investment companies during the quarterly period ended August 31,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Investment in Saratoga Investment Corp. CLO 2013-1, Ltd. (“Saratoga CLO”)</w:t>
      </w:r>
    </w:p>
    <w:p>
      <w:pPr>
        <w:spacing w:after="0" w:line="121" w:lineRule="exact"/>
        <w:rPr>
          <w:sz w:val="20"/>
          <w:szCs w:val="20"/>
          <w:color w:val="auto"/>
        </w:rPr>
      </w:pPr>
    </w:p>
    <w:p>
      <w:pPr>
        <w:ind w:right="100" w:firstLine="913"/>
        <w:spacing w:after="0" w:line="284" w:lineRule="auto"/>
        <w:rPr>
          <w:sz w:val="20"/>
          <w:szCs w:val="20"/>
          <w:color w:val="auto"/>
        </w:rPr>
      </w:pPr>
      <w:r>
        <w:rPr>
          <w:rFonts w:ascii="Arial" w:cs="Arial" w:eastAsia="Arial" w:hAnsi="Arial"/>
          <w:sz w:val="16"/>
          <w:szCs w:val="16"/>
          <w:color w:val="auto"/>
        </w:rPr>
        <w:t>On January 22, 2008, we invested $30.0 million in all of the outstanding subordinated notes of GSC Investment Corp. CLO 2007, Ltd., a collateralized loan obligation fund managed by us that invests primarily in senior secured loans. Additionally, we entered into a collateral management agreement with GSC Investment Corp. CLO 2007, Ltd. pursuant to which we act as collateral manager to it. The Saratoga CLO was refinanced in October 2013 and its reinvestment period ends in October 2016. The Saratoga CLO remains 100% owned and managed by Saratoga Investment Corp. We receive a base management fee of 0.25% and a subordinated management fee of 0.25% of the Fee Basis Amount at the beginning of the Collection Period, paid quarterly to the extent of available proceeds. We are also entitled to an incentive management fee equal to 20.0% of the remaining interest proceeds and principal proceeds, if any, after the subordinated notes have realized the incentive management fee target return of 12.0%, in accordance with the Priority of Payments after making the prior distributions on the relevant payment date. For the three months ended August 31, 2014 and August 31, 2013, we accrued</w:t>
      </w:r>
    </w:p>
    <w:p>
      <w:pPr>
        <w:spacing w:after="0" w:line="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$0.4 million and $0.5 million in management fee income, respectively, and $0.7 million and $1.1 million in interest income, respectively, from Saratoga CLO. For the six months ended August 31, 2014 and August 31, 2013, we accrued $0.8 million and $1.0 million in management fee income, respectively, and $1.3 million and $2.2 million in interest income, respectively, from Saratoga CLO. We did not accrue any amounts related to the incentive management fee as the 12.0% hurdle rate has not yet been achieved.</w:t>
      </w:r>
    </w:p>
    <w:p>
      <w:pPr>
        <w:spacing w:after="0" w:line="190" w:lineRule="exact"/>
        <w:rPr>
          <w:sz w:val="20"/>
          <w:szCs w:val="20"/>
          <w:color w:val="auto"/>
        </w:rPr>
      </w:pPr>
    </w:p>
    <w:p>
      <w:pPr>
        <w:ind w:right="40" w:firstLine="913"/>
        <w:spacing w:after="0" w:line="254" w:lineRule="auto"/>
        <w:rPr>
          <w:sz w:val="20"/>
          <w:szCs w:val="20"/>
          <w:color w:val="auto"/>
        </w:rPr>
      </w:pPr>
      <w:r>
        <w:rPr>
          <w:rFonts w:ascii="Arial" w:cs="Arial" w:eastAsia="Arial" w:hAnsi="Arial"/>
          <w:sz w:val="18"/>
          <w:szCs w:val="18"/>
          <w:color w:val="auto"/>
        </w:rPr>
        <w:t>At August 31, 2014, the Company determined that the fair value of its investment in the subordinated notes of Saratoga CLO was $20.1 million. The Company determines the fair value of its investment in the subordinated notes of Saratoga CLO based on the present value of the projected future cash flows of the subordinated notes over the life of Saratoga CLO. At August 31, 2014, Saratoga CLO had investments with a principal balance of $304.4 million and a weighted average spread over LIBOR of 4.1%, and had debt with a principal balance of $282.4 million with a weighted average spread over LIBOR of 1.8%. As a result, Saratoga CLO earns a “spread” between the interest income it receives on its investments and the interest expense it pays on its debt and other operating expenses, which is distributed quarterly to the Company as the holder of its subordinated notes. At August 31, 2014, the total “spread”, or projected future cash flows of the subordinated notes, over the life of Saratoga CLO was $24.3 million, which had a present value of approximately $20.9 million, using a 7.5% discount rate.</w:t>
      </w:r>
    </w:p>
    <w:p>
      <w:pPr>
        <w:spacing w:after="0" w:line="192" w:lineRule="exact"/>
        <w:rPr>
          <w:sz w:val="20"/>
          <w:szCs w:val="20"/>
          <w:color w:val="auto"/>
        </w:rPr>
      </w:pPr>
    </w:p>
    <w:p>
      <w:pPr>
        <w:ind w:right="40" w:firstLine="913"/>
        <w:spacing w:after="0" w:line="308" w:lineRule="auto"/>
        <w:rPr>
          <w:sz w:val="20"/>
          <w:szCs w:val="20"/>
          <w:color w:val="auto"/>
        </w:rPr>
      </w:pPr>
      <w:r>
        <w:rPr>
          <w:rFonts w:ascii="Arial" w:cs="Arial" w:eastAsia="Arial" w:hAnsi="Arial"/>
          <w:sz w:val="17"/>
          <w:szCs w:val="17"/>
          <w:color w:val="auto"/>
        </w:rPr>
        <w:t>Below is certain financial information from the separate unaudited financial statements of Saratoga CLO as of August 31, 2014 and February 28, 2014, pursuant to Rule 3-09 of SEC rules Regulation S-X, and for the three and six months ended August 31, 2014 and August 31, 2013.</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Assets and Liabilities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4"/>
                <w:szCs w:val="14"/>
                <w:b w:val="1"/>
                <w:bCs w:val="1"/>
                <w:color w:val="auto"/>
                <w:w w:val="85"/>
              </w:rPr>
              <w:t>As of</w:t>
            </w:r>
          </w:p>
        </w:tc>
        <w:tc>
          <w:tcPr>
            <w:tcW w:w="12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color w:val="auto"/>
                <w:w w:val="95"/>
              </w:rPr>
              <w:t>August 31, 2014</w:t>
            </w: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tcPr>
          <w:p>
            <w:pPr>
              <w:jc w:val="right"/>
              <w:ind w:right="31"/>
              <w:spacing w:after="0" w:line="142" w:lineRule="exact"/>
              <w:rPr>
                <w:sz w:val="20"/>
                <w:szCs w:val="20"/>
                <w:color w:val="auto"/>
              </w:rPr>
            </w:pPr>
            <w:r>
              <w:rPr>
                <w:rFonts w:ascii="Arial" w:cs="Arial" w:eastAsia="Arial" w:hAnsi="Arial"/>
                <w:sz w:val="14"/>
                <w:szCs w:val="14"/>
                <w:b w:val="1"/>
                <w:bCs w:val="1"/>
                <w:color w:val="auto"/>
                <w:w w:val="94"/>
              </w:rPr>
              <w:t>February 28, 2014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1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140" w:type="dxa"/>
            <w:vAlign w:val="bottom"/>
            <w:gridSpan w:val="2"/>
          </w:tcPr>
          <w:p>
            <w:pPr>
              <w:spacing w:after="0"/>
              <w:rPr>
                <w:sz w:val="20"/>
                <w:szCs w:val="20"/>
                <w:color w:val="auto"/>
              </w:rPr>
            </w:pPr>
            <w:r>
              <w:rPr>
                <w:rFonts w:ascii="Arial" w:cs="Arial" w:eastAsia="Arial" w:hAnsi="Arial"/>
                <w:sz w:val="18"/>
                <w:szCs w:val="18"/>
                <w:color w:val="auto"/>
              </w:rPr>
              <w:t>Investments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Fair Value Loans (amortized cost of $302,554,790 and $299,137,566, 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301,019,691</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300,491,077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Total investments at fair value (amortized cost of $302,554,790 and $299,137,566, respectively)</w:t>
            </w:r>
          </w:p>
        </w:tc>
        <w:tc>
          <w:tcPr>
            <w:tcW w:w="14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301,019,691</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300,491,077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2,809,601</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8,018,933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Receivable from open trades</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2,223,951</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1,801,266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Interest receivable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1,293,973</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1,450,952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Deferred debt financing costs, net</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2,054,114</w:t>
            </w: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2,166,633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91,331</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91,336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309,492,661</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314,020,197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LIABILITIES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140" w:type="dxa"/>
            <w:vAlign w:val="bottom"/>
            <w:gridSpan w:val="2"/>
          </w:tcPr>
          <w:p>
            <w:pPr>
              <w:spacing w:after="0"/>
              <w:rPr>
                <w:sz w:val="20"/>
                <w:szCs w:val="20"/>
                <w:color w:val="auto"/>
              </w:rPr>
            </w:pPr>
            <w:r>
              <w:rPr>
                <w:rFonts w:ascii="Arial" w:cs="Arial" w:eastAsia="Arial" w:hAnsi="Arial"/>
                <w:sz w:val="18"/>
                <w:szCs w:val="18"/>
                <w:color w:val="auto"/>
              </w:rPr>
              <w:t>Interest payable</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668,293</w:t>
            </w:r>
          </w:p>
        </w:tc>
        <w:tc>
          <w:tcPr>
            <w:tcW w:w="60" w:type="dxa"/>
            <w:vAlign w:val="bottom"/>
          </w:tcPr>
          <w:p>
            <w:pPr>
              <w:spacing w:after="0"/>
              <w:rPr>
                <w:sz w:val="24"/>
                <w:szCs w:val="24"/>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622,476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Payable from open trades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7,427,661</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Accrued base management fee</w:t>
            </w:r>
          </w:p>
        </w:tc>
        <w:tc>
          <w:tcPr>
            <w:tcW w:w="14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83,515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75,053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Accrued subordinated management fee</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83,515</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75,053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Class X Notes—SIC CLO 2013-1, Ltd.</w:t>
            </w: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1,666,666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Class A-1 Notes—SIC CLO 2013-1, Ltd.</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170,000,000</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Discount on Class A-1 Notes—SIC CLO 2013-1, Ltd.</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(1,583,109)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(1,671,864)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Class A-2 Notes—SIC CLO 2013-1, Ltd.</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20,000,000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Discount on Class A-2 Notes—SIC CLO 2013-1, Ltd.</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(164,100)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(173,300)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Class B Notes—SIC CLO 2013-1, Ltd.</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44,800,000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Discount on Class B Notes—SIC CLO 2013-1, Ltd.</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(1,065,994)</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(1,125,757)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Class C Notes—SIC CLO 2013-1, Ltd.</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16,000,000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Discount on Class C Notes—SIC CLO 2013-1, Ltd.</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(663,693)</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(700,902)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Class D Notes—SIC CLO 2013-1, Ltd.</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14,000,000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Discount on Class D Notes—SIC CLO 2013-1, Ltd.</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(861,525)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(909,825)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Class E Notes—SIC CLO 2013-1, Ltd.</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13,100,000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Discount on Class E Notes—SIC CLO 2013-1, Ltd.</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(1,624,225)</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(1,715,285)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Class F Notes—SIC CLO 2013-1, Ltd.</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4,500,000</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Discount on Class F Notes—SIC CLO 2013-1, Ltd.</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(590,760)</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Arial" w:cs="Arial" w:eastAsia="Arial" w:hAnsi="Arial"/>
                <w:sz w:val="18"/>
                <w:szCs w:val="18"/>
                <w:color w:val="auto"/>
              </w:rPr>
              <w:t>(623,880)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30,000,000</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30,000,000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Total liabilities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314,109,578</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317,363,435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vMerge w:val="restart"/>
          </w:tcPr>
          <w:p>
            <w:pPr>
              <w:spacing w:after="0"/>
              <w:rPr>
                <w:sz w:val="8"/>
                <w:szCs w:val="8"/>
                <w:color w:val="auto"/>
              </w:rPr>
            </w:pPr>
          </w:p>
        </w:tc>
        <w:tc>
          <w:tcPr>
            <w:tcW w:w="81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8140" w:type="dxa"/>
            <w:vAlign w:val="bottom"/>
            <w:gridSpan w:val="2"/>
          </w:tcPr>
          <w:p>
            <w:pPr>
              <w:spacing w:after="0"/>
              <w:rPr>
                <w:sz w:val="20"/>
                <w:szCs w:val="20"/>
                <w:color w:val="auto"/>
              </w:rPr>
            </w:pPr>
            <w:r>
              <w:rPr>
                <w:rFonts w:ascii="Arial" w:cs="Arial" w:eastAsia="Arial" w:hAnsi="Arial"/>
                <w:sz w:val="18"/>
                <w:szCs w:val="18"/>
                <w:color w:val="auto"/>
              </w:rPr>
              <w:t>NET ASSETS</w:t>
            </w: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8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Ordinary equity, par value $1.00, 250 ordinary shares authorized, 250 and 250 issued and outstanding,</w:t>
            </w: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250</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Accumulated gain (loss)</w:t>
            </w:r>
          </w:p>
        </w:tc>
        <w:tc>
          <w:tcPr>
            <w:tcW w:w="14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(3,343,489)</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838,567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(1,273,678)</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(4,182,055)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20" w:type="dxa"/>
            <w:vAlign w:val="bottom"/>
          </w:tcPr>
          <w:p>
            <w:pPr>
              <w:ind w:left="340"/>
              <w:spacing w:after="0"/>
              <w:rPr>
                <w:sz w:val="20"/>
                <w:szCs w:val="20"/>
                <w:color w:val="auto"/>
              </w:rPr>
            </w:pPr>
            <w:r>
              <w:rPr>
                <w:rFonts w:ascii="Arial" w:cs="Arial" w:eastAsia="Arial" w:hAnsi="Arial"/>
                <w:sz w:val="18"/>
                <w:szCs w:val="18"/>
                <w:color w:val="auto"/>
              </w:rPr>
              <w:t>Total net assets</w:t>
            </w:r>
          </w:p>
        </w:tc>
        <w:tc>
          <w:tcPr>
            <w:tcW w:w="1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(4,616,917)</w:t>
            </w: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top w:val="single" w:sz="8" w:color="auto"/>
              <w:bottom w:val="single" w:sz="8" w:color="auto"/>
            </w:tcBorders>
          </w:tcPr>
          <w:p>
            <w:pPr>
              <w:spacing w:after="0"/>
              <w:rPr>
                <w:sz w:val="20"/>
                <w:szCs w:val="20"/>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(3,343,238)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net assets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309,492,661</w:t>
            </w:r>
          </w:p>
        </w:tc>
        <w:tc>
          <w:tcPr>
            <w:tcW w:w="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314,020,197</w:t>
            </w:r>
          </w:p>
        </w:tc>
        <w:tc>
          <w:tcPr>
            <w:tcW w:w="0" w:type="dxa"/>
            <w:vAlign w:val="bottom"/>
          </w:tcPr>
          <w:p>
            <w:pPr>
              <w:spacing w:after="0"/>
              <w:rPr>
                <w:sz w:val="1"/>
                <w:szCs w:val="1"/>
                <w:color w:val="auto"/>
              </w:rPr>
            </w:pPr>
          </w:p>
        </w:tc>
      </w:tr>
      <w:tr>
        <w:trPr>
          <w:trHeight w:val="20"/>
        </w:trPr>
        <w:tc>
          <w:tcPr>
            <w:tcW w:w="8140" w:type="dxa"/>
            <w:vAlign w:val="bottom"/>
            <w:gridSpan w:val="2"/>
            <w:vMerge w:val="restart"/>
          </w:tcPr>
          <w:p>
            <w:pPr>
              <w:jc w:val="right"/>
              <w:ind w:right="2250"/>
              <w:spacing w:after="0"/>
              <w:rPr>
                <w:sz w:val="20"/>
                <w:szCs w:val="20"/>
                <w:color w:val="auto"/>
              </w:rPr>
            </w:pPr>
            <w:r>
              <w:rPr>
                <w:rFonts w:ascii="Arial" w:cs="Arial" w:eastAsia="Arial" w:hAnsi="Arial"/>
                <w:sz w:val="18"/>
                <w:szCs w:val="18"/>
                <w:color w:val="auto"/>
              </w:rPr>
              <w:t>22</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8140" w:type="dxa"/>
            <w:vAlign w:val="bottom"/>
            <w:gridSpan w:val="2"/>
            <w:vMerge w:val="continue"/>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6"/>
              </w:rPr>
              <w:t>For the three months ended</w:t>
            </w:r>
          </w:p>
        </w:tc>
        <w:tc>
          <w:tcPr>
            <w:tcW w:w="218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71"/>
        </w:trPr>
        <w:tc>
          <w:tcPr>
            <w:tcW w:w="6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August 31</w:t>
            </w:r>
          </w:p>
        </w:tc>
        <w:tc>
          <w:tcPr>
            <w:tcW w:w="218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August 31</w:t>
            </w:r>
          </w:p>
        </w:tc>
        <w:tc>
          <w:tcPr>
            <w:tcW w:w="0" w:type="dxa"/>
            <w:vAlign w:val="bottom"/>
          </w:tcPr>
          <w:p>
            <w:pPr>
              <w:spacing w:after="0"/>
              <w:rPr>
                <w:sz w:val="1"/>
                <w:szCs w:val="1"/>
                <w:color w:val="auto"/>
              </w:rPr>
            </w:pPr>
          </w:p>
        </w:tc>
      </w:tr>
      <w:tr>
        <w:trPr>
          <w:trHeight w:val="142"/>
        </w:trPr>
        <w:tc>
          <w:tcPr>
            <w:tcW w:w="68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2014</w:t>
            </w:r>
          </w:p>
        </w:tc>
        <w:tc>
          <w:tcPr>
            <w:tcW w:w="34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jc w:val="right"/>
              <w:ind w:right="191"/>
              <w:spacing w:after="0" w:line="142" w:lineRule="exact"/>
              <w:rPr>
                <w:sz w:val="20"/>
                <w:szCs w:val="20"/>
                <w:color w:val="auto"/>
              </w:rPr>
            </w:pPr>
            <w:r>
              <w:rPr>
                <w:rFonts w:ascii="Arial" w:cs="Arial" w:eastAsia="Arial" w:hAnsi="Arial"/>
                <w:sz w:val="14"/>
                <w:szCs w:val="14"/>
                <w:b w:val="1"/>
                <w:bCs w:val="1"/>
                <w:color w:val="auto"/>
              </w:rPr>
              <w:t>2013</w:t>
            </w:r>
          </w:p>
        </w:tc>
        <w:tc>
          <w:tcPr>
            <w:tcW w:w="340" w:type="dxa"/>
            <w:vAlign w:val="bottom"/>
          </w:tcPr>
          <w:p>
            <w:pPr>
              <w:spacing w:after="0"/>
              <w:rPr>
                <w:sz w:val="12"/>
                <w:szCs w:val="12"/>
                <w:color w:val="auto"/>
              </w:rPr>
            </w:pPr>
          </w:p>
        </w:tc>
        <w:tc>
          <w:tcPr>
            <w:tcW w:w="860" w:type="dxa"/>
            <w:vAlign w:val="bottom"/>
            <w:tcBorders>
              <w:top w:val="single" w:sz="8" w:color="auto"/>
            </w:tcBorders>
          </w:tcPr>
          <w:p>
            <w:pPr>
              <w:jc w:val="right"/>
              <w:ind w:right="193"/>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2"/>
          </w:tcPr>
          <w:p>
            <w:pPr>
              <w:jc w:val="right"/>
              <w:ind w:right="210"/>
              <w:spacing w:after="0" w:line="142" w:lineRule="exact"/>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6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INVESTMENT INCOME</w:t>
            </w:r>
          </w:p>
        </w:tc>
        <w:tc>
          <w:tcPr>
            <w:tcW w:w="10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Interest from investments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w w:val="94"/>
              </w:rPr>
              <w:t>3,323,320</w:t>
            </w:r>
          </w:p>
        </w:tc>
        <w:tc>
          <w:tcPr>
            <w:tcW w:w="3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$ 4,201,548</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0"/>
              </w:rPr>
              <w:t>$ 6,480,838</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$ 8,607,828</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562</w:t>
            </w: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1,295</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838</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4,451</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42,007</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325,629</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140,930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677,266</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investment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3,365,889</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4,528,472</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6,622,606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9,289,545</w:t>
            </w:r>
          </w:p>
        </w:tc>
        <w:tc>
          <w:tcPr>
            <w:tcW w:w="0" w:type="dxa"/>
            <w:vAlign w:val="bottom"/>
          </w:tcPr>
          <w:p>
            <w:pPr>
              <w:spacing w:after="0"/>
              <w:rPr>
                <w:sz w:val="1"/>
                <w:szCs w:val="1"/>
                <w:color w:val="auto"/>
              </w:rPr>
            </w:pPr>
          </w:p>
        </w:tc>
      </w:tr>
      <w:tr>
        <w:trPr>
          <w:trHeight w:val="331"/>
        </w:trPr>
        <w:tc>
          <w:tcPr>
            <w:tcW w:w="6820" w:type="dxa"/>
            <w:vAlign w:val="bottom"/>
          </w:tcPr>
          <w:p>
            <w:pPr>
              <w:spacing w:after="0"/>
              <w:rPr>
                <w:sz w:val="20"/>
                <w:szCs w:val="20"/>
                <w:color w:val="auto"/>
              </w:rPr>
            </w:pPr>
            <w:r>
              <w:rPr>
                <w:rFonts w:ascii="Arial" w:cs="Arial" w:eastAsia="Arial" w:hAnsi="Arial"/>
                <w:sz w:val="18"/>
                <w:szCs w:val="18"/>
                <w:color w:val="auto"/>
              </w:rPr>
              <w:t>EXPENSES</w:t>
            </w: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1,997,155</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1,472,007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4,124,139</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3,037,996</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Professional fees</w:t>
            </w: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24,142</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208,576</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94,360</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324,928</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Miscellaneous fee expense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3,263</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8,681</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26,396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160,791</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Base management fee</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187,730</w:t>
            </w:r>
          </w:p>
        </w:tc>
        <w:tc>
          <w:tcPr>
            <w:tcW w:w="340" w:type="dxa"/>
            <w:vAlign w:val="bottom"/>
          </w:tcPr>
          <w:p>
            <w:pPr>
              <w:spacing w:after="0"/>
              <w:rPr>
                <w:sz w:val="18"/>
                <w:szCs w:val="18"/>
                <w:color w:val="auto"/>
              </w:rPr>
            </w:pP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96,150</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383,747</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195,768</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Subordinated management fee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187,730</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384,601</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383,747</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783,073</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Trustee expenses</w:t>
            </w:r>
          </w:p>
        </w:tc>
        <w:tc>
          <w:tcPr>
            <w:tcW w:w="10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27,313</w:t>
            </w:r>
          </w:p>
        </w:tc>
        <w:tc>
          <w:tcPr>
            <w:tcW w:w="1200" w:type="dxa"/>
            <w:vAlign w:val="bottom"/>
            <w:gridSpan w:val="2"/>
          </w:tcPr>
          <w:p>
            <w:pPr>
              <w:jc w:val="right"/>
              <w:ind w:right="340"/>
              <w:spacing w:after="0"/>
              <w:rPr>
                <w:sz w:val="20"/>
                <w:szCs w:val="20"/>
                <w:color w:val="auto"/>
              </w:rPr>
            </w:pPr>
            <w:r>
              <w:rPr>
                <w:rFonts w:ascii="Arial" w:cs="Arial" w:eastAsia="Arial" w:hAnsi="Arial"/>
                <w:sz w:val="18"/>
                <w:szCs w:val="18"/>
                <w:color w:val="auto"/>
              </w:rPr>
              <w:t>23,839</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53,928</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48,371</w:t>
            </w: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Amortization expense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239,963</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254,427</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479,926</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508,854</w:t>
            </w:r>
          </w:p>
        </w:tc>
        <w:tc>
          <w:tcPr>
            <w:tcW w:w="0" w:type="dxa"/>
            <w:vAlign w:val="bottom"/>
          </w:tcPr>
          <w:p>
            <w:pPr>
              <w:spacing w:after="0"/>
              <w:rPr>
                <w:sz w:val="1"/>
                <w:szCs w:val="1"/>
                <w:color w:val="auto"/>
              </w:rPr>
            </w:pPr>
          </w:p>
        </w:tc>
      </w:tr>
      <w:tr>
        <w:trPr>
          <w:trHeight w:val="223"/>
        </w:trPr>
        <w:tc>
          <w:tcPr>
            <w:tcW w:w="6820" w:type="dxa"/>
            <w:vAlign w:val="bottom"/>
          </w:tcPr>
          <w:p>
            <w:pPr>
              <w:ind w:left="360"/>
              <w:spacing w:after="0"/>
              <w:rPr>
                <w:sz w:val="20"/>
                <w:szCs w:val="20"/>
                <w:color w:val="auto"/>
              </w:rPr>
            </w:pPr>
            <w:r>
              <w:rPr>
                <w:rFonts w:ascii="Arial" w:cs="Arial" w:eastAsia="Arial" w:hAnsi="Arial"/>
                <w:sz w:val="18"/>
                <w:szCs w:val="18"/>
                <w:color w:val="auto"/>
              </w:rPr>
              <w:t>Total expenses</w:t>
            </w: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2,667,296</w:t>
            </w:r>
          </w:p>
        </w:tc>
        <w:tc>
          <w:tcPr>
            <w:tcW w:w="3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2,448,281</w:t>
            </w:r>
          </w:p>
        </w:tc>
        <w:tc>
          <w:tcPr>
            <w:tcW w:w="34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5,546,243</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5,059,781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5"/>
        </w:trPr>
        <w:tc>
          <w:tcPr>
            <w:tcW w:w="68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INVESTMENT INCOME</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698,593</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2,080,191</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1,076,363</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4,229,764</w:t>
            </w:r>
          </w:p>
        </w:tc>
        <w:tc>
          <w:tcPr>
            <w:tcW w:w="0" w:type="dxa"/>
            <w:vAlign w:val="bottom"/>
          </w:tcPr>
          <w:p>
            <w:pPr>
              <w:spacing w:after="0"/>
              <w:rPr>
                <w:sz w:val="1"/>
                <w:szCs w:val="1"/>
                <w:color w:val="auto"/>
              </w:rPr>
            </w:pPr>
          </w:p>
        </w:tc>
      </w:tr>
      <w:tr>
        <w:trPr>
          <w:trHeight w:val="331"/>
        </w:trPr>
        <w:tc>
          <w:tcPr>
            <w:tcW w:w="6820" w:type="dxa"/>
            <w:vAlign w:val="bottom"/>
          </w:tcPr>
          <w:p>
            <w:pPr>
              <w:spacing w:after="0"/>
              <w:rPr>
                <w:sz w:val="20"/>
                <w:szCs w:val="20"/>
                <w:color w:val="auto"/>
              </w:rPr>
            </w:pPr>
            <w:r>
              <w:rPr>
                <w:rFonts w:ascii="Arial" w:cs="Arial" w:eastAsia="Arial" w:hAnsi="Arial"/>
                <w:sz w:val="18"/>
                <w:szCs w:val="18"/>
                <w:color w:val="auto"/>
              </w:rPr>
              <w:t>REALIZED AND UNREALIZED GAIN (LOSS) ON INVESTMENTS:</w:t>
            </w: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820" w:type="dxa"/>
            <w:vAlign w:val="bottom"/>
            <w:shd w:val="clear" w:color="auto" w:fill="CCEEFF"/>
          </w:tcPr>
          <w:p>
            <w:pPr>
              <w:spacing w:after="0"/>
              <w:rPr>
                <w:sz w:val="20"/>
                <w:szCs w:val="20"/>
                <w:color w:val="auto"/>
              </w:rPr>
            </w:pPr>
            <w:r>
              <w:rPr>
                <w:rFonts w:ascii="Arial" w:cs="Arial" w:eastAsia="Arial" w:hAnsi="Arial"/>
                <w:sz w:val="18"/>
                <w:szCs w:val="18"/>
                <w:color w:val="auto"/>
              </w:rPr>
              <w:t>Net realized gain on investments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147,951</w:t>
            </w:r>
          </w:p>
        </w:tc>
        <w:tc>
          <w:tcPr>
            <w:tcW w:w="3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213,058</w:t>
            </w: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528,570</w:t>
            </w: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451,600</w:t>
            </w:r>
          </w:p>
        </w:tc>
        <w:tc>
          <w:tcPr>
            <w:tcW w:w="0" w:type="dxa"/>
            <w:vAlign w:val="bottom"/>
          </w:tcPr>
          <w:p>
            <w:pPr>
              <w:spacing w:after="0"/>
              <w:rPr>
                <w:sz w:val="1"/>
                <w:szCs w:val="1"/>
                <w:color w:val="auto"/>
              </w:rPr>
            </w:pPr>
          </w:p>
        </w:tc>
      </w:tr>
      <w:tr>
        <w:trPr>
          <w:trHeight w:val="216"/>
        </w:trPr>
        <w:tc>
          <w:tcPr>
            <w:tcW w:w="682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100" w:type="dxa"/>
            <w:vAlign w:val="bottom"/>
          </w:tcPr>
          <w:p>
            <w:pPr>
              <w:spacing w:after="0"/>
              <w:rPr>
                <w:sz w:val="18"/>
                <w:szCs w:val="18"/>
                <w:color w:val="auto"/>
              </w:rPr>
            </w:pP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w w:val="89"/>
              </w:rPr>
              <w:t>(1,425,262)</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(4,139,484)</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w w:val="97"/>
              </w:rPr>
              <w:t>(2,878,611)</w:t>
            </w:r>
          </w:p>
        </w:tc>
        <w:tc>
          <w:tcPr>
            <w:tcW w:w="1120" w:type="dxa"/>
            <w:vAlign w:val="bottom"/>
            <w:gridSpan w:val="3"/>
          </w:tcPr>
          <w:p>
            <w:pPr>
              <w:jc w:val="right"/>
              <w:ind w:right="40"/>
              <w:spacing w:after="0"/>
              <w:rPr>
                <w:sz w:val="20"/>
                <w:szCs w:val="20"/>
                <w:color w:val="auto"/>
              </w:rPr>
            </w:pPr>
            <w:r>
              <w:rPr>
                <w:rFonts w:ascii="Arial" w:cs="Arial" w:eastAsia="Arial" w:hAnsi="Arial"/>
                <w:sz w:val="18"/>
                <w:szCs w:val="18"/>
                <w:color w:val="auto"/>
              </w:rPr>
              <w:t>(3,499,811)</w:t>
            </w:r>
          </w:p>
        </w:tc>
        <w:tc>
          <w:tcPr>
            <w:tcW w:w="0" w:type="dxa"/>
            <w:vAlign w:val="bottom"/>
          </w:tcPr>
          <w:p>
            <w:pPr>
              <w:spacing w:after="0"/>
              <w:rPr>
                <w:sz w:val="1"/>
                <w:szCs w:val="1"/>
                <w:color w:val="auto"/>
              </w:rPr>
            </w:pPr>
          </w:p>
        </w:tc>
      </w:tr>
      <w:tr>
        <w:trPr>
          <w:trHeight w:val="27"/>
        </w:trPr>
        <w:tc>
          <w:tcPr>
            <w:tcW w:w="6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loss on investments</w:t>
            </w: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89"/>
              </w:rPr>
              <w:t>(1,277,311)</w:t>
            </w:r>
          </w:p>
        </w:tc>
        <w:tc>
          <w:tcPr>
            <w:tcW w:w="12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(3,926,426)</w:t>
            </w: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7"/>
              </w:rPr>
              <w:t>(2,350,041)</w:t>
            </w:r>
          </w:p>
        </w:tc>
        <w:tc>
          <w:tcPr>
            <w:tcW w:w="11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(3,048,211)</w:t>
            </w: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1"/>
        </w:trPr>
        <w:tc>
          <w:tcPr>
            <w:tcW w:w="6820" w:type="dxa"/>
            <w:vAlign w:val="bottom"/>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80"/>
              <w:spacing w:after="0"/>
              <w:rPr>
                <w:sz w:val="20"/>
                <w:szCs w:val="20"/>
                <w:color w:val="auto"/>
              </w:rPr>
            </w:pPr>
            <w:r>
              <w:rPr>
                <w:rFonts w:ascii="Arial" w:cs="Arial" w:eastAsia="Arial" w:hAnsi="Arial"/>
                <w:sz w:val="18"/>
                <w:szCs w:val="18"/>
                <w:color w:val="auto"/>
              </w:rPr>
              <w:t>(578,718)</w:t>
            </w:r>
          </w:p>
        </w:tc>
        <w:tc>
          <w:tcPr>
            <w:tcW w:w="1200" w:type="dxa"/>
            <w:vAlign w:val="bottom"/>
            <w:gridSpan w:val="2"/>
          </w:tcPr>
          <w:p>
            <w:pPr>
              <w:jc w:val="right"/>
              <w:ind w:right="28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(1,846,235)</w:t>
            </w:r>
          </w:p>
        </w:tc>
        <w:tc>
          <w:tcPr>
            <w:tcW w:w="1060" w:type="dxa"/>
            <w:vAlign w:val="bottom"/>
            <w:gridSpan w:val="2"/>
          </w:tcPr>
          <w:p>
            <w:pPr>
              <w:jc w:val="right"/>
              <w:ind w:right="14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(1,273,678)</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$ 1,181,553</w:t>
            </w:r>
          </w:p>
        </w:tc>
        <w:tc>
          <w:tcPr>
            <w:tcW w:w="0" w:type="dxa"/>
            <w:vAlign w:val="bottom"/>
          </w:tcPr>
          <w:p>
            <w:pPr>
              <w:spacing w:after="0"/>
              <w:rPr>
                <w:sz w:val="1"/>
                <w:szCs w:val="1"/>
                <w:color w:val="auto"/>
              </w:rPr>
            </w:pPr>
          </w:p>
        </w:tc>
      </w:tr>
      <w:tr>
        <w:trPr>
          <w:trHeight w:val="20"/>
        </w:trPr>
        <w:tc>
          <w:tcPr>
            <w:tcW w:w="6820" w:type="dxa"/>
            <w:vAlign w:val="bottom"/>
            <w:vMerge w:val="restart"/>
          </w:tcPr>
          <w:p>
            <w:pPr>
              <w:ind w:left="5620"/>
              <w:spacing w:after="0"/>
              <w:rPr>
                <w:sz w:val="20"/>
                <w:szCs w:val="20"/>
                <w:color w:val="auto"/>
              </w:rPr>
            </w:pPr>
            <w:r>
              <w:rPr>
                <w:rFonts w:ascii="Arial" w:cs="Arial" w:eastAsia="Arial" w:hAnsi="Arial"/>
                <w:sz w:val="18"/>
                <w:szCs w:val="18"/>
                <w:color w:val="auto"/>
              </w:rPr>
              <w:t>23</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8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August 31,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Issuer Name</w:t>
            </w:r>
          </w:p>
        </w:tc>
        <w:tc>
          <w:tcPr>
            <w:tcW w:w="178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Industry</w:t>
            </w:r>
          </w:p>
        </w:tc>
        <w:tc>
          <w:tcPr>
            <w:tcW w:w="20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Asset Name</w:t>
            </w:r>
          </w:p>
        </w:tc>
        <w:tc>
          <w:tcPr>
            <w:tcW w:w="2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Asset Type</w:t>
            </w:r>
          </w:p>
        </w:tc>
        <w:tc>
          <w:tcPr>
            <w:tcW w:w="2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Current Rate</w:t>
            </w:r>
          </w:p>
        </w:tc>
        <w:tc>
          <w:tcPr>
            <w:tcW w:w="3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Maturity Date</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Principal</w:t>
            </w:r>
          </w:p>
        </w:tc>
        <w:tc>
          <w:tcPr>
            <w:tcW w:w="3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w:t>
            </w:r>
          </w:p>
        </w:tc>
        <w:tc>
          <w:tcPr>
            <w:tcW w:w="3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80" w:type="dxa"/>
            <w:vAlign w:val="bottom"/>
            <w:tcBorders>
              <w:bottom w:val="single" w:sz="8" w:color="CCEEFF"/>
            </w:tcBorders>
          </w:tcPr>
          <w:p>
            <w:pPr>
              <w:spacing w:after="0"/>
              <w:rPr>
                <w:sz w:val="16"/>
                <w:szCs w:val="16"/>
                <w:color w:val="auto"/>
              </w:rPr>
            </w:pPr>
          </w:p>
        </w:tc>
      </w:tr>
      <w:tr>
        <w:trPr>
          <w:trHeight w:val="123"/>
        </w:trPr>
        <w:tc>
          <w:tcPr>
            <w:tcW w:w="256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24 Hour Holdings III LLC</w:t>
            </w:r>
          </w:p>
        </w:tc>
        <w:tc>
          <w:tcPr>
            <w:tcW w:w="17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Leisure Goods/</w:t>
            </w:r>
          </w:p>
        </w:tc>
        <w:tc>
          <w:tcPr>
            <w:tcW w:w="20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Term Loan</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Loan</w:t>
            </w: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67"/>
        </w:trPr>
        <w:tc>
          <w:tcPr>
            <w:tcW w:w="7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Activities/Movies</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3.75%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5/28/2021</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  500,000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96"/>
              </w:rPr>
              <w:t>$  495,123</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6"/>
              </w:rPr>
              <w:t>$  498,750</w:t>
            </w:r>
          </w:p>
        </w:tc>
      </w:tr>
      <w:tr>
        <w:trPr>
          <w:trHeight w:val="130"/>
        </w:trPr>
        <w:tc>
          <w:tcPr>
            <w:tcW w:w="2560" w:type="dxa"/>
            <w:vAlign w:val="bottom"/>
            <w:gridSpan w:val="2"/>
          </w:tcPr>
          <w:p>
            <w:pPr>
              <w:spacing w:after="0" w:line="130" w:lineRule="exact"/>
              <w:rPr>
                <w:sz w:val="20"/>
                <w:szCs w:val="20"/>
                <w:color w:val="auto"/>
              </w:rPr>
            </w:pPr>
            <w:r>
              <w:rPr>
                <w:rFonts w:ascii="Arial" w:cs="Arial" w:eastAsia="Arial" w:hAnsi="Arial"/>
                <w:sz w:val="14"/>
                <w:szCs w:val="14"/>
                <w:color w:val="auto"/>
              </w:rPr>
              <w:t>Academy, LTD.</w:t>
            </w:r>
          </w:p>
        </w:tc>
        <w:tc>
          <w:tcPr>
            <w:tcW w:w="1700" w:type="dxa"/>
            <w:vAlign w:val="bottom"/>
          </w:tcPr>
          <w:p>
            <w:pPr>
              <w:spacing w:after="0" w:line="130" w:lineRule="exact"/>
              <w:rPr>
                <w:sz w:val="20"/>
                <w:szCs w:val="20"/>
                <w:color w:val="auto"/>
              </w:rPr>
            </w:pPr>
            <w:r>
              <w:rPr>
                <w:rFonts w:ascii="Arial" w:cs="Arial" w:eastAsia="Arial" w:hAnsi="Arial"/>
                <w:sz w:val="14"/>
                <w:szCs w:val="14"/>
                <w:color w:val="auto"/>
              </w:rPr>
              <w:t>Retailers (Except</w:t>
            </w:r>
          </w:p>
        </w:tc>
        <w:tc>
          <w:tcPr>
            <w:tcW w:w="96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Initial Term</w:t>
            </w:r>
          </w:p>
        </w:tc>
        <w:tc>
          <w:tcPr>
            <w:tcW w:w="110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Arial" w:cs="Arial" w:eastAsia="Arial" w:hAnsi="Arial"/>
                <w:sz w:val="14"/>
                <w:szCs w:val="14"/>
                <w:color w:val="auto"/>
              </w:rPr>
              <w:t>Food and Drugs)</w:t>
            </w:r>
          </w:p>
        </w:tc>
        <w:tc>
          <w:tcPr>
            <w:tcW w:w="960" w:type="dxa"/>
            <w:vAlign w:val="bottom"/>
            <w:gridSpan w:val="2"/>
          </w:tcPr>
          <w:p>
            <w:pPr>
              <w:ind w:left="200"/>
              <w:spacing w:after="0"/>
              <w:rPr>
                <w:sz w:val="20"/>
                <w:szCs w:val="20"/>
                <w:color w:val="auto"/>
              </w:rPr>
            </w:pPr>
            <w:r>
              <w:rPr>
                <w:rFonts w:ascii="Arial" w:cs="Arial" w:eastAsia="Arial" w:hAnsi="Arial"/>
                <w:sz w:val="14"/>
                <w:szCs w:val="14"/>
                <w:color w:val="auto"/>
                <w:w w:val="97"/>
              </w:rPr>
              <w:t>Loan (2012)</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4.50%</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8/3/2018</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1,950,262</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1,939,947</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1,944,412</w:t>
            </w:r>
          </w:p>
        </w:tc>
      </w:tr>
      <w:tr>
        <w:trPr>
          <w:trHeight w:val="130"/>
        </w:trPr>
        <w:tc>
          <w:tcPr>
            <w:tcW w:w="2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Acosta Holdco.</w:t>
            </w:r>
          </w:p>
        </w:tc>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Media</w:t>
            </w:r>
          </w:p>
        </w:tc>
        <w:tc>
          <w:tcPr>
            <w:tcW w:w="96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Term Loan</w:t>
            </w:r>
          </w:p>
        </w:tc>
        <w:tc>
          <w:tcPr>
            <w:tcW w:w="110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8/13/2021</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2,000,000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1,985,000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2,007,500</w:t>
            </w:r>
          </w:p>
        </w:tc>
      </w:tr>
      <w:tr>
        <w:trPr>
          <w:trHeight w:val="130"/>
        </w:trPr>
        <w:tc>
          <w:tcPr>
            <w:tcW w:w="2560" w:type="dxa"/>
            <w:vAlign w:val="bottom"/>
            <w:gridSpan w:val="2"/>
          </w:tcPr>
          <w:p>
            <w:pPr>
              <w:spacing w:after="0" w:line="130" w:lineRule="exact"/>
              <w:rPr>
                <w:sz w:val="20"/>
                <w:szCs w:val="20"/>
                <w:color w:val="auto"/>
              </w:rPr>
            </w:pPr>
            <w:r>
              <w:rPr>
                <w:rFonts w:ascii="Arial" w:cs="Arial" w:eastAsia="Arial" w:hAnsi="Arial"/>
                <w:sz w:val="14"/>
                <w:szCs w:val="14"/>
                <w:color w:val="auto"/>
              </w:rPr>
              <w:t>Acosta, Inc.</w:t>
            </w:r>
          </w:p>
        </w:tc>
        <w:tc>
          <w:tcPr>
            <w:tcW w:w="1700" w:type="dxa"/>
            <w:vAlign w:val="bottom"/>
          </w:tcPr>
          <w:p>
            <w:pPr>
              <w:spacing w:after="0" w:line="130" w:lineRule="exact"/>
              <w:rPr>
                <w:sz w:val="20"/>
                <w:szCs w:val="20"/>
                <w:color w:val="auto"/>
              </w:rPr>
            </w:pPr>
            <w:r>
              <w:rPr>
                <w:rFonts w:ascii="Arial" w:cs="Arial" w:eastAsia="Arial" w:hAnsi="Arial"/>
                <w:sz w:val="14"/>
                <w:szCs w:val="14"/>
                <w:color w:val="auto"/>
              </w:rPr>
              <w:t>Food Products</w:t>
            </w:r>
          </w:p>
        </w:tc>
        <w:tc>
          <w:tcPr>
            <w:tcW w:w="96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Term B</w:t>
            </w:r>
          </w:p>
        </w:tc>
        <w:tc>
          <w:tcPr>
            <w:tcW w:w="110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color w:val="auto"/>
                <w:w w:val="97"/>
              </w:rPr>
              <w:t>Loan (2013)</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4.25%</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3/1/2018</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4,141,844</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4,092,120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4,133,436</w:t>
            </w:r>
          </w:p>
        </w:tc>
      </w:tr>
      <w:tr>
        <w:trPr>
          <w:trHeight w:val="130"/>
        </w:trPr>
        <w:tc>
          <w:tcPr>
            <w:tcW w:w="2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Aderant North America, Inc.</w:t>
            </w:r>
          </w:p>
        </w:tc>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Business Equipment</w:t>
            </w:r>
          </w:p>
        </w:tc>
        <w:tc>
          <w:tcPr>
            <w:tcW w:w="96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Term Loan</w:t>
            </w:r>
          </w:p>
        </w:tc>
        <w:tc>
          <w:tcPr>
            <w:tcW w:w="110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and Services</w:t>
            </w: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(First Lien)</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5.25%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12/20/2018</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3,260,898</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3,260,898</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3,264,974</w:t>
            </w:r>
          </w:p>
        </w:tc>
      </w:tr>
      <w:tr>
        <w:trPr>
          <w:trHeight w:val="130"/>
        </w:trPr>
        <w:tc>
          <w:tcPr>
            <w:tcW w:w="2560" w:type="dxa"/>
            <w:vAlign w:val="bottom"/>
            <w:gridSpan w:val="2"/>
          </w:tcPr>
          <w:p>
            <w:pPr>
              <w:spacing w:after="0" w:line="130" w:lineRule="exact"/>
              <w:rPr>
                <w:sz w:val="20"/>
                <w:szCs w:val="20"/>
                <w:color w:val="auto"/>
              </w:rPr>
            </w:pPr>
            <w:r>
              <w:rPr>
                <w:rFonts w:ascii="Arial" w:cs="Arial" w:eastAsia="Arial" w:hAnsi="Arial"/>
                <w:sz w:val="14"/>
                <w:szCs w:val="14"/>
                <w:color w:val="auto"/>
              </w:rPr>
              <w:t>Advantage Sales</w:t>
            </w:r>
          </w:p>
        </w:tc>
        <w:tc>
          <w:tcPr>
            <w:tcW w:w="1700" w:type="dxa"/>
            <w:vAlign w:val="bottom"/>
          </w:tcPr>
          <w:p>
            <w:pPr>
              <w:spacing w:after="0" w:line="130" w:lineRule="exact"/>
              <w:rPr>
                <w:sz w:val="20"/>
                <w:szCs w:val="20"/>
                <w:color w:val="auto"/>
              </w:rPr>
            </w:pPr>
            <w:r>
              <w:rPr>
                <w:rFonts w:ascii="Arial" w:cs="Arial" w:eastAsia="Arial" w:hAnsi="Arial"/>
                <w:sz w:val="14"/>
                <w:szCs w:val="14"/>
                <w:color w:val="auto"/>
              </w:rPr>
              <w:t>Business Equipment</w:t>
            </w:r>
          </w:p>
        </w:tc>
        <w:tc>
          <w:tcPr>
            <w:tcW w:w="96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Term Loan</w:t>
            </w:r>
          </w:p>
        </w:tc>
        <w:tc>
          <w:tcPr>
            <w:tcW w:w="110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Arial" w:cs="Arial" w:eastAsia="Arial" w:hAnsi="Arial"/>
                <w:sz w:val="14"/>
                <w:szCs w:val="14"/>
                <w:color w:val="auto"/>
              </w:rPr>
              <w:t>and Services</w:t>
            </w:r>
          </w:p>
        </w:tc>
        <w:tc>
          <w:tcPr>
            <w:tcW w:w="2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4.25%</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7/25/2021</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1,935,484</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1,934,245</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1,916,129</w:t>
            </w:r>
          </w:p>
        </w:tc>
      </w:tr>
      <w:tr>
        <w:trPr>
          <w:trHeight w:val="130"/>
        </w:trPr>
        <w:tc>
          <w:tcPr>
            <w:tcW w:w="2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Aegis Toxicology Science Corporation</w:t>
            </w:r>
          </w:p>
        </w:tc>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96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Term B</w:t>
            </w:r>
          </w:p>
        </w:tc>
        <w:tc>
          <w:tcPr>
            <w:tcW w:w="110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5.50%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2/24/2021</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1,000,000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1,000,000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1,003,750</w:t>
            </w:r>
          </w:p>
        </w:tc>
      </w:tr>
      <w:tr>
        <w:trPr>
          <w:trHeight w:val="130"/>
        </w:trPr>
        <w:tc>
          <w:tcPr>
            <w:tcW w:w="2560" w:type="dxa"/>
            <w:vAlign w:val="bottom"/>
            <w:gridSpan w:val="2"/>
          </w:tcPr>
          <w:p>
            <w:pPr>
              <w:spacing w:after="0" w:line="130" w:lineRule="exact"/>
              <w:rPr>
                <w:sz w:val="20"/>
                <w:szCs w:val="20"/>
                <w:color w:val="auto"/>
              </w:rPr>
            </w:pPr>
            <w:r>
              <w:rPr>
                <w:rFonts w:ascii="Arial" w:cs="Arial" w:eastAsia="Arial" w:hAnsi="Arial"/>
                <w:sz w:val="14"/>
                <w:szCs w:val="14"/>
                <w:color w:val="auto"/>
              </w:rPr>
              <w:t>Aeroflex Incorporated</w:t>
            </w:r>
          </w:p>
        </w:tc>
        <w:tc>
          <w:tcPr>
            <w:tcW w:w="1700" w:type="dxa"/>
            <w:vAlign w:val="bottom"/>
          </w:tcPr>
          <w:p>
            <w:pPr>
              <w:spacing w:after="0" w:line="130" w:lineRule="exact"/>
              <w:rPr>
                <w:sz w:val="20"/>
                <w:szCs w:val="20"/>
                <w:color w:val="auto"/>
              </w:rPr>
            </w:pPr>
            <w:r>
              <w:rPr>
                <w:rFonts w:ascii="Arial" w:cs="Arial" w:eastAsia="Arial" w:hAnsi="Arial"/>
                <w:sz w:val="14"/>
                <w:szCs w:val="14"/>
                <w:color w:val="auto"/>
              </w:rPr>
              <w:t>Aerospace and</w:t>
            </w:r>
          </w:p>
        </w:tc>
        <w:tc>
          <w:tcPr>
            <w:tcW w:w="960" w:type="dxa"/>
            <w:vAlign w:val="bottom"/>
            <w:gridSpan w:val="2"/>
          </w:tcPr>
          <w:p>
            <w:pPr>
              <w:ind w:left="200"/>
              <w:spacing w:after="0" w:line="130" w:lineRule="exact"/>
              <w:rPr>
                <w:sz w:val="20"/>
                <w:szCs w:val="20"/>
                <w:color w:val="auto"/>
              </w:rPr>
            </w:pPr>
            <w:r>
              <w:rPr>
                <w:rFonts w:ascii="Arial" w:cs="Arial" w:eastAsia="Arial" w:hAnsi="Arial"/>
                <w:sz w:val="14"/>
                <w:szCs w:val="14"/>
                <w:color w:val="auto"/>
                <w:w w:val="96"/>
              </w:rPr>
              <w:t>Tranche B-1</w:t>
            </w:r>
          </w:p>
        </w:tc>
        <w:tc>
          <w:tcPr>
            <w:tcW w:w="110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Arial" w:cs="Arial" w:eastAsia="Arial" w:hAnsi="Arial"/>
                <w:sz w:val="14"/>
                <w:szCs w:val="14"/>
                <w:color w:val="auto"/>
              </w:rPr>
              <w:t>Defense</w:t>
            </w:r>
          </w:p>
        </w:tc>
        <w:tc>
          <w:tcPr>
            <w:tcW w:w="960" w:type="dxa"/>
            <w:vAlign w:val="bottom"/>
            <w:gridSpan w:val="2"/>
          </w:tcPr>
          <w:p>
            <w:pPr>
              <w:ind w:left="200"/>
              <w:spacing w:after="0"/>
              <w:rPr>
                <w:sz w:val="20"/>
                <w:szCs w:val="20"/>
                <w:color w:val="auto"/>
              </w:rPr>
            </w:pPr>
            <w:r>
              <w:rPr>
                <w:rFonts w:ascii="Arial" w:cs="Arial" w:eastAsia="Arial" w:hAnsi="Arial"/>
                <w:sz w:val="14"/>
                <w:szCs w:val="14"/>
                <w:color w:val="auto"/>
              </w:rPr>
              <w:t>Term Loan</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4.50%</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1/18/2019</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3,208,854</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3,195,483</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3,204,843</w:t>
            </w:r>
          </w:p>
        </w:tc>
      </w:tr>
      <w:tr>
        <w:trPr>
          <w:trHeight w:val="130"/>
        </w:trPr>
        <w:tc>
          <w:tcPr>
            <w:tcW w:w="2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Akorn, Inc.</w:t>
            </w:r>
          </w:p>
        </w:tc>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96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Term Loan</w:t>
            </w:r>
          </w:p>
        </w:tc>
        <w:tc>
          <w:tcPr>
            <w:tcW w:w="110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4.50%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4/16/2021</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500,000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497,769</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498,750</w:t>
            </w:r>
          </w:p>
        </w:tc>
      </w:tr>
      <w:tr>
        <w:trPr>
          <w:trHeight w:val="130"/>
        </w:trPr>
        <w:tc>
          <w:tcPr>
            <w:tcW w:w="2560" w:type="dxa"/>
            <w:vAlign w:val="bottom"/>
            <w:gridSpan w:val="2"/>
          </w:tcPr>
          <w:p>
            <w:pPr>
              <w:spacing w:after="0" w:line="130" w:lineRule="exact"/>
              <w:rPr>
                <w:sz w:val="20"/>
                <w:szCs w:val="20"/>
                <w:color w:val="auto"/>
              </w:rPr>
            </w:pPr>
            <w:r>
              <w:rPr>
                <w:rFonts w:ascii="Arial" w:cs="Arial" w:eastAsia="Arial" w:hAnsi="Arial"/>
                <w:sz w:val="14"/>
                <w:szCs w:val="14"/>
                <w:color w:val="auto"/>
              </w:rPr>
              <w:t>Albertson’s</w:t>
            </w:r>
          </w:p>
        </w:tc>
        <w:tc>
          <w:tcPr>
            <w:tcW w:w="1700" w:type="dxa"/>
            <w:vAlign w:val="bottom"/>
          </w:tcPr>
          <w:p>
            <w:pPr>
              <w:spacing w:after="0" w:line="130" w:lineRule="exact"/>
              <w:rPr>
                <w:sz w:val="20"/>
                <w:szCs w:val="20"/>
                <w:color w:val="auto"/>
              </w:rPr>
            </w:pPr>
            <w:r>
              <w:rPr>
                <w:rFonts w:ascii="Arial" w:cs="Arial" w:eastAsia="Arial" w:hAnsi="Arial"/>
                <w:sz w:val="14"/>
                <w:szCs w:val="14"/>
                <w:color w:val="auto"/>
              </w:rPr>
              <w:t>Retailers (Except</w:t>
            </w:r>
          </w:p>
        </w:tc>
        <w:tc>
          <w:tcPr>
            <w:tcW w:w="96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Term Loan</w:t>
            </w:r>
          </w:p>
        </w:tc>
        <w:tc>
          <w:tcPr>
            <w:tcW w:w="110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Arial" w:cs="Arial" w:eastAsia="Arial" w:hAnsi="Arial"/>
                <w:sz w:val="14"/>
                <w:szCs w:val="14"/>
                <w:color w:val="auto"/>
              </w:rPr>
              <w:t>Food and Drugs)</w:t>
            </w:r>
          </w:p>
        </w:tc>
        <w:tc>
          <w:tcPr>
            <w:tcW w:w="960" w:type="dxa"/>
            <w:vAlign w:val="bottom"/>
            <w:gridSpan w:val="2"/>
          </w:tcPr>
          <w:p>
            <w:pPr>
              <w:ind w:left="200"/>
              <w:spacing w:after="0"/>
              <w:rPr>
                <w:sz w:val="20"/>
                <w:szCs w:val="20"/>
                <w:color w:val="auto"/>
              </w:rPr>
            </w:pPr>
            <w:r>
              <w:rPr>
                <w:rFonts w:ascii="Arial" w:cs="Arial" w:eastAsia="Arial" w:hAnsi="Arial"/>
                <w:sz w:val="14"/>
                <w:szCs w:val="14"/>
                <w:color w:val="auto"/>
              </w:rPr>
              <w:t>B-4</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5.50%</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8/25/2021</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1,000,000</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985,000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1,002,080</w:t>
            </w:r>
          </w:p>
        </w:tc>
      </w:tr>
      <w:tr>
        <w:trPr>
          <w:trHeight w:val="130"/>
        </w:trPr>
        <w:tc>
          <w:tcPr>
            <w:tcW w:w="2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Alere Inc. (fka IM US Holdings, LLC)</w:t>
            </w:r>
          </w:p>
        </w:tc>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96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Incremental</w:t>
            </w:r>
          </w:p>
        </w:tc>
        <w:tc>
          <w:tcPr>
            <w:tcW w:w="110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78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B-1 Term</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7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4.25%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6/30/2017</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1,949,993</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1,949,993</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1,939,034</w:t>
            </w: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American Tire Distributors</w:t>
            </w: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Automotive</w:t>
            </w:r>
          </w:p>
        </w:tc>
        <w:tc>
          <w:tcPr>
            <w:tcW w:w="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Term Loan</w:t>
            </w:r>
          </w:p>
        </w:tc>
        <w:tc>
          <w:tcPr>
            <w:tcW w:w="11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Loan</w:t>
            </w:r>
          </w:p>
        </w:tc>
        <w:tc>
          <w:tcPr>
            <w:tcW w:w="12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5.75%</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6/1/2018</w:t>
            </w:r>
          </w:p>
        </w:tc>
        <w:tc>
          <w:tcPr>
            <w:tcW w:w="11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498,988</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498,988</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499,612</w:t>
            </w:r>
          </w:p>
        </w:tc>
      </w:tr>
      <w:tr>
        <w:trPr>
          <w:trHeight w:val="130"/>
        </w:trPr>
        <w:tc>
          <w:tcPr>
            <w:tcW w:w="2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Anchor Glass</w:t>
            </w:r>
          </w:p>
        </w:tc>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Containers/Glass</w:t>
            </w:r>
          </w:p>
        </w:tc>
        <w:tc>
          <w:tcPr>
            <w:tcW w:w="96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Term Loan</w:t>
            </w:r>
          </w:p>
        </w:tc>
        <w:tc>
          <w:tcPr>
            <w:tcW w:w="110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Products</w:t>
            </w: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3.25%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5/16/2021</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2,000,000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1,995,000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1,998,760</w:t>
            </w:r>
          </w:p>
        </w:tc>
      </w:tr>
      <w:tr>
        <w:trPr>
          <w:trHeight w:val="130"/>
        </w:trPr>
        <w:tc>
          <w:tcPr>
            <w:tcW w:w="2560" w:type="dxa"/>
            <w:vAlign w:val="bottom"/>
            <w:gridSpan w:val="2"/>
          </w:tcPr>
          <w:p>
            <w:pPr>
              <w:spacing w:after="0" w:line="130" w:lineRule="exact"/>
              <w:rPr>
                <w:sz w:val="20"/>
                <w:szCs w:val="20"/>
                <w:color w:val="auto"/>
              </w:rPr>
            </w:pPr>
            <w:r>
              <w:rPr>
                <w:rFonts w:ascii="Arial" w:cs="Arial" w:eastAsia="Arial" w:hAnsi="Arial"/>
                <w:sz w:val="14"/>
                <w:szCs w:val="14"/>
                <w:color w:val="auto"/>
              </w:rPr>
              <w:t>Applied Systems, Inc.</w:t>
            </w:r>
          </w:p>
        </w:tc>
        <w:tc>
          <w:tcPr>
            <w:tcW w:w="1700" w:type="dxa"/>
            <w:vAlign w:val="bottom"/>
          </w:tcPr>
          <w:p>
            <w:pPr>
              <w:spacing w:after="0" w:line="130" w:lineRule="exact"/>
              <w:rPr>
                <w:sz w:val="20"/>
                <w:szCs w:val="20"/>
                <w:color w:val="auto"/>
              </w:rPr>
            </w:pPr>
            <w:r>
              <w:rPr>
                <w:rFonts w:ascii="Arial" w:cs="Arial" w:eastAsia="Arial" w:hAnsi="Arial"/>
                <w:sz w:val="14"/>
                <w:szCs w:val="14"/>
                <w:color w:val="auto"/>
              </w:rPr>
              <w:t>Business Equipment</w:t>
            </w:r>
          </w:p>
        </w:tc>
        <w:tc>
          <w:tcPr>
            <w:tcW w:w="96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Initial Term</w:t>
            </w:r>
          </w:p>
        </w:tc>
        <w:tc>
          <w:tcPr>
            <w:tcW w:w="110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7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and Services</w:t>
            </w:r>
          </w:p>
        </w:tc>
        <w:tc>
          <w:tcPr>
            <w:tcW w:w="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Loan (First</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color w:val="auto"/>
              </w:rPr>
              <w:t>Lien)</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4.25%</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1/25/2021</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497,500</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496,392</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494,545</w:t>
            </w:r>
          </w:p>
        </w:tc>
      </w:tr>
      <w:tr>
        <w:trPr>
          <w:trHeight w:val="130"/>
        </w:trPr>
        <w:tc>
          <w:tcPr>
            <w:tcW w:w="2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Aramark Corporation</w:t>
            </w:r>
          </w:p>
        </w:tc>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Food Products</w:t>
            </w:r>
          </w:p>
        </w:tc>
        <w:tc>
          <w:tcPr>
            <w:tcW w:w="96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LC-2</w:t>
            </w:r>
          </w:p>
        </w:tc>
        <w:tc>
          <w:tcPr>
            <w:tcW w:w="110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Facility</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3.69%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7/26/2016</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79,187</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79,187</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78,692</w:t>
            </w:r>
          </w:p>
        </w:tc>
      </w:tr>
      <w:tr>
        <w:trPr>
          <w:trHeight w:val="130"/>
        </w:trPr>
        <w:tc>
          <w:tcPr>
            <w:tcW w:w="2560" w:type="dxa"/>
            <w:vAlign w:val="bottom"/>
            <w:gridSpan w:val="2"/>
          </w:tcPr>
          <w:p>
            <w:pPr>
              <w:spacing w:after="0" w:line="130" w:lineRule="exact"/>
              <w:rPr>
                <w:sz w:val="20"/>
                <w:szCs w:val="20"/>
                <w:color w:val="auto"/>
              </w:rPr>
            </w:pPr>
            <w:r>
              <w:rPr>
                <w:rFonts w:ascii="Arial" w:cs="Arial" w:eastAsia="Arial" w:hAnsi="Arial"/>
                <w:sz w:val="14"/>
                <w:szCs w:val="14"/>
                <w:color w:val="auto"/>
              </w:rPr>
              <w:t>Aramark Corporation</w:t>
            </w:r>
          </w:p>
        </w:tc>
        <w:tc>
          <w:tcPr>
            <w:tcW w:w="1700" w:type="dxa"/>
            <w:vAlign w:val="bottom"/>
          </w:tcPr>
          <w:p>
            <w:pPr>
              <w:spacing w:after="0" w:line="130" w:lineRule="exact"/>
              <w:rPr>
                <w:sz w:val="20"/>
                <w:szCs w:val="20"/>
                <w:color w:val="auto"/>
              </w:rPr>
            </w:pPr>
            <w:r>
              <w:rPr>
                <w:rFonts w:ascii="Arial" w:cs="Arial" w:eastAsia="Arial" w:hAnsi="Arial"/>
                <w:sz w:val="14"/>
                <w:szCs w:val="14"/>
                <w:color w:val="auto"/>
              </w:rPr>
              <w:t>Food Products</w:t>
            </w:r>
          </w:p>
        </w:tc>
        <w:tc>
          <w:tcPr>
            <w:tcW w:w="96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LC-3</w:t>
            </w:r>
          </w:p>
        </w:tc>
        <w:tc>
          <w:tcPr>
            <w:tcW w:w="110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color w:val="auto"/>
              </w:rPr>
              <w:t>Facility</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3.69%</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7/26/2016</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43,961</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43,961</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43,686</w:t>
            </w:r>
          </w:p>
        </w:tc>
      </w:tr>
      <w:tr>
        <w:trPr>
          <w:trHeight w:val="130"/>
        </w:trPr>
        <w:tc>
          <w:tcPr>
            <w:tcW w:w="2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Aramark Corporation</w:t>
            </w:r>
          </w:p>
        </w:tc>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Food Products</w:t>
            </w:r>
          </w:p>
        </w:tc>
        <w:tc>
          <w:tcPr>
            <w:tcW w:w="96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w w:val="97"/>
              </w:rPr>
              <w:t>U.S. Term F</w:t>
            </w:r>
          </w:p>
        </w:tc>
        <w:tc>
          <w:tcPr>
            <w:tcW w:w="110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3.25%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2/24/2021</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3,198,521</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3,198,521</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3,148,944</w:t>
            </w: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ARG IH Corp</w:t>
            </w: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Food Services</w:t>
            </w:r>
          </w:p>
        </w:tc>
        <w:tc>
          <w:tcPr>
            <w:tcW w:w="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Term Loan</w:t>
            </w:r>
          </w:p>
        </w:tc>
        <w:tc>
          <w:tcPr>
            <w:tcW w:w="11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Loan</w:t>
            </w:r>
          </w:p>
        </w:tc>
        <w:tc>
          <w:tcPr>
            <w:tcW w:w="12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4.75%</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11/15/2020</w:t>
            </w:r>
          </w:p>
        </w:tc>
        <w:tc>
          <w:tcPr>
            <w:tcW w:w="11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497,500</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496,469</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497,500</w:t>
            </w:r>
          </w:p>
        </w:tc>
      </w:tr>
      <w:tr>
        <w:trPr>
          <w:trHeight w:val="130"/>
        </w:trPr>
        <w:tc>
          <w:tcPr>
            <w:tcW w:w="2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Asurion, LLC (fka Asurion</w:t>
            </w:r>
          </w:p>
        </w:tc>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Insurance</w:t>
            </w:r>
          </w:p>
        </w:tc>
        <w:tc>
          <w:tcPr>
            <w:tcW w:w="96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Incremental</w:t>
            </w:r>
          </w:p>
        </w:tc>
        <w:tc>
          <w:tcPr>
            <w:tcW w:w="110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56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Corporation)</w:t>
            </w:r>
          </w:p>
        </w:tc>
        <w:tc>
          <w:tcPr>
            <w:tcW w:w="17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6"/>
              </w:rPr>
              <w:t>Tranche B-1</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7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Term Loan</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5/24/2019</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5,480,487</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5,434,635</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5,481,638</w:t>
            </w:r>
          </w:p>
        </w:tc>
      </w:tr>
      <w:tr>
        <w:trPr>
          <w:trHeight w:val="130"/>
        </w:trPr>
        <w:tc>
          <w:tcPr>
            <w:tcW w:w="2560" w:type="dxa"/>
            <w:vAlign w:val="bottom"/>
            <w:gridSpan w:val="2"/>
          </w:tcPr>
          <w:p>
            <w:pPr>
              <w:spacing w:after="0" w:line="130" w:lineRule="exact"/>
              <w:rPr>
                <w:sz w:val="20"/>
                <w:szCs w:val="20"/>
                <w:color w:val="auto"/>
              </w:rPr>
            </w:pPr>
            <w:r>
              <w:rPr>
                <w:rFonts w:ascii="Arial" w:cs="Arial" w:eastAsia="Arial" w:hAnsi="Arial"/>
                <w:sz w:val="14"/>
                <w:szCs w:val="14"/>
                <w:color w:val="auto"/>
              </w:rPr>
              <w:t>Auction.Com, LLC</w:t>
            </w:r>
          </w:p>
        </w:tc>
        <w:tc>
          <w:tcPr>
            <w:tcW w:w="1700" w:type="dxa"/>
            <w:vAlign w:val="bottom"/>
          </w:tcPr>
          <w:p>
            <w:pPr>
              <w:spacing w:after="0" w:line="130" w:lineRule="exact"/>
              <w:rPr>
                <w:sz w:val="20"/>
                <w:szCs w:val="20"/>
                <w:color w:val="auto"/>
              </w:rPr>
            </w:pPr>
            <w:r>
              <w:rPr>
                <w:rFonts w:ascii="Arial" w:cs="Arial" w:eastAsia="Arial" w:hAnsi="Arial"/>
                <w:sz w:val="14"/>
                <w:szCs w:val="14"/>
                <w:color w:val="auto"/>
              </w:rPr>
              <w:t>Business Equipment</w:t>
            </w:r>
          </w:p>
        </w:tc>
        <w:tc>
          <w:tcPr>
            <w:tcW w:w="96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Term Loan</w:t>
            </w:r>
          </w:p>
        </w:tc>
        <w:tc>
          <w:tcPr>
            <w:tcW w:w="110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Arial" w:cs="Arial" w:eastAsia="Arial" w:hAnsi="Arial"/>
                <w:sz w:val="14"/>
                <w:szCs w:val="14"/>
                <w:color w:val="auto"/>
              </w:rPr>
              <w:t>and Services</w:t>
            </w:r>
          </w:p>
        </w:tc>
        <w:tc>
          <w:tcPr>
            <w:tcW w:w="960" w:type="dxa"/>
            <w:vAlign w:val="bottom"/>
            <w:gridSpan w:val="2"/>
          </w:tcPr>
          <w:p>
            <w:pPr>
              <w:ind w:left="200"/>
              <w:spacing w:after="0"/>
              <w:rPr>
                <w:sz w:val="20"/>
                <w:szCs w:val="20"/>
                <w:color w:val="auto"/>
              </w:rPr>
            </w:pPr>
            <w:r>
              <w:rPr>
                <w:rFonts w:ascii="Arial" w:cs="Arial" w:eastAsia="Arial" w:hAnsi="Arial"/>
                <w:sz w:val="14"/>
                <w:szCs w:val="14"/>
                <w:color w:val="auto"/>
              </w:rPr>
              <w:t>A-4</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4.40%</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2/28/2017</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914,567</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913,866</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905,422</w:t>
            </w:r>
          </w:p>
        </w:tc>
      </w:tr>
      <w:tr>
        <w:trPr>
          <w:trHeight w:val="130"/>
        </w:trPr>
        <w:tc>
          <w:tcPr>
            <w:tcW w:w="2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Avantor Performance Materials</w:t>
            </w:r>
          </w:p>
        </w:tc>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Chemicals/Plastics</w:t>
            </w:r>
          </w:p>
        </w:tc>
        <w:tc>
          <w:tcPr>
            <w:tcW w:w="96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Term Loan</w:t>
            </w:r>
          </w:p>
        </w:tc>
        <w:tc>
          <w:tcPr>
            <w:tcW w:w="110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5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Holdings, Inc.</w:t>
            </w:r>
          </w:p>
        </w:tc>
        <w:tc>
          <w:tcPr>
            <w:tcW w:w="17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5.25%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6/26/2017</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4,454,250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4,442,046</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4,454,250</w:t>
            </w: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Avast Software</w:t>
            </w: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Electronics/Electric</w:t>
            </w:r>
          </w:p>
        </w:tc>
        <w:tc>
          <w:tcPr>
            <w:tcW w:w="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Term Loan</w:t>
            </w:r>
          </w:p>
        </w:tc>
        <w:tc>
          <w:tcPr>
            <w:tcW w:w="11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Loan</w:t>
            </w:r>
          </w:p>
        </w:tc>
        <w:tc>
          <w:tcPr>
            <w:tcW w:w="12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4.00%</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3/20/2020</w:t>
            </w:r>
          </w:p>
        </w:tc>
        <w:tc>
          <w:tcPr>
            <w:tcW w:w="11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1,975,000</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1,972,619</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1,975,000</w:t>
            </w:r>
          </w:p>
        </w:tc>
      </w:tr>
      <w:tr>
        <w:trPr>
          <w:trHeight w:val="149"/>
        </w:trPr>
        <w:tc>
          <w:tcPr>
            <w:tcW w:w="256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AZ Chem US Inc.</w:t>
            </w:r>
          </w:p>
        </w:tc>
        <w:tc>
          <w:tcPr>
            <w:tcW w:w="17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Chemicals/Plastics</w:t>
            </w:r>
          </w:p>
        </w:tc>
        <w:tc>
          <w:tcPr>
            <w:tcW w:w="9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11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Loan</w:t>
            </w:r>
          </w:p>
        </w:tc>
        <w:tc>
          <w:tcPr>
            <w:tcW w:w="12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5.25%</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12/22/2017</w:t>
            </w:r>
          </w:p>
        </w:tc>
        <w:tc>
          <w:tcPr>
            <w:tcW w:w="11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492,466</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490,056</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493,608</w:t>
            </w:r>
          </w:p>
        </w:tc>
      </w:tr>
      <w:tr>
        <w:trPr>
          <w:trHeight w:val="130"/>
        </w:trPr>
        <w:tc>
          <w:tcPr>
            <w:tcW w:w="2560" w:type="dxa"/>
            <w:vAlign w:val="bottom"/>
            <w:gridSpan w:val="2"/>
          </w:tcPr>
          <w:p>
            <w:pPr>
              <w:spacing w:after="0" w:line="130" w:lineRule="exact"/>
              <w:rPr>
                <w:sz w:val="20"/>
                <w:szCs w:val="20"/>
                <w:color w:val="auto"/>
              </w:rPr>
            </w:pPr>
            <w:r>
              <w:rPr>
                <w:rFonts w:ascii="Arial" w:cs="Arial" w:eastAsia="Arial" w:hAnsi="Arial"/>
                <w:sz w:val="14"/>
                <w:szCs w:val="14"/>
                <w:color w:val="auto"/>
              </w:rPr>
              <w:t>Bass Pro Group, LLC</w:t>
            </w:r>
          </w:p>
        </w:tc>
        <w:tc>
          <w:tcPr>
            <w:tcW w:w="1700" w:type="dxa"/>
            <w:vAlign w:val="bottom"/>
          </w:tcPr>
          <w:p>
            <w:pPr>
              <w:spacing w:after="0" w:line="130" w:lineRule="exact"/>
              <w:rPr>
                <w:sz w:val="20"/>
                <w:szCs w:val="20"/>
                <w:color w:val="auto"/>
              </w:rPr>
            </w:pPr>
            <w:r>
              <w:rPr>
                <w:rFonts w:ascii="Arial" w:cs="Arial" w:eastAsia="Arial" w:hAnsi="Arial"/>
                <w:sz w:val="14"/>
                <w:szCs w:val="14"/>
                <w:color w:val="auto"/>
              </w:rPr>
              <w:t>Retailers (Except</w:t>
            </w:r>
          </w:p>
        </w:tc>
        <w:tc>
          <w:tcPr>
            <w:tcW w:w="96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New Term</w:t>
            </w:r>
          </w:p>
        </w:tc>
        <w:tc>
          <w:tcPr>
            <w:tcW w:w="110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Arial" w:cs="Arial" w:eastAsia="Arial" w:hAnsi="Arial"/>
                <w:sz w:val="14"/>
                <w:szCs w:val="14"/>
                <w:color w:val="auto"/>
              </w:rPr>
              <w:t>Food and Drugs)</w:t>
            </w:r>
          </w:p>
        </w:tc>
        <w:tc>
          <w:tcPr>
            <w:tcW w:w="960" w:type="dxa"/>
            <w:vAlign w:val="bottom"/>
            <w:gridSpan w:val="2"/>
          </w:tcPr>
          <w:p>
            <w:pPr>
              <w:ind w:left="200"/>
              <w:spacing w:after="0"/>
              <w:rPr>
                <w:sz w:val="20"/>
                <w:szCs w:val="20"/>
                <w:color w:val="auto"/>
              </w:rPr>
            </w:pPr>
            <w:r>
              <w:rPr>
                <w:rFonts w:ascii="Arial" w:cs="Arial" w:eastAsia="Arial" w:hAnsi="Arial"/>
                <w:sz w:val="14"/>
                <w:szCs w:val="14"/>
                <w:color w:val="auto"/>
              </w:rPr>
              <w:t>Loan</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3.75%</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11/20/2019</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496,174</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495,632</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492,041</w:t>
            </w:r>
          </w:p>
        </w:tc>
      </w:tr>
      <w:tr>
        <w:trPr>
          <w:trHeight w:val="130"/>
        </w:trPr>
        <w:tc>
          <w:tcPr>
            <w:tcW w:w="2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Bayonne Energy Center</w:t>
            </w:r>
          </w:p>
        </w:tc>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Oil &amp; Gas</w:t>
            </w:r>
          </w:p>
        </w:tc>
        <w:tc>
          <w:tcPr>
            <w:tcW w:w="96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Term Loan</w:t>
            </w:r>
          </w:p>
        </w:tc>
        <w:tc>
          <w:tcPr>
            <w:tcW w:w="110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4.50%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8/19/2021</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1,000,000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995,008</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1,000,000</w:t>
            </w: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Belmond Hotels</w:t>
            </w: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Lodging &amp; Casinos</w:t>
            </w:r>
          </w:p>
        </w:tc>
        <w:tc>
          <w:tcPr>
            <w:tcW w:w="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Term Loan</w:t>
            </w:r>
          </w:p>
        </w:tc>
        <w:tc>
          <w:tcPr>
            <w:tcW w:w="11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Loan</w:t>
            </w:r>
          </w:p>
        </w:tc>
        <w:tc>
          <w:tcPr>
            <w:tcW w:w="12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4.00%</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3/19/2021</w:t>
            </w:r>
          </w:p>
        </w:tc>
        <w:tc>
          <w:tcPr>
            <w:tcW w:w="11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498,750</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496,353</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497,503</w:t>
            </w:r>
          </w:p>
        </w:tc>
      </w:tr>
      <w:tr>
        <w:trPr>
          <w:trHeight w:val="130"/>
        </w:trPr>
        <w:tc>
          <w:tcPr>
            <w:tcW w:w="2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Berry Plastics Corporation</w:t>
            </w:r>
          </w:p>
        </w:tc>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Chemicals/Plastics</w:t>
            </w:r>
          </w:p>
        </w:tc>
        <w:tc>
          <w:tcPr>
            <w:tcW w:w="96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Term E</w:t>
            </w:r>
          </w:p>
        </w:tc>
        <w:tc>
          <w:tcPr>
            <w:tcW w:w="110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3.75%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1/6/2021</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1,496,250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1,493,014</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1,479,836</w:t>
            </w:r>
          </w:p>
        </w:tc>
      </w:tr>
      <w:tr>
        <w:trPr>
          <w:trHeight w:val="130"/>
        </w:trPr>
        <w:tc>
          <w:tcPr>
            <w:tcW w:w="2560" w:type="dxa"/>
            <w:vAlign w:val="bottom"/>
            <w:gridSpan w:val="2"/>
          </w:tcPr>
          <w:p>
            <w:pPr>
              <w:spacing w:after="0" w:line="130" w:lineRule="exact"/>
              <w:rPr>
                <w:sz w:val="20"/>
                <w:szCs w:val="20"/>
                <w:color w:val="auto"/>
              </w:rPr>
            </w:pPr>
            <w:r>
              <w:rPr>
                <w:rFonts w:ascii="Arial" w:cs="Arial" w:eastAsia="Arial" w:hAnsi="Arial"/>
                <w:sz w:val="14"/>
                <w:szCs w:val="14"/>
                <w:color w:val="auto"/>
              </w:rPr>
              <w:t>Big Heart Pet Brands (fka Del Monte</w:t>
            </w:r>
          </w:p>
        </w:tc>
        <w:tc>
          <w:tcPr>
            <w:tcW w:w="1700" w:type="dxa"/>
            <w:vAlign w:val="bottom"/>
          </w:tcPr>
          <w:p>
            <w:pPr>
              <w:spacing w:after="0" w:line="130" w:lineRule="exact"/>
              <w:rPr>
                <w:sz w:val="20"/>
                <w:szCs w:val="20"/>
                <w:color w:val="auto"/>
              </w:rPr>
            </w:pPr>
            <w:r>
              <w:rPr>
                <w:rFonts w:ascii="Arial" w:cs="Arial" w:eastAsia="Arial" w:hAnsi="Arial"/>
                <w:sz w:val="14"/>
                <w:szCs w:val="14"/>
                <w:color w:val="auto"/>
              </w:rPr>
              <w:t>Food/Drug Retailers</w:t>
            </w:r>
          </w:p>
        </w:tc>
        <w:tc>
          <w:tcPr>
            <w:tcW w:w="96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Initial Term</w:t>
            </w:r>
          </w:p>
        </w:tc>
        <w:tc>
          <w:tcPr>
            <w:tcW w:w="110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560" w:type="dxa"/>
            <w:vAlign w:val="bottom"/>
            <w:gridSpan w:val="2"/>
          </w:tcPr>
          <w:p>
            <w:pPr>
              <w:ind w:left="160"/>
              <w:spacing w:after="0"/>
              <w:rPr>
                <w:sz w:val="20"/>
                <w:szCs w:val="20"/>
                <w:color w:val="auto"/>
              </w:rPr>
            </w:pPr>
            <w:r>
              <w:rPr>
                <w:rFonts w:ascii="Arial" w:cs="Arial" w:eastAsia="Arial" w:hAnsi="Arial"/>
                <w:sz w:val="14"/>
                <w:szCs w:val="14"/>
                <w:color w:val="auto"/>
              </w:rPr>
              <w:t>Corporation)</w:t>
            </w:r>
          </w:p>
        </w:tc>
        <w:tc>
          <w:tcPr>
            <w:tcW w:w="170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color w:val="auto"/>
              </w:rPr>
              <w:t>Loan</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3.50%</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3/9/2020</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2,992,500</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3,013,405</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2,937,648</w:t>
            </w:r>
          </w:p>
        </w:tc>
      </w:tr>
      <w:tr>
        <w:trPr>
          <w:trHeight w:val="130"/>
        </w:trPr>
        <w:tc>
          <w:tcPr>
            <w:tcW w:w="2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Biomet, Inc.</w:t>
            </w:r>
          </w:p>
        </w:tc>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Healthcare</w:t>
            </w:r>
          </w:p>
        </w:tc>
        <w:tc>
          <w:tcPr>
            <w:tcW w:w="96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Dollar Term</w:t>
            </w:r>
          </w:p>
        </w:tc>
        <w:tc>
          <w:tcPr>
            <w:tcW w:w="110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B-2 Loan</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3.65%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7/25/2017</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1,840,718</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1,840,718</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1,836,116</w:t>
            </w:r>
          </w:p>
        </w:tc>
      </w:tr>
      <w:tr>
        <w:trPr>
          <w:trHeight w:val="130"/>
        </w:trPr>
        <w:tc>
          <w:tcPr>
            <w:tcW w:w="2560" w:type="dxa"/>
            <w:vAlign w:val="bottom"/>
            <w:gridSpan w:val="2"/>
          </w:tcPr>
          <w:p>
            <w:pPr>
              <w:spacing w:after="0" w:line="130" w:lineRule="exact"/>
              <w:rPr>
                <w:sz w:val="20"/>
                <w:szCs w:val="20"/>
                <w:color w:val="auto"/>
              </w:rPr>
            </w:pPr>
            <w:r>
              <w:rPr>
                <w:rFonts w:ascii="Arial" w:cs="Arial" w:eastAsia="Arial" w:hAnsi="Arial"/>
                <w:sz w:val="14"/>
                <w:szCs w:val="14"/>
                <w:color w:val="auto"/>
              </w:rPr>
              <w:t>BJ’s Wholesale Club, Inc.</w:t>
            </w:r>
          </w:p>
        </w:tc>
        <w:tc>
          <w:tcPr>
            <w:tcW w:w="1700" w:type="dxa"/>
            <w:vAlign w:val="bottom"/>
          </w:tcPr>
          <w:p>
            <w:pPr>
              <w:spacing w:after="0" w:line="130" w:lineRule="exact"/>
              <w:rPr>
                <w:sz w:val="20"/>
                <w:szCs w:val="20"/>
                <w:color w:val="auto"/>
              </w:rPr>
            </w:pPr>
            <w:r>
              <w:rPr>
                <w:rFonts w:ascii="Arial" w:cs="Arial" w:eastAsia="Arial" w:hAnsi="Arial"/>
                <w:sz w:val="14"/>
                <w:szCs w:val="14"/>
                <w:color w:val="auto"/>
              </w:rPr>
              <w:t>Food/Drug Retailers</w:t>
            </w:r>
          </w:p>
        </w:tc>
        <w:tc>
          <w:tcPr>
            <w:tcW w:w="96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New 2013</w:t>
            </w:r>
          </w:p>
        </w:tc>
        <w:tc>
          <w:tcPr>
            <w:tcW w:w="110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7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(November)</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7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9"/>
              </w:rPr>
              <w:t>Replacement</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7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Loan (First</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color w:val="auto"/>
              </w:rPr>
              <w:t>Lien)</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4.50%</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9/26/2019</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1,497,500</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1,496,307</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1,483,558</w:t>
            </w:r>
          </w:p>
        </w:tc>
      </w:tr>
      <w:tr>
        <w:trPr>
          <w:trHeight w:val="130"/>
        </w:trPr>
        <w:tc>
          <w:tcPr>
            <w:tcW w:w="2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Bombardier Recreational Products Inc.</w:t>
            </w:r>
          </w:p>
        </w:tc>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Leisure Goods/</w:t>
            </w:r>
          </w:p>
        </w:tc>
        <w:tc>
          <w:tcPr>
            <w:tcW w:w="96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Term B</w:t>
            </w:r>
          </w:p>
        </w:tc>
        <w:tc>
          <w:tcPr>
            <w:tcW w:w="110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Activities/Movies</w:t>
            </w: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1/30/2019</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754,286</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749,824</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745,332</w:t>
            </w:r>
          </w:p>
        </w:tc>
      </w:tr>
      <w:tr>
        <w:trPr>
          <w:trHeight w:val="130"/>
        </w:trPr>
        <w:tc>
          <w:tcPr>
            <w:tcW w:w="2560" w:type="dxa"/>
            <w:vAlign w:val="bottom"/>
            <w:gridSpan w:val="2"/>
          </w:tcPr>
          <w:p>
            <w:pPr>
              <w:spacing w:after="0" w:line="130" w:lineRule="exact"/>
              <w:rPr>
                <w:sz w:val="20"/>
                <w:szCs w:val="20"/>
                <w:color w:val="auto"/>
              </w:rPr>
            </w:pPr>
            <w:r>
              <w:rPr>
                <w:rFonts w:ascii="Arial" w:cs="Arial" w:eastAsia="Arial" w:hAnsi="Arial"/>
                <w:sz w:val="14"/>
                <w:szCs w:val="14"/>
                <w:color w:val="auto"/>
              </w:rPr>
              <w:t>Brickman Group Ltd. LLC, The</w:t>
            </w:r>
          </w:p>
        </w:tc>
        <w:tc>
          <w:tcPr>
            <w:tcW w:w="1700" w:type="dxa"/>
            <w:vAlign w:val="bottom"/>
          </w:tcPr>
          <w:p>
            <w:pPr>
              <w:spacing w:after="0" w:line="130" w:lineRule="exact"/>
              <w:rPr>
                <w:sz w:val="20"/>
                <w:szCs w:val="20"/>
                <w:color w:val="auto"/>
              </w:rPr>
            </w:pPr>
            <w:r>
              <w:rPr>
                <w:rFonts w:ascii="Arial" w:cs="Arial" w:eastAsia="Arial" w:hAnsi="Arial"/>
                <w:sz w:val="14"/>
                <w:szCs w:val="14"/>
                <w:color w:val="auto"/>
              </w:rPr>
              <w:t>Brokers/Dealers/</w:t>
            </w:r>
          </w:p>
        </w:tc>
        <w:tc>
          <w:tcPr>
            <w:tcW w:w="96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Initial Term</w:t>
            </w:r>
          </w:p>
        </w:tc>
        <w:tc>
          <w:tcPr>
            <w:tcW w:w="110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7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Investment Houses</w:t>
            </w:r>
          </w:p>
        </w:tc>
        <w:tc>
          <w:tcPr>
            <w:tcW w:w="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Loan (First</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color w:val="auto"/>
              </w:rPr>
              <w:t>Lien)</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4.00%</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12/18/2020</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1,498,750</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1,485,345</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1,470,963</w:t>
            </w:r>
          </w:p>
        </w:tc>
      </w:tr>
      <w:tr>
        <w:trPr>
          <w:trHeight w:val="130"/>
        </w:trPr>
        <w:tc>
          <w:tcPr>
            <w:tcW w:w="2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Brock Holdings III, Inc.</w:t>
            </w:r>
          </w:p>
        </w:tc>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Industrial</w:t>
            </w:r>
          </w:p>
        </w:tc>
        <w:tc>
          <w:tcPr>
            <w:tcW w:w="96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Term Loan</w:t>
            </w:r>
          </w:p>
        </w:tc>
        <w:tc>
          <w:tcPr>
            <w:tcW w:w="110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Equipment</w:t>
            </w: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(First Lien)</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3/16/2017</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1,949,171</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1,966,066</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1,950,399</w:t>
            </w:r>
          </w:p>
        </w:tc>
      </w:tr>
      <w:tr>
        <w:trPr>
          <w:trHeight w:val="130"/>
        </w:trPr>
        <w:tc>
          <w:tcPr>
            <w:tcW w:w="2560" w:type="dxa"/>
            <w:vAlign w:val="bottom"/>
            <w:gridSpan w:val="2"/>
          </w:tcPr>
          <w:p>
            <w:pPr>
              <w:spacing w:after="0" w:line="130" w:lineRule="exact"/>
              <w:rPr>
                <w:sz w:val="20"/>
                <w:szCs w:val="20"/>
                <w:color w:val="auto"/>
              </w:rPr>
            </w:pPr>
            <w:r>
              <w:rPr>
                <w:rFonts w:ascii="Arial" w:cs="Arial" w:eastAsia="Arial" w:hAnsi="Arial"/>
                <w:sz w:val="14"/>
                <w:szCs w:val="14"/>
                <w:color w:val="auto"/>
              </w:rPr>
              <w:t>Burlington Coat Factory Warehouse</w:t>
            </w:r>
          </w:p>
        </w:tc>
        <w:tc>
          <w:tcPr>
            <w:tcW w:w="1700" w:type="dxa"/>
            <w:vAlign w:val="bottom"/>
          </w:tcPr>
          <w:p>
            <w:pPr>
              <w:spacing w:after="0" w:line="130" w:lineRule="exact"/>
              <w:rPr>
                <w:sz w:val="20"/>
                <w:szCs w:val="20"/>
                <w:color w:val="auto"/>
              </w:rPr>
            </w:pPr>
            <w:r>
              <w:rPr>
                <w:rFonts w:ascii="Arial" w:cs="Arial" w:eastAsia="Arial" w:hAnsi="Arial"/>
                <w:sz w:val="14"/>
                <w:szCs w:val="14"/>
                <w:color w:val="auto"/>
              </w:rPr>
              <w:t>Retailers (Except</w:t>
            </w:r>
          </w:p>
        </w:tc>
        <w:tc>
          <w:tcPr>
            <w:tcW w:w="96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Term B-2</w:t>
            </w:r>
          </w:p>
        </w:tc>
        <w:tc>
          <w:tcPr>
            <w:tcW w:w="110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560" w:type="dxa"/>
            <w:vAlign w:val="bottom"/>
            <w:gridSpan w:val="2"/>
          </w:tcPr>
          <w:p>
            <w:pPr>
              <w:ind w:left="160"/>
              <w:spacing w:after="0"/>
              <w:rPr>
                <w:sz w:val="20"/>
                <w:szCs w:val="20"/>
                <w:color w:val="auto"/>
              </w:rPr>
            </w:pPr>
            <w:r>
              <w:rPr>
                <w:rFonts w:ascii="Arial" w:cs="Arial" w:eastAsia="Arial" w:hAnsi="Arial"/>
                <w:sz w:val="14"/>
                <w:szCs w:val="14"/>
                <w:color w:val="auto"/>
              </w:rPr>
              <w:t>Corporation</w:t>
            </w:r>
          </w:p>
        </w:tc>
        <w:tc>
          <w:tcPr>
            <w:tcW w:w="1700" w:type="dxa"/>
            <w:vAlign w:val="bottom"/>
          </w:tcPr>
          <w:p>
            <w:pPr>
              <w:spacing w:after="0"/>
              <w:rPr>
                <w:sz w:val="20"/>
                <w:szCs w:val="20"/>
                <w:color w:val="auto"/>
              </w:rPr>
            </w:pPr>
            <w:r>
              <w:rPr>
                <w:rFonts w:ascii="Arial" w:cs="Arial" w:eastAsia="Arial" w:hAnsi="Arial"/>
                <w:sz w:val="14"/>
                <w:szCs w:val="14"/>
                <w:color w:val="auto"/>
              </w:rPr>
              <w:t>Food and Drugs)</w:t>
            </w:r>
          </w:p>
        </w:tc>
        <w:tc>
          <w:tcPr>
            <w:tcW w:w="960" w:type="dxa"/>
            <w:vAlign w:val="bottom"/>
            <w:gridSpan w:val="2"/>
          </w:tcPr>
          <w:p>
            <w:pPr>
              <w:ind w:left="200"/>
              <w:spacing w:after="0"/>
              <w:rPr>
                <w:sz w:val="20"/>
                <w:szCs w:val="20"/>
                <w:color w:val="auto"/>
              </w:rPr>
            </w:pPr>
            <w:r>
              <w:rPr>
                <w:rFonts w:ascii="Arial" w:cs="Arial" w:eastAsia="Arial" w:hAnsi="Arial"/>
                <w:sz w:val="14"/>
                <w:szCs w:val="14"/>
                <w:color w:val="auto"/>
              </w:rPr>
              <w:t>Loan</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4.25%</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2/23/2017</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2,000,000</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1,990,010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1,990,000</w:t>
            </w:r>
          </w:p>
        </w:tc>
      </w:tr>
      <w:tr>
        <w:trPr>
          <w:trHeight w:val="130"/>
        </w:trPr>
        <w:tc>
          <w:tcPr>
            <w:tcW w:w="2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BWAY</w:t>
            </w:r>
          </w:p>
        </w:tc>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Leisure Goods/</w:t>
            </w:r>
          </w:p>
        </w:tc>
        <w:tc>
          <w:tcPr>
            <w:tcW w:w="96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Term Loan</w:t>
            </w:r>
          </w:p>
        </w:tc>
        <w:tc>
          <w:tcPr>
            <w:tcW w:w="110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Activities/Movies</w:t>
            </w: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5.50%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8/14/2020</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1,000,000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990,072</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1,004,170</w:t>
            </w:r>
          </w:p>
        </w:tc>
      </w:tr>
      <w:tr>
        <w:trPr>
          <w:trHeight w:val="130"/>
        </w:trPr>
        <w:tc>
          <w:tcPr>
            <w:tcW w:w="2560" w:type="dxa"/>
            <w:vAlign w:val="bottom"/>
            <w:gridSpan w:val="2"/>
          </w:tcPr>
          <w:p>
            <w:pPr>
              <w:spacing w:after="0" w:line="130" w:lineRule="exact"/>
              <w:rPr>
                <w:sz w:val="20"/>
                <w:szCs w:val="20"/>
                <w:color w:val="auto"/>
              </w:rPr>
            </w:pPr>
            <w:r>
              <w:rPr>
                <w:rFonts w:ascii="Arial" w:cs="Arial" w:eastAsia="Arial" w:hAnsi="Arial"/>
                <w:sz w:val="14"/>
                <w:szCs w:val="14"/>
                <w:color w:val="auto"/>
              </w:rPr>
              <w:t>Camp International Holding Company</w:t>
            </w:r>
          </w:p>
        </w:tc>
        <w:tc>
          <w:tcPr>
            <w:tcW w:w="1700" w:type="dxa"/>
            <w:vAlign w:val="bottom"/>
          </w:tcPr>
          <w:p>
            <w:pPr>
              <w:spacing w:after="0" w:line="130" w:lineRule="exact"/>
              <w:rPr>
                <w:sz w:val="20"/>
                <w:szCs w:val="20"/>
                <w:color w:val="auto"/>
              </w:rPr>
            </w:pPr>
            <w:r>
              <w:rPr>
                <w:rFonts w:ascii="Arial" w:cs="Arial" w:eastAsia="Arial" w:hAnsi="Arial"/>
                <w:sz w:val="14"/>
                <w:szCs w:val="14"/>
                <w:color w:val="auto"/>
              </w:rPr>
              <w:t>Aerospace and</w:t>
            </w:r>
          </w:p>
        </w:tc>
        <w:tc>
          <w:tcPr>
            <w:tcW w:w="96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2013</w:t>
            </w:r>
          </w:p>
        </w:tc>
        <w:tc>
          <w:tcPr>
            <w:tcW w:w="110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7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Defense</w:t>
            </w:r>
          </w:p>
        </w:tc>
        <w:tc>
          <w:tcPr>
            <w:tcW w:w="96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89"/>
              </w:rPr>
              <w:t>Replacement</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7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Term Loan</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color w:val="auto"/>
              </w:rPr>
              <w:t>(First Lien)</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4.75%</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5/31/2019</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1,970,023</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1,976,344</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1,970,023</w:t>
            </w:r>
          </w:p>
        </w:tc>
      </w:tr>
      <w:tr>
        <w:trPr>
          <w:trHeight w:val="130"/>
        </w:trPr>
        <w:tc>
          <w:tcPr>
            <w:tcW w:w="2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Capital Automotive L.P.</w:t>
            </w:r>
          </w:p>
        </w:tc>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Conglomerate</w:t>
            </w:r>
          </w:p>
        </w:tc>
        <w:tc>
          <w:tcPr>
            <w:tcW w:w="96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w w:val="96"/>
              </w:rPr>
              <w:t>Tranche B-1</w:t>
            </w:r>
          </w:p>
        </w:tc>
        <w:tc>
          <w:tcPr>
            <w:tcW w:w="110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78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Term Loan</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7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Facility</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4/10/2019</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2,090,570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2,095,324</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2,083,775</w:t>
            </w:r>
          </w:p>
        </w:tc>
      </w:tr>
      <w:tr>
        <w:trPr>
          <w:trHeight w:val="130"/>
        </w:trPr>
        <w:tc>
          <w:tcPr>
            <w:tcW w:w="2560" w:type="dxa"/>
            <w:vAlign w:val="bottom"/>
            <w:gridSpan w:val="2"/>
          </w:tcPr>
          <w:p>
            <w:pPr>
              <w:spacing w:after="0" w:line="130" w:lineRule="exact"/>
              <w:rPr>
                <w:sz w:val="20"/>
                <w:szCs w:val="20"/>
                <w:color w:val="auto"/>
              </w:rPr>
            </w:pPr>
            <w:r>
              <w:rPr>
                <w:rFonts w:ascii="Arial" w:cs="Arial" w:eastAsia="Arial" w:hAnsi="Arial"/>
                <w:sz w:val="14"/>
                <w:szCs w:val="14"/>
                <w:color w:val="auto"/>
              </w:rPr>
              <w:t>Capsugel Holdings US, Inc.</w:t>
            </w:r>
          </w:p>
        </w:tc>
        <w:tc>
          <w:tcPr>
            <w:tcW w:w="1700" w:type="dxa"/>
            <w:vAlign w:val="bottom"/>
          </w:tcPr>
          <w:p>
            <w:pPr>
              <w:spacing w:after="0" w:line="130" w:lineRule="exact"/>
              <w:rPr>
                <w:sz w:val="20"/>
                <w:szCs w:val="20"/>
                <w:color w:val="auto"/>
              </w:rPr>
            </w:pPr>
            <w:r>
              <w:rPr>
                <w:rFonts w:ascii="Arial" w:cs="Arial" w:eastAsia="Arial" w:hAnsi="Arial"/>
                <w:sz w:val="14"/>
                <w:szCs w:val="14"/>
                <w:color w:val="auto"/>
              </w:rPr>
              <w:t>Drugs</w:t>
            </w:r>
          </w:p>
        </w:tc>
        <w:tc>
          <w:tcPr>
            <w:tcW w:w="96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Initial Term</w:t>
            </w:r>
          </w:p>
        </w:tc>
        <w:tc>
          <w:tcPr>
            <w:tcW w:w="110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color w:val="auto"/>
              </w:rPr>
              <w:t>Loan</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3.50%</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8/1/2018</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3,110,785</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3,104,540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3,082,259</w:t>
            </w:r>
          </w:p>
        </w:tc>
      </w:tr>
      <w:tr>
        <w:trPr>
          <w:trHeight w:val="130"/>
        </w:trPr>
        <w:tc>
          <w:tcPr>
            <w:tcW w:w="2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Catalent Pharma Solutions</w:t>
            </w:r>
          </w:p>
        </w:tc>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Drugs</w:t>
            </w:r>
          </w:p>
        </w:tc>
        <w:tc>
          <w:tcPr>
            <w:tcW w:w="96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Initial Term</w:t>
            </w:r>
          </w:p>
        </w:tc>
        <w:tc>
          <w:tcPr>
            <w:tcW w:w="110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B Loan</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3.50%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9/15/2021</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500,000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497,561</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499,645</w:t>
            </w:r>
          </w:p>
        </w:tc>
      </w:tr>
      <w:tr>
        <w:trPr>
          <w:trHeight w:val="130"/>
        </w:trPr>
        <w:tc>
          <w:tcPr>
            <w:tcW w:w="2560" w:type="dxa"/>
            <w:vAlign w:val="bottom"/>
            <w:gridSpan w:val="2"/>
          </w:tcPr>
          <w:p>
            <w:pPr>
              <w:spacing w:after="0" w:line="130" w:lineRule="exact"/>
              <w:rPr>
                <w:sz w:val="20"/>
                <w:szCs w:val="20"/>
                <w:color w:val="auto"/>
              </w:rPr>
            </w:pPr>
            <w:r>
              <w:rPr>
                <w:rFonts w:ascii="Arial" w:cs="Arial" w:eastAsia="Arial" w:hAnsi="Arial"/>
                <w:sz w:val="14"/>
                <w:szCs w:val="14"/>
                <w:color w:val="auto"/>
              </w:rPr>
              <w:t>Ceasars Entertainment Corp.</w:t>
            </w:r>
          </w:p>
        </w:tc>
        <w:tc>
          <w:tcPr>
            <w:tcW w:w="1700" w:type="dxa"/>
            <w:vAlign w:val="bottom"/>
          </w:tcPr>
          <w:p>
            <w:pPr>
              <w:spacing w:after="0" w:line="130" w:lineRule="exact"/>
              <w:rPr>
                <w:sz w:val="20"/>
                <w:szCs w:val="20"/>
                <w:color w:val="auto"/>
              </w:rPr>
            </w:pPr>
            <w:r>
              <w:rPr>
                <w:rFonts w:ascii="Arial" w:cs="Arial" w:eastAsia="Arial" w:hAnsi="Arial"/>
                <w:sz w:val="14"/>
                <w:szCs w:val="14"/>
                <w:color w:val="auto"/>
              </w:rPr>
              <w:t>Lodging &amp; Casinos</w:t>
            </w:r>
          </w:p>
        </w:tc>
        <w:tc>
          <w:tcPr>
            <w:tcW w:w="96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Term B-7</w:t>
            </w:r>
          </w:p>
        </w:tc>
        <w:tc>
          <w:tcPr>
            <w:tcW w:w="1100" w:type="dxa"/>
            <w:vAlign w:val="bottom"/>
            <w:gridSpan w:val="3"/>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60" w:type="dxa"/>
            <w:vAlign w:val="bottom"/>
            <w:gridSpan w:val="2"/>
          </w:tcPr>
          <w:p>
            <w:pPr>
              <w:ind w:left="200"/>
              <w:spacing w:after="0"/>
              <w:rPr>
                <w:sz w:val="20"/>
                <w:szCs w:val="20"/>
                <w:color w:val="auto"/>
              </w:rPr>
            </w:pPr>
            <w:r>
              <w:rPr>
                <w:rFonts w:ascii="Arial" w:cs="Arial" w:eastAsia="Arial" w:hAnsi="Arial"/>
                <w:sz w:val="14"/>
                <w:szCs w:val="14"/>
                <w:color w:val="auto"/>
              </w:rPr>
              <w:t>Loan</w:t>
            </w: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6.25%</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3/1/2017</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1,000,000</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993,142</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973,910</w:t>
            </w:r>
          </w:p>
        </w:tc>
      </w:tr>
      <w:tr>
        <w:trPr>
          <w:trHeight w:val="130"/>
        </w:trPr>
        <w:tc>
          <w:tcPr>
            <w:tcW w:w="2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Celanese US Holdings LLC</w:t>
            </w:r>
          </w:p>
        </w:tc>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Chemicals/Plastics</w:t>
            </w:r>
          </w:p>
        </w:tc>
        <w:tc>
          <w:tcPr>
            <w:tcW w:w="96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Dollar Term</w:t>
            </w:r>
          </w:p>
        </w:tc>
        <w:tc>
          <w:tcPr>
            <w:tcW w:w="110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780" w:type="dxa"/>
            <w:vAlign w:val="bottom"/>
            <w:shd w:val="clear" w:color="auto" w:fill="CCEEFF"/>
          </w:tcPr>
          <w:p>
            <w:pPr>
              <w:spacing w:after="0"/>
              <w:rPr>
                <w:sz w:val="12"/>
                <w:szCs w:val="12"/>
                <w:color w:val="auto"/>
              </w:rPr>
            </w:pPr>
          </w:p>
        </w:tc>
        <w:tc>
          <w:tcPr>
            <w:tcW w:w="178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96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C-2</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780" w:type="dxa"/>
            <w:vAlign w:val="bottom"/>
            <w:shd w:val="clear" w:color="auto" w:fill="CCEEFF"/>
          </w:tcPr>
          <w:p>
            <w:pPr>
              <w:spacing w:after="0"/>
              <w:rPr>
                <w:sz w:val="14"/>
                <w:szCs w:val="14"/>
                <w:color w:val="auto"/>
              </w:rPr>
            </w:pPr>
          </w:p>
        </w:tc>
        <w:tc>
          <w:tcPr>
            <w:tcW w:w="178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3"/>
              </w:rPr>
              <w:t>Commitment</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2.25%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10/31/2016</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2,165,387</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2,188,463</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2,165,387</w:t>
            </w:r>
          </w:p>
        </w:tc>
      </w:tr>
      <w:tr>
        <w:trPr>
          <w:trHeight w:val="149"/>
        </w:trPr>
        <w:tc>
          <w:tcPr>
            <w:tcW w:w="2560" w:type="dxa"/>
            <w:vAlign w:val="bottom"/>
            <w:gridSpan w:val="2"/>
          </w:tcPr>
          <w:p>
            <w:pPr>
              <w:spacing w:after="0" w:line="149" w:lineRule="exact"/>
              <w:rPr>
                <w:sz w:val="20"/>
                <w:szCs w:val="20"/>
                <w:color w:val="auto"/>
              </w:rPr>
            </w:pPr>
            <w:r>
              <w:rPr>
                <w:rFonts w:ascii="Arial" w:cs="Arial" w:eastAsia="Arial" w:hAnsi="Arial"/>
                <w:sz w:val="14"/>
                <w:szCs w:val="14"/>
                <w:color w:val="auto"/>
              </w:rPr>
              <w:t>Cengage Learning</w:t>
            </w:r>
          </w:p>
        </w:tc>
        <w:tc>
          <w:tcPr>
            <w:tcW w:w="1700" w:type="dxa"/>
            <w:vAlign w:val="bottom"/>
          </w:tcPr>
          <w:p>
            <w:pPr>
              <w:spacing w:after="0" w:line="149" w:lineRule="exact"/>
              <w:rPr>
                <w:sz w:val="20"/>
                <w:szCs w:val="20"/>
                <w:color w:val="auto"/>
              </w:rPr>
            </w:pPr>
            <w:r>
              <w:rPr>
                <w:rFonts w:ascii="Arial" w:cs="Arial" w:eastAsia="Arial" w:hAnsi="Arial"/>
                <w:sz w:val="14"/>
                <w:szCs w:val="14"/>
                <w:color w:val="auto"/>
              </w:rPr>
              <w:t>Publishing</w:t>
            </w:r>
          </w:p>
        </w:tc>
        <w:tc>
          <w:tcPr>
            <w:tcW w:w="96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Term Loan</w:t>
            </w:r>
          </w:p>
        </w:tc>
        <w:tc>
          <w:tcPr>
            <w:tcW w:w="11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Loan</w:t>
            </w:r>
          </w:p>
        </w:tc>
        <w:tc>
          <w:tcPr>
            <w:tcW w:w="12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7.00%</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3/31/2020</w:t>
            </w:r>
          </w:p>
        </w:tc>
        <w:tc>
          <w:tcPr>
            <w:tcW w:w="11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2,244,375</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2,275,315</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2,251,669</w:t>
            </w:r>
          </w:p>
        </w:tc>
      </w:tr>
      <w:tr>
        <w:trPr>
          <w:trHeight w:val="130"/>
        </w:trPr>
        <w:tc>
          <w:tcPr>
            <w:tcW w:w="256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Charter Communications Operating,</w:t>
            </w:r>
          </w:p>
        </w:tc>
        <w:tc>
          <w:tcPr>
            <w:tcW w:w="17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Cable and Satellite</w:t>
            </w:r>
          </w:p>
        </w:tc>
        <w:tc>
          <w:tcPr>
            <w:tcW w:w="96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Term F</w:t>
            </w:r>
          </w:p>
        </w:tc>
        <w:tc>
          <w:tcPr>
            <w:tcW w:w="1100" w:type="dxa"/>
            <w:vAlign w:val="bottom"/>
            <w:gridSpan w:val="3"/>
            <w:shd w:val="clear" w:color="auto" w:fill="CCEEFF"/>
          </w:tcPr>
          <w:p>
            <w:pPr>
              <w:ind w:left="200"/>
              <w:spacing w:after="0" w:line="130" w:lineRule="exact"/>
              <w:rPr>
                <w:sz w:val="20"/>
                <w:szCs w:val="20"/>
                <w:color w:val="auto"/>
              </w:rPr>
            </w:pPr>
            <w:r>
              <w:rPr>
                <w:rFonts w:ascii="Arial" w:cs="Arial" w:eastAsia="Arial" w:hAnsi="Arial"/>
                <w:sz w:val="14"/>
                <w:szCs w:val="14"/>
                <w:color w:val="auto"/>
              </w:rPr>
              <w:t>Loan</w:t>
            </w: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56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LLC</w:t>
            </w:r>
          </w:p>
        </w:tc>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Television</w:t>
            </w:r>
          </w:p>
        </w:tc>
        <w:tc>
          <w:tcPr>
            <w:tcW w:w="96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20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12/31/2020</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2,669,226</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2,659,702</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2,581,996</w:t>
            </w:r>
          </w:p>
        </w:tc>
      </w:tr>
      <w:tr>
        <w:trPr>
          <w:trHeight w:val="182"/>
        </w:trPr>
        <w:tc>
          <w:tcPr>
            <w:tcW w:w="2560" w:type="dxa"/>
            <w:vAlign w:val="bottom"/>
            <w:gridSpan w:val="2"/>
          </w:tcPr>
          <w:p>
            <w:pPr>
              <w:spacing w:after="0"/>
              <w:rPr>
                <w:sz w:val="20"/>
                <w:szCs w:val="20"/>
                <w:color w:val="auto"/>
              </w:rPr>
            </w:pPr>
            <w:r>
              <w:rPr>
                <w:rFonts w:ascii="Arial" w:cs="Arial" w:eastAsia="Arial" w:hAnsi="Arial"/>
                <w:sz w:val="14"/>
                <w:szCs w:val="14"/>
                <w:color w:val="auto"/>
              </w:rPr>
              <w:t>CHS/Community Health Systems, Inc.</w:t>
            </w:r>
          </w:p>
        </w:tc>
        <w:tc>
          <w:tcPr>
            <w:tcW w:w="1700" w:type="dxa"/>
            <w:vAlign w:val="bottom"/>
          </w:tcPr>
          <w:p>
            <w:pPr>
              <w:spacing w:after="0"/>
              <w:rPr>
                <w:sz w:val="20"/>
                <w:szCs w:val="20"/>
                <w:color w:val="auto"/>
              </w:rPr>
            </w:pPr>
            <w:r>
              <w:rPr>
                <w:rFonts w:ascii="Arial" w:cs="Arial" w:eastAsia="Arial" w:hAnsi="Arial"/>
                <w:sz w:val="14"/>
                <w:szCs w:val="14"/>
                <w:color w:val="auto"/>
              </w:rPr>
              <w:t>Healthcare</w:t>
            </w:r>
          </w:p>
        </w:tc>
        <w:tc>
          <w:tcPr>
            <w:tcW w:w="960" w:type="dxa"/>
            <w:vAlign w:val="bottom"/>
            <w:gridSpan w:val="2"/>
          </w:tcPr>
          <w:p>
            <w:pPr>
              <w:ind w:left="200"/>
              <w:spacing w:after="0"/>
              <w:rPr>
                <w:sz w:val="20"/>
                <w:szCs w:val="20"/>
                <w:color w:val="auto"/>
              </w:rPr>
            </w:pPr>
            <w:r>
              <w:rPr>
                <w:rFonts w:ascii="Arial" w:cs="Arial" w:eastAsia="Arial" w:hAnsi="Arial"/>
                <w:sz w:val="14"/>
                <w:szCs w:val="14"/>
                <w:color w:val="auto"/>
              </w:rPr>
              <w:t>2017 Term</w:t>
            </w:r>
          </w:p>
        </w:tc>
        <w:tc>
          <w:tcPr>
            <w:tcW w:w="1100" w:type="dxa"/>
            <w:vAlign w:val="bottom"/>
            <w:gridSpan w:val="3"/>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3.48%</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1/25/2017</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1,103,364</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1,074,608</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1,100,727</w:t>
            </w:r>
          </w:p>
        </w:tc>
      </w:tr>
    </w:tbl>
    <w:p>
      <w:pPr>
        <w:sectPr>
          <w:pgSz w:w="11900" w:h="16838" w:orient="portrait"/>
          <w:cols w:equalWidth="0" w:num="1">
            <w:col w:w="11420"/>
          </w:cols>
          <w:pgMar w:left="240" w:top="459" w:right="239" w:bottom="0" w:gutter="0" w:footer="0" w:header="0"/>
        </w:sectPr>
      </w:pPr>
    </w:p>
    <w:bookmarkStart w:id="26" w:name="page27"/>
    <w:bookmarkEnd w:id="26"/>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rPr>
              <w:t>E Loan</w:t>
            </w: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30"/>
        </w:trPr>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CHS/Community Health Systems, Inc.</w:t>
            </w:r>
          </w:p>
        </w:tc>
        <w:tc>
          <w:tcPr>
            <w:tcW w:w="19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Healthcare</w:t>
            </w:r>
          </w:p>
        </w:tc>
        <w:tc>
          <w:tcPr>
            <w:tcW w:w="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2021 Term</w:t>
            </w:r>
          </w:p>
        </w:tc>
        <w:tc>
          <w:tcPr>
            <w:tcW w:w="10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244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D Loan</w:t>
            </w:r>
          </w:p>
        </w:tc>
        <w:tc>
          <w:tcPr>
            <w:tcW w:w="10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4.25%</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1/27/2021</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2,940,830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2,853,404</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2,939,418</w:t>
            </w: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Cinedigm Digital Funding I, LLC</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Business Equipment</w:t>
            </w:r>
          </w:p>
        </w:tc>
        <w:tc>
          <w:tcPr>
            <w:tcW w:w="960" w:type="dxa"/>
            <w:vAlign w:val="bottom"/>
          </w:tcPr>
          <w:p>
            <w:pPr>
              <w:ind w:left="100"/>
              <w:spacing w:after="0" w:line="130" w:lineRule="exact"/>
              <w:rPr>
                <w:sz w:val="20"/>
                <w:szCs w:val="20"/>
                <w:color w:val="auto"/>
              </w:rPr>
            </w:pPr>
            <w:r>
              <w:rPr>
                <w:rFonts w:ascii="Arial" w:cs="Arial" w:eastAsia="Arial" w:hAnsi="Arial"/>
                <w:sz w:val="14"/>
                <w:szCs w:val="14"/>
                <w:color w:val="auto"/>
              </w:rPr>
              <w:t>Term Loan</w:t>
            </w:r>
          </w:p>
        </w:tc>
        <w:tc>
          <w:tcPr>
            <w:tcW w:w="100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40" w:type="dxa"/>
            <w:vAlign w:val="bottom"/>
          </w:tcPr>
          <w:p>
            <w:pPr>
              <w:spacing w:after="0"/>
              <w:rPr>
                <w:sz w:val="14"/>
                <w:szCs w:val="14"/>
                <w:color w:val="auto"/>
              </w:rPr>
            </w:pPr>
          </w:p>
        </w:tc>
        <w:tc>
          <w:tcPr>
            <w:tcW w:w="1920" w:type="dxa"/>
            <w:vAlign w:val="bottom"/>
          </w:tcPr>
          <w:p>
            <w:pPr>
              <w:ind w:left="120"/>
              <w:spacing w:after="0"/>
              <w:rPr>
                <w:sz w:val="20"/>
                <w:szCs w:val="20"/>
                <w:color w:val="auto"/>
              </w:rPr>
            </w:pPr>
            <w:r>
              <w:rPr>
                <w:rFonts w:ascii="Arial" w:cs="Arial" w:eastAsia="Arial" w:hAnsi="Arial"/>
                <w:sz w:val="14"/>
                <w:szCs w:val="14"/>
                <w:color w:val="auto"/>
              </w:rPr>
              <w:t>and Services</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3.75%</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2/28/2018</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702,747</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697,657</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702,747</w:t>
            </w:r>
          </w:p>
        </w:tc>
      </w:tr>
      <w:tr>
        <w:trPr>
          <w:trHeight w:val="130"/>
        </w:trPr>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CITGO Petroleum</w:t>
            </w:r>
          </w:p>
        </w:tc>
        <w:tc>
          <w:tcPr>
            <w:tcW w:w="19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Oil &amp; Gas</w:t>
            </w:r>
          </w:p>
        </w:tc>
        <w:tc>
          <w:tcPr>
            <w:tcW w:w="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w:t>
            </w:r>
          </w:p>
        </w:tc>
        <w:tc>
          <w:tcPr>
            <w:tcW w:w="10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244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0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4.50%</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7/29/2021</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495,047</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500,625</w:t>
            </w: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Covanta Energy Corporation</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Ecological Services</w:t>
            </w:r>
          </w:p>
        </w:tc>
        <w:tc>
          <w:tcPr>
            <w:tcW w:w="960" w:type="dxa"/>
            <w:vAlign w:val="bottom"/>
          </w:tcPr>
          <w:p>
            <w:pPr>
              <w:ind w:left="100"/>
              <w:spacing w:after="0" w:line="130" w:lineRule="exact"/>
              <w:rPr>
                <w:sz w:val="20"/>
                <w:szCs w:val="20"/>
                <w:color w:val="auto"/>
              </w:rPr>
            </w:pPr>
            <w:r>
              <w:rPr>
                <w:rFonts w:ascii="Arial" w:cs="Arial" w:eastAsia="Arial" w:hAnsi="Arial"/>
                <w:sz w:val="14"/>
                <w:szCs w:val="14"/>
                <w:color w:val="auto"/>
              </w:rPr>
              <w:t>Term Loan</w:t>
            </w:r>
          </w:p>
        </w:tc>
        <w:tc>
          <w:tcPr>
            <w:tcW w:w="100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40" w:type="dxa"/>
            <w:vAlign w:val="bottom"/>
          </w:tcPr>
          <w:p>
            <w:pPr>
              <w:spacing w:after="0"/>
              <w:rPr>
                <w:sz w:val="14"/>
                <w:szCs w:val="14"/>
                <w:color w:val="auto"/>
              </w:rPr>
            </w:pPr>
          </w:p>
        </w:tc>
        <w:tc>
          <w:tcPr>
            <w:tcW w:w="1920" w:type="dxa"/>
            <w:vAlign w:val="bottom"/>
          </w:tcPr>
          <w:p>
            <w:pPr>
              <w:ind w:left="120"/>
              <w:spacing w:after="0"/>
              <w:rPr>
                <w:sz w:val="20"/>
                <w:szCs w:val="20"/>
                <w:color w:val="auto"/>
              </w:rPr>
            </w:pPr>
            <w:r>
              <w:rPr>
                <w:rFonts w:ascii="Arial" w:cs="Arial" w:eastAsia="Arial" w:hAnsi="Arial"/>
                <w:sz w:val="14"/>
                <w:szCs w:val="14"/>
                <w:color w:val="auto"/>
              </w:rPr>
              <w:t>and Equipment</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3.25%</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3/28/2019</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331,667</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330,203</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329,491</w:t>
            </w:r>
          </w:p>
        </w:tc>
      </w:tr>
      <w:tr>
        <w:trPr>
          <w:trHeight w:val="130"/>
        </w:trPr>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CPI International Acquisition, Inc.</w:t>
            </w:r>
          </w:p>
        </w:tc>
        <w:tc>
          <w:tcPr>
            <w:tcW w:w="19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Electronics/Electric</w:t>
            </w:r>
          </w:p>
        </w:tc>
        <w:tc>
          <w:tcPr>
            <w:tcW w:w="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Term B</w:t>
            </w:r>
          </w:p>
        </w:tc>
        <w:tc>
          <w:tcPr>
            <w:tcW w:w="10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2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(f/k/a Catalyst Holdings, Inc.)</w:t>
            </w:r>
          </w:p>
        </w:tc>
        <w:tc>
          <w:tcPr>
            <w:tcW w:w="1920" w:type="dxa"/>
            <w:vAlign w:val="bottom"/>
            <w:shd w:val="clear" w:color="auto" w:fill="CCEEFF"/>
          </w:tcPr>
          <w:p>
            <w:pPr>
              <w:spacing w:after="0"/>
              <w:rPr>
                <w:sz w:val="14"/>
                <w:szCs w:val="14"/>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w:t>
            </w:r>
          </w:p>
        </w:tc>
        <w:tc>
          <w:tcPr>
            <w:tcW w:w="10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4.25%</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4/7/2021</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3,613,444</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3,613,444</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3,593,859</w:t>
            </w: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Crosby US Acquisition Corp.</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Industrial</w:t>
            </w:r>
          </w:p>
        </w:tc>
        <w:tc>
          <w:tcPr>
            <w:tcW w:w="960" w:type="dxa"/>
            <w:vAlign w:val="bottom"/>
          </w:tcPr>
          <w:p>
            <w:pPr>
              <w:ind w:left="100"/>
              <w:spacing w:after="0" w:line="130" w:lineRule="exact"/>
              <w:rPr>
                <w:sz w:val="20"/>
                <w:szCs w:val="20"/>
                <w:color w:val="auto"/>
              </w:rPr>
            </w:pPr>
            <w:r>
              <w:rPr>
                <w:rFonts w:ascii="Arial" w:cs="Arial" w:eastAsia="Arial" w:hAnsi="Arial"/>
                <w:sz w:val="14"/>
                <w:szCs w:val="14"/>
                <w:color w:val="auto"/>
              </w:rPr>
              <w:t>Initial Term</w:t>
            </w:r>
          </w:p>
        </w:tc>
        <w:tc>
          <w:tcPr>
            <w:tcW w:w="100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9"/>
        </w:trPr>
        <w:tc>
          <w:tcPr>
            <w:tcW w:w="2440" w:type="dxa"/>
            <w:vAlign w:val="bottom"/>
          </w:tcPr>
          <w:p>
            <w:pPr>
              <w:spacing w:after="0"/>
              <w:rPr>
                <w:sz w:val="12"/>
                <w:szCs w:val="12"/>
                <w:color w:val="auto"/>
              </w:rPr>
            </w:pPr>
          </w:p>
        </w:tc>
        <w:tc>
          <w:tcPr>
            <w:tcW w:w="1920" w:type="dxa"/>
            <w:vAlign w:val="bottom"/>
          </w:tcPr>
          <w:p>
            <w:pPr>
              <w:ind w:left="120"/>
              <w:spacing w:after="0" w:line="149" w:lineRule="exact"/>
              <w:rPr>
                <w:sz w:val="20"/>
                <w:szCs w:val="20"/>
                <w:color w:val="auto"/>
              </w:rPr>
            </w:pPr>
            <w:r>
              <w:rPr>
                <w:rFonts w:ascii="Arial" w:cs="Arial" w:eastAsia="Arial" w:hAnsi="Arial"/>
                <w:sz w:val="14"/>
                <w:szCs w:val="14"/>
                <w:color w:val="auto"/>
              </w:rPr>
              <w:t>Equipment</w:t>
            </w:r>
          </w:p>
        </w:tc>
        <w:tc>
          <w:tcPr>
            <w:tcW w:w="960" w:type="dxa"/>
            <w:vAlign w:val="bottom"/>
          </w:tcPr>
          <w:p>
            <w:pPr>
              <w:ind w:left="100"/>
              <w:spacing w:after="0" w:line="149" w:lineRule="exact"/>
              <w:rPr>
                <w:sz w:val="20"/>
                <w:szCs w:val="20"/>
                <w:color w:val="auto"/>
              </w:rPr>
            </w:pPr>
            <w:r>
              <w:rPr>
                <w:rFonts w:ascii="Arial" w:cs="Arial" w:eastAsia="Arial" w:hAnsi="Arial"/>
                <w:sz w:val="14"/>
                <w:szCs w:val="14"/>
                <w:color w:val="auto"/>
              </w:rPr>
              <w:t>Loan (First</w:t>
            </w: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7"/>
        </w:trPr>
        <w:tc>
          <w:tcPr>
            <w:tcW w:w="2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rPr>
              <w:t>Lien)</w:t>
            </w:r>
          </w:p>
        </w:tc>
        <w:tc>
          <w:tcPr>
            <w:tcW w:w="100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4.00%</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11/23/2020</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746,250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745,404</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739,720</w:t>
            </w:r>
          </w:p>
        </w:tc>
      </w:tr>
      <w:tr>
        <w:trPr>
          <w:trHeight w:val="130"/>
        </w:trPr>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Crown Castle Operating Company</w:t>
            </w:r>
          </w:p>
        </w:tc>
        <w:tc>
          <w:tcPr>
            <w:tcW w:w="19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w w:val="99"/>
              </w:rPr>
              <w:t>Telecommunications/Cellular</w:t>
            </w:r>
          </w:p>
        </w:tc>
        <w:tc>
          <w:tcPr>
            <w:tcW w:w="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Extended</w:t>
            </w:r>
          </w:p>
        </w:tc>
        <w:tc>
          <w:tcPr>
            <w:tcW w:w="10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9"/>
        </w:trPr>
        <w:tc>
          <w:tcPr>
            <w:tcW w:w="24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9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Incremental</w:t>
            </w:r>
          </w:p>
        </w:tc>
        <w:tc>
          <w:tcPr>
            <w:tcW w:w="10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49"/>
        </w:trPr>
        <w:tc>
          <w:tcPr>
            <w:tcW w:w="24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9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Tranche B-2</w:t>
            </w:r>
          </w:p>
        </w:tc>
        <w:tc>
          <w:tcPr>
            <w:tcW w:w="10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7"/>
        </w:trPr>
        <w:tc>
          <w:tcPr>
            <w:tcW w:w="244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Term Loan</w:t>
            </w:r>
          </w:p>
        </w:tc>
        <w:tc>
          <w:tcPr>
            <w:tcW w:w="10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3.00%</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1/31/2021</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2,447,895</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2,445,617</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2,422,657</w:t>
            </w: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Culligan International Company</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Conglomerate</w:t>
            </w:r>
          </w:p>
        </w:tc>
        <w:tc>
          <w:tcPr>
            <w:tcW w:w="960" w:type="dxa"/>
            <w:vAlign w:val="bottom"/>
          </w:tcPr>
          <w:p>
            <w:pPr>
              <w:ind w:left="100"/>
              <w:spacing w:after="0" w:line="130" w:lineRule="exact"/>
              <w:rPr>
                <w:sz w:val="20"/>
                <w:szCs w:val="20"/>
                <w:color w:val="auto"/>
              </w:rPr>
            </w:pPr>
            <w:r>
              <w:rPr>
                <w:rFonts w:ascii="Arial" w:cs="Arial" w:eastAsia="Arial" w:hAnsi="Arial"/>
                <w:sz w:val="14"/>
                <w:szCs w:val="14"/>
                <w:color w:val="auto"/>
              </w:rPr>
              <w:t>Dollar Loan</w:t>
            </w:r>
          </w:p>
        </w:tc>
        <w:tc>
          <w:tcPr>
            <w:tcW w:w="100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rPr>
              <w:t>(First Lien)</w:t>
            </w:r>
          </w:p>
        </w:tc>
        <w:tc>
          <w:tcPr>
            <w:tcW w:w="100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6.25%</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12/19/2017</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783,162</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740,581</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773,204</w:t>
            </w:r>
          </w:p>
        </w:tc>
      </w:tr>
      <w:tr>
        <w:trPr>
          <w:trHeight w:val="130"/>
        </w:trPr>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Culligan International Company</w:t>
            </w:r>
          </w:p>
        </w:tc>
        <w:tc>
          <w:tcPr>
            <w:tcW w:w="19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Conglomerate</w:t>
            </w:r>
          </w:p>
        </w:tc>
        <w:tc>
          <w:tcPr>
            <w:tcW w:w="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Dollar Loan</w:t>
            </w:r>
          </w:p>
        </w:tc>
        <w:tc>
          <w:tcPr>
            <w:tcW w:w="10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9"/>
        </w:trPr>
        <w:tc>
          <w:tcPr>
            <w:tcW w:w="24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9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(Second</w:t>
            </w:r>
          </w:p>
        </w:tc>
        <w:tc>
          <w:tcPr>
            <w:tcW w:w="10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7"/>
        </w:trPr>
        <w:tc>
          <w:tcPr>
            <w:tcW w:w="244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Lien)</w:t>
            </w:r>
          </w:p>
        </w:tc>
        <w:tc>
          <w:tcPr>
            <w:tcW w:w="10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9.50%</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6/19/2018</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783,650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741,308</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730,299</w:t>
            </w: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Cumulus Media Holdings Inc.</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Broadcast Radio and</w:t>
            </w:r>
          </w:p>
        </w:tc>
        <w:tc>
          <w:tcPr>
            <w:tcW w:w="960" w:type="dxa"/>
            <w:vAlign w:val="bottom"/>
          </w:tcPr>
          <w:p>
            <w:pPr>
              <w:ind w:left="100"/>
              <w:spacing w:after="0" w:line="130" w:lineRule="exact"/>
              <w:rPr>
                <w:sz w:val="20"/>
                <w:szCs w:val="20"/>
                <w:color w:val="auto"/>
              </w:rPr>
            </w:pPr>
            <w:r>
              <w:rPr>
                <w:rFonts w:ascii="Arial" w:cs="Arial" w:eastAsia="Arial" w:hAnsi="Arial"/>
                <w:sz w:val="14"/>
                <w:szCs w:val="14"/>
                <w:color w:val="auto"/>
              </w:rPr>
              <w:t>Term Loan</w:t>
            </w:r>
          </w:p>
        </w:tc>
        <w:tc>
          <w:tcPr>
            <w:tcW w:w="100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40" w:type="dxa"/>
            <w:vAlign w:val="bottom"/>
          </w:tcPr>
          <w:p>
            <w:pPr>
              <w:spacing w:after="0"/>
              <w:rPr>
                <w:sz w:val="14"/>
                <w:szCs w:val="14"/>
                <w:color w:val="auto"/>
              </w:rPr>
            </w:pPr>
          </w:p>
        </w:tc>
        <w:tc>
          <w:tcPr>
            <w:tcW w:w="1920" w:type="dxa"/>
            <w:vAlign w:val="bottom"/>
          </w:tcPr>
          <w:p>
            <w:pPr>
              <w:ind w:left="120"/>
              <w:spacing w:after="0"/>
              <w:rPr>
                <w:sz w:val="20"/>
                <w:szCs w:val="20"/>
                <w:color w:val="auto"/>
              </w:rPr>
            </w:pPr>
            <w:r>
              <w:rPr>
                <w:rFonts w:ascii="Arial" w:cs="Arial" w:eastAsia="Arial" w:hAnsi="Arial"/>
                <w:sz w:val="14"/>
                <w:szCs w:val="14"/>
                <w:color w:val="auto"/>
              </w:rPr>
              <w:t>Television</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4.25%</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12/23/2020</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492,315</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487,783</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489,484</w:t>
            </w:r>
          </w:p>
        </w:tc>
      </w:tr>
      <w:tr>
        <w:trPr>
          <w:trHeight w:val="130"/>
        </w:trPr>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Custom Sensors</w:t>
            </w:r>
          </w:p>
        </w:tc>
        <w:tc>
          <w:tcPr>
            <w:tcW w:w="19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Industrial</w:t>
            </w:r>
          </w:p>
        </w:tc>
        <w:tc>
          <w:tcPr>
            <w:tcW w:w="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w:t>
            </w:r>
          </w:p>
        </w:tc>
        <w:tc>
          <w:tcPr>
            <w:tcW w:w="10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2440" w:type="dxa"/>
            <w:vAlign w:val="bottom"/>
            <w:shd w:val="clear" w:color="auto" w:fill="CCEEFF"/>
          </w:tcPr>
          <w:p>
            <w:pPr>
              <w:spacing w:after="0"/>
              <w:rPr>
                <w:sz w:val="14"/>
                <w:szCs w:val="14"/>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Equipment</w:t>
            </w:r>
          </w:p>
        </w:tc>
        <w:tc>
          <w:tcPr>
            <w:tcW w:w="9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4.50%</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6/18/2021</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498,800</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497,500</w:t>
            </w: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DaVita HealthCare Partners Inc. (fka</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Healthcare</w:t>
            </w:r>
          </w:p>
        </w:tc>
        <w:tc>
          <w:tcPr>
            <w:tcW w:w="960" w:type="dxa"/>
            <w:vAlign w:val="bottom"/>
          </w:tcPr>
          <w:p>
            <w:pPr>
              <w:ind w:left="100"/>
              <w:spacing w:after="0" w:line="130" w:lineRule="exact"/>
              <w:rPr>
                <w:sz w:val="20"/>
                <w:szCs w:val="20"/>
                <w:color w:val="auto"/>
              </w:rPr>
            </w:pPr>
            <w:r>
              <w:rPr>
                <w:rFonts w:ascii="Arial" w:cs="Arial" w:eastAsia="Arial" w:hAnsi="Arial"/>
                <w:sz w:val="14"/>
                <w:szCs w:val="14"/>
                <w:color w:val="auto"/>
              </w:rPr>
              <w:t>Tranche B</w:t>
            </w:r>
          </w:p>
        </w:tc>
        <w:tc>
          <w:tcPr>
            <w:tcW w:w="100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40" w:type="dxa"/>
            <w:vAlign w:val="bottom"/>
          </w:tcPr>
          <w:p>
            <w:pPr>
              <w:ind w:left="160"/>
              <w:spacing w:after="0"/>
              <w:rPr>
                <w:sz w:val="20"/>
                <w:szCs w:val="20"/>
                <w:color w:val="auto"/>
              </w:rPr>
            </w:pPr>
            <w:r>
              <w:rPr>
                <w:rFonts w:ascii="Arial" w:cs="Arial" w:eastAsia="Arial" w:hAnsi="Arial"/>
                <w:sz w:val="14"/>
                <w:szCs w:val="14"/>
                <w:color w:val="auto"/>
              </w:rPr>
              <w:t>DaVita Inc.)</w:t>
            </w:r>
          </w:p>
        </w:tc>
        <w:tc>
          <w:tcPr>
            <w:tcW w:w="192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rPr>
              <w:t>Term Loan</w:t>
            </w:r>
          </w:p>
        </w:tc>
        <w:tc>
          <w:tcPr>
            <w:tcW w:w="100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4.50%</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10/20/2016</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500,000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497,534</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496,815</w:t>
            </w:r>
          </w:p>
        </w:tc>
      </w:tr>
      <w:tr>
        <w:trPr>
          <w:trHeight w:val="130"/>
        </w:trPr>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DCS Business Services, Inc.</w:t>
            </w:r>
          </w:p>
        </w:tc>
        <w:tc>
          <w:tcPr>
            <w:tcW w:w="19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Financial</w:t>
            </w:r>
          </w:p>
        </w:tc>
        <w:tc>
          <w:tcPr>
            <w:tcW w:w="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Term B</w:t>
            </w:r>
          </w:p>
        </w:tc>
        <w:tc>
          <w:tcPr>
            <w:tcW w:w="10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2440" w:type="dxa"/>
            <w:vAlign w:val="bottom"/>
            <w:shd w:val="clear" w:color="auto" w:fill="CCEEFF"/>
          </w:tcPr>
          <w:p>
            <w:pPr>
              <w:spacing w:after="0"/>
              <w:rPr>
                <w:sz w:val="14"/>
                <w:szCs w:val="14"/>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Intermediaries</w:t>
            </w: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w:t>
            </w:r>
          </w:p>
        </w:tc>
        <w:tc>
          <w:tcPr>
            <w:tcW w:w="10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7.25%</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3/19/2018</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3,477,807</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3,450,350</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3,390,862</w:t>
            </w: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Dealertrack Technologies, Inc.</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Leisure Goods/</w:t>
            </w:r>
          </w:p>
        </w:tc>
        <w:tc>
          <w:tcPr>
            <w:tcW w:w="960" w:type="dxa"/>
            <w:vAlign w:val="bottom"/>
          </w:tcPr>
          <w:p>
            <w:pPr>
              <w:ind w:left="100"/>
              <w:spacing w:after="0" w:line="130" w:lineRule="exact"/>
              <w:rPr>
                <w:sz w:val="20"/>
                <w:szCs w:val="20"/>
                <w:color w:val="auto"/>
              </w:rPr>
            </w:pPr>
            <w:r>
              <w:rPr>
                <w:rFonts w:ascii="Arial" w:cs="Arial" w:eastAsia="Arial" w:hAnsi="Arial"/>
                <w:sz w:val="14"/>
                <w:szCs w:val="14"/>
                <w:color w:val="auto"/>
              </w:rPr>
              <w:t>Term B</w:t>
            </w:r>
          </w:p>
        </w:tc>
        <w:tc>
          <w:tcPr>
            <w:tcW w:w="100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40" w:type="dxa"/>
            <w:vAlign w:val="bottom"/>
          </w:tcPr>
          <w:p>
            <w:pPr>
              <w:spacing w:after="0"/>
              <w:rPr>
                <w:sz w:val="14"/>
                <w:szCs w:val="14"/>
                <w:color w:val="auto"/>
              </w:rPr>
            </w:pPr>
          </w:p>
        </w:tc>
        <w:tc>
          <w:tcPr>
            <w:tcW w:w="1920" w:type="dxa"/>
            <w:vAlign w:val="bottom"/>
          </w:tcPr>
          <w:p>
            <w:pPr>
              <w:ind w:left="120"/>
              <w:spacing w:after="0"/>
              <w:rPr>
                <w:sz w:val="20"/>
                <w:szCs w:val="20"/>
                <w:color w:val="auto"/>
              </w:rPr>
            </w:pPr>
            <w:r>
              <w:rPr>
                <w:rFonts w:ascii="Arial" w:cs="Arial" w:eastAsia="Arial" w:hAnsi="Arial"/>
                <w:sz w:val="14"/>
                <w:szCs w:val="14"/>
                <w:color w:val="auto"/>
              </w:rPr>
              <w:t>Activities/Movies</w:t>
            </w:r>
          </w:p>
        </w:tc>
        <w:tc>
          <w:tcPr>
            <w:tcW w:w="960" w:type="dxa"/>
            <w:vAlign w:val="bottom"/>
          </w:tcPr>
          <w:p>
            <w:pPr>
              <w:ind w:left="100"/>
              <w:spacing w:after="0"/>
              <w:rPr>
                <w:sz w:val="20"/>
                <w:szCs w:val="20"/>
                <w:color w:val="auto"/>
              </w:rPr>
            </w:pPr>
            <w:r>
              <w:rPr>
                <w:rFonts w:ascii="Arial" w:cs="Arial" w:eastAsia="Arial" w:hAnsi="Arial"/>
                <w:sz w:val="14"/>
                <w:szCs w:val="14"/>
                <w:color w:val="auto"/>
              </w:rPr>
              <w:t>Loan</w:t>
            </w:r>
          </w:p>
        </w:tc>
        <w:tc>
          <w:tcPr>
            <w:tcW w:w="100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3.50%</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2/26/2021</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477,011</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475,941</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474,425</w:t>
            </w:r>
          </w:p>
        </w:tc>
      </w:tr>
      <w:tr>
        <w:trPr>
          <w:trHeight w:val="130"/>
        </w:trPr>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Dell International LLC</w:t>
            </w:r>
          </w:p>
        </w:tc>
        <w:tc>
          <w:tcPr>
            <w:tcW w:w="19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Retailers (Except</w:t>
            </w:r>
          </w:p>
        </w:tc>
        <w:tc>
          <w:tcPr>
            <w:tcW w:w="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Term B</w:t>
            </w:r>
          </w:p>
        </w:tc>
        <w:tc>
          <w:tcPr>
            <w:tcW w:w="10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2440" w:type="dxa"/>
            <w:vAlign w:val="bottom"/>
            <w:shd w:val="clear" w:color="auto" w:fill="CCEEFF"/>
          </w:tcPr>
          <w:p>
            <w:pPr>
              <w:spacing w:after="0"/>
              <w:rPr>
                <w:sz w:val="14"/>
                <w:szCs w:val="14"/>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Food and Drugs)</w:t>
            </w: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w:t>
            </w:r>
          </w:p>
        </w:tc>
        <w:tc>
          <w:tcPr>
            <w:tcW w:w="10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4.50%</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4/29/2020</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1,985,000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1,974,309</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1,971,363</w:t>
            </w: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Delos Finance SARL</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Financial</w:t>
            </w:r>
          </w:p>
        </w:tc>
        <w:tc>
          <w:tcPr>
            <w:tcW w:w="960" w:type="dxa"/>
            <w:vAlign w:val="bottom"/>
          </w:tcPr>
          <w:p>
            <w:pPr>
              <w:ind w:left="100"/>
              <w:spacing w:after="0" w:line="130" w:lineRule="exact"/>
              <w:rPr>
                <w:sz w:val="20"/>
                <w:szCs w:val="20"/>
                <w:color w:val="auto"/>
              </w:rPr>
            </w:pPr>
            <w:r>
              <w:rPr>
                <w:rFonts w:ascii="Arial" w:cs="Arial" w:eastAsia="Arial" w:hAnsi="Arial"/>
                <w:sz w:val="14"/>
                <w:szCs w:val="14"/>
                <w:color w:val="auto"/>
              </w:rPr>
              <w:t>Term Loan</w:t>
            </w:r>
          </w:p>
        </w:tc>
        <w:tc>
          <w:tcPr>
            <w:tcW w:w="100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40" w:type="dxa"/>
            <w:vAlign w:val="bottom"/>
          </w:tcPr>
          <w:p>
            <w:pPr>
              <w:spacing w:after="0"/>
              <w:rPr>
                <w:sz w:val="14"/>
                <w:szCs w:val="14"/>
                <w:color w:val="auto"/>
              </w:rPr>
            </w:pPr>
          </w:p>
        </w:tc>
        <w:tc>
          <w:tcPr>
            <w:tcW w:w="1920" w:type="dxa"/>
            <w:vAlign w:val="bottom"/>
          </w:tcPr>
          <w:p>
            <w:pPr>
              <w:ind w:left="120"/>
              <w:spacing w:after="0"/>
              <w:rPr>
                <w:sz w:val="20"/>
                <w:szCs w:val="20"/>
                <w:color w:val="auto"/>
              </w:rPr>
            </w:pPr>
            <w:r>
              <w:rPr>
                <w:rFonts w:ascii="Arial" w:cs="Arial" w:eastAsia="Arial" w:hAnsi="Arial"/>
                <w:sz w:val="14"/>
                <w:szCs w:val="14"/>
                <w:color w:val="auto"/>
              </w:rPr>
              <w:t>Intermediaries</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3.50%</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3/6/2021</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500,000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497,626</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495,625</w:t>
            </w:r>
          </w:p>
        </w:tc>
      </w:tr>
      <w:tr>
        <w:trPr>
          <w:trHeight w:val="130"/>
        </w:trPr>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Delta 2 (Lux) S.a.r.l.</w:t>
            </w:r>
          </w:p>
        </w:tc>
        <w:tc>
          <w:tcPr>
            <w:tcW w:w="19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Lodging &amp; Casinos</w:t>
            </w:r>
          </w:p>
        </w:tc>
        <w:tc>
          <w:tcPr>
            <w:tcW w:w="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w:t>
            </w:r>
          </w:p>
        </w:tc>
        <w:tc>
          <w:tcPr>
            <w:tcW w:w="10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244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B-3</w:t>
            </w:r>
          </w:p>
        </w:tc>
        <w:tc>
          <w:tcPr>
            <w:tcW w:w="10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4.75%</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7/30/2021</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1,000,000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995,017</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994,290</w:t>
            </w: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Deluxe Entertainment Service Group,</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Leisure Goods/</w:t>
            </w:r>
          </w:p>
        </w:tc>
        <w:tc>
          <w:tcPr>
            <w:tcW w:w="960" w:type="dxa"/>
            <w:vAlign w:val="bottom"/>
          </w:tcPr>
          <w:p>
            <w:pPr>
              <w:ind w:left="100"/>
              <w:spacing w:after="0" w:line="130" w:lineRule="exact"/>
              <w:rPr>
                <w:sz w:val="20"/>
                <w:szCs w:val="20"/>
                <w:color w:val="auto"/>
              </w:rPr>
            </w:pPr>
            <w:r>
              <w:rPr>
                <w:rFonts w:ascii="Arial" w:cs="Arial" w:eastAsia="Arial" w:hAnsi="Arial"/>
                <w:sz w:val="14"/>
                <w:szCs w:val="14"/>
                <w:color w:val="auto"/>
              </w:rPr>
              <w:t>Term Loan</w:t>
            </w:r>
          </w:p>
        </w:tc>
        <w:tc>
          <w:tcPr>
            <w:tcW w:w="100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40" w:type="dxa"/>
            <w:vAlign w:val="bottom"/>
          </w:tcPr>
          <w:p>
            <w:pPr>
              <w:ind w:left="160"/>
              <w:spacing w:after="0"/>
              <w:rPr>
                <w:sz w:val="20"/>
                <w:szCs w:val="20"/>
                <w:color w:val="auto"/>
              </w:rPr>
            </w:pPr>
            <w:r>
              <w:rPr>
                <w:rFonts w:ascii="Arial" w:cs="Arial" w:eastAsia="Arial" w:hAnsi="Arial"/>
                <w:sz w:val="14"/>
                <w:szCs w:val="14"/>
                <w:color w:val="auto"/>
              </w:rPr>
              <w:t>Inc.</w:t>
            </w:r>
          </w:p>
        </w:tc>
        <w:tc>
          <w:tcPr>
            <w:tcW w:w="1920" w:type="dxa"/>
            <w:vAlign w:val="bottom"/>
          </w:tcPr>
          <w:p>
            <w:pPr>
              <w:ind w:left="120"/>
              <w:spacing w:after="0"/>
              <w:rPr>
                <w:sz w:val="20"/>
                <w:szCs w:val="20"/>
                <w:color w:val="auto"/>
              </w:rPr>
            </w:pPr>
            <w:r>
              <w:rPr>
                <w:rFonts w:ascii="Arial" w:cs="Arial" w:eastAsia="Arial" w:hAnsi="Arial"/>
                <w:sz w:val="14"/>
                <w:szCs w:val="14"/>
                <w:color w:val="auto"/>
              </w:rPr>
              <w:t>Activities/Movies</w:t>
            </w:r>
          </w:p>
        </w:tc>
        <w:tc>
          <w:tcPr>
            <w:tcW w:w="960" w:type="dxa"/>
            <w:vAlign w:val="bottom"/>
          </w:tcPr>
          <w:p>
            <w:pPr>
              <w:ind w:left="100"/>
              <w:spacing w:after="0"/>
              <w:rPr>
                <w:sz w:val="20"/>
                <w:szCs w:val="20"/>
                <w:color w:val="auto"/>
              </w:rPr>
            </w:pPr>
            <w:r>
              <w:rPr>
                <w:rFonts w:ascii="Arial" w:cs="Arial" w:eastAsia="Arial" w:hAnsi="Arial"/>
                <w:sz w:val="14"/>
                <w:szCs w:val="14"/>
                <w:color w:val="auto"/>
              </w:rPr>
              <w:t>(First Lien)</w:t>
            </w:r>
          </w:p>
        </w:tc>
        <w:tc>
          <w:tcPr>
            <w:tcW w:w="100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6.50%</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2/28/2020</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1,993,750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1,995,044</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1,983,781</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Devix</w:t>
            </w:r>
          </w:p>
        </w:tc>
        <w:tc>
          <w:tcPr>
            <w:tcW w:w="19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Chemicals/Plastics</w:t>
            </w:r>
          </w:p>
        </w:tc>
        <w:tc>
          <w:tcPr>
            <w:tcW w:w="9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20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4.25%</w:t>
            </w:r>
          </w:p>
        </w:tc>
        <w:tc>
          <w:tcPr>
            <w:tcW w:w="11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4/30/2021</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250,000</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247,593</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250,000</w:t>
            </w: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Devix</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Chemicals/Plastics</w:t>
            </w:r>
          </w:p>
        </w:tc>
        <w:tc>
          <w:tcPr>
            <w:tcW w:w="960" w:type="dxa"/>
            <w:vAlign w:val="bottom"/>
          </w:tcPr>
          <w:p>
            <w:pPr>
              <w:ind w:left="100"/>
              <w:spacing w:after="0" w:line="130" w:lineRule="exact"/>
              <w:rPr>
                <w:sz w:val="20"/>
                <w:szCs w:val="20"/>
                <w:color w:val="auto"/>
              </w:rPr>
            </w:pPr>
            <w:r>
              <w:rPr>
                <w:rFonts w:ascii="Arial" w:cs="Arial" w:eastAsia="Arial" w:hAnsi="Arial"/>
                <w:sz w:val="14"/>
                <w:szCs w:val="14"/>
                <w:color w:val="auto"/>
              </w:rPr>
              <w:t>Term Loan</w:t>
            </w:r>
          </w:p>
        </w:tc>
        <w:tc>
          <w:tcPr>
            <w:tcW w:w="100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9"/>
        </w:trPr>
        <w:tc>
          <w:tcPr>
            <w:tcW w:w="24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60" w:type="dxa"/>
            <w:vAlign w:val="bottom"/>
          </w:tcPr>
          <w:p>
            <w:pPr>
              <w:ind w:left="100"/>
              <w:spacing w:after="0" w:line="149" w:lineRule="exact"/>
              <w:rPr>
                <w:sz w:val="20"/>
                <w:szCs w:val="20"/>
                <w:color w:val="auto"/>
              </w:rPr>
            </w:pPr>
            <w:r>
              <w:rPr>
                <w:rFonts w:ascii="Arial" w:cs="Arial" w:eastAsia="Arial" w:hAnsi="Arial"/>
                <w:sz w:val="14"/>
                <w:szCs w:val="14"/>
                <w:color w:val="auto"/>
              </w:rPr>
              <w:t>(Second</w:t>
            </w: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7"/>
        </w:trPr>
        <w:tc>
          <w:tcPr>
            <w:tcW w:w="2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rPr>
              <w:t>Lien)</w:t>
            </w:r>
          </w:p>
        </w:tc>
        <w:tc>
          <w:tcPr>
            <w:tcW w:w="100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8.00%</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5/2/2022</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500,000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497,630</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498,000</w:t>
            </w:r>
          </w:p>
        </w:tc>
      </w:tr>
      <w:tr>
        <w:trPr>
          <w:trHeight w:val="149"/>
        </w:trPr>
        <w:tc>
          <w:tcPr>
            <w:tcW w:w="2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Diamond Resorts International</w:t>
            </w:r>
          </w:p>
        </w:tc>
        <w:tc>
          <w:tcPr>
            <w:tcW w:w="19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Lodging &amp; Casinos</w:t>
            </w:r>
          </w:p>
        </w:tc>
        <w:tc>
          <w:tcPr>
            <w:tcW w:w="9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Term Loan</w:t>
            </w:r>
          </w:p>
        </w:tc>
        <w:tc>
          <w:tcPr>
            <w:tcW w:w="100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Loan</w:t>
            </w:r>
          </w:p>
        </w:tc>
        <w:tc>
          <w:tcPr>
            <w:tcW w:w="120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5.50%</w:t>
            </w:r>
          </w:p>
        </w:tc>
        <w:tc>
          <w:tcPr>
            <w:tcW w:w="110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5/9/2021</w:t>
            </w:r>
          </w:p>
        </w:tc>
        <w:tc>
          <w:tcPr>
            <w:tcW w:w="98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1,000,000</w:t>
            </w:r>
          </w:p>
        </w:tc>
        <w:tc>
          <w:tcPr>
            <w:tcW w:w="960" w:type="dxa"/>
            <w:vAlign w:val="bottom"/>
            <w:shd w:val="clear" w:color="auto" w:fill="CCEEFF"/>
          </w:tcPr>
          <w:p>
            <w:pPr>
              <w:jc w:val="right"/>
              <w:ind w:right="128"/>
              <w:spacing w:after="0" w:line="149" w:lineRule="exact"/>
              <w:rPr>
                <w:sz w:val="20"/>
                <w:szCs w:val="20"/>
                <w:color w:val="auto"/>
              </w:rPr>
            </w:pPr>
            <w:r>
              <w:rPr>
                <w:rFonts w:ascii="Arial" w:cs="Arial" w:eastAsia="Arial" w:hAnsi="Arial"/>
                <w:sz w:val="14"/>
                <w:szCs w:val="14"/>
                <w:color w:val="auto"/>
              </w:rPr>
              <w:t>995,141</w:t>
            </w:r>
          </w:p>
        </w:tc>
        <w:tc>
          <w:tcPr>
            <w:tcW w:w="86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1,002,500</w:t>
            </w: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Drew Marine Group Inc.</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Chemicals/Plastics</w:t>
            </w:r>
          </w:p>
        </w:tc>
        <w:tc>
          <w:tcPr>
            <w:tcW w:w="960" w:type="dxa"/>
            <w:vAlign w:val="bottom"/>
          </w:tcPr>
          <w:p>
            <w:pPr>
              <w:ind w:left="100"/>
              <w:spacing w:after="0" w:line="130" w:lineRule="exact"/>
              <w:rPr>
                <w:sz w:val="20"/>
                <w:szCs w:val="20"/>
                <w:color w:val="auto"/>
              </w:rPr>
            </w:pPr>
            <w:r>
              <w:rPr>
                <w:rFonts w:ascii="Arial" w:cs="Arial" w:eastAsia="Arial" w:hAnsi="Arial"/>
                <w:sz w:val="14"/>
                <w:szCs w:val="14"/>
                <w:color w:val="auto"/>
              </w:rPr>
              <w:t>Term Loan</w:t>
            </w:r>
          </w:p>
        </w:tc>
        <w:tc>
          <w:tcPr>
            <w:tcW w:w="100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rPr>
              <w:t>(First Lien)</w:t>
            </w:r>
          </w:p>
        </w:tc>
        <w:tc>
          <w:tcPr>
            <w:tcW w:w="100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4.50%</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11/19/2020</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1,497,500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1,503,089</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1,503,116</w:t>
            </w:r>
          </w:p>
        </w:tc>
      </w:tr>
      <w:tr>
        <w:trPr>
          <w:trHeight w:val="130"/>
        </w:trPr>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Dunkin’ Brands, Inc.</w:t>
            </w:r>
          </w:p>
        </w:tc>
        <w:tc>
          <w:tcPr>
            <w:tcW w:w="19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Food Services</w:t>
            </w:r>
          </w:p>
        </w:tc>
        <w:tc>
          <w:tcPr>
            <w:tcW w:w="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Term B-4</w:t>
            </w:r>
          </w:p>
        </w:tc>
        <w:tc>
          <w:tcPr>
            <w:tcW w:w="10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244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w:t>
            </w:r>
          </w:p>
        </w:tc>
        <w:tc>
          <w:tcPr>
            <w:tcW w:w="10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3.25%</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2/7/2021</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3,942,384</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3,933,660</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3,857,150</w:t>
            </w: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Education Management LLC</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Leisure Goods/</w:t>
            </w:r>
          </w:p>
        </w:tc>
        <w:tc>
          <w:tcPr>
            <w:tcW w:w="960" w:type="dxa"/>
            <w:vAlign w:val="bottom"/>
          </w:tcPr>
          <w:p>
            <w:pPr>
              <w:ind w:left="100"/>
              <w:spacing w:after="0" w:line="130" w:lineRule="exact"/>
              <w:rPr>
                <w:sz w:val="20"/>
                <w:szCs w:val="20"/>
                <w:color w:val="auto"/>
              </w:rPr>
            </w:pPr>
            <w:r>
              <w:rPr>
                <w:rFonts w:ascii="Arial" w:cs="Arial" w:eastAsia="Arial" w:hAnsi="Arial"/>
                <w:sz w:val="14"/>
                <w:szCs w:val="14"/>
                <w:color w:val="auto"/>
              </w:rPr>
              <w:t>Tranche C-2</w:t>
            </w:r>
          </w:p>
        </w:tc>
        <w:tc>
          <w:tcPr>
            <w:tcW w:w="100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40" w:type="dxa"/>
            <w:vAlign w:val="bottom"/>
          </w:tcPr>
          <w:p>
            <w:pPr>
              <w:spacing w:after="0"/>
              <w:rPr>
                <w:sz w:val="14"/>
                <w:szCs w:val="14"/>
                <w:color w:val="auto"/>
              </w:rPr>
            </w:pPr>
          </w:p>
        </w:tc>
        <w:tc>
          <w:tcPr>
            <w:tcW w:w="1920" w:type="dxa"/>
            <w:vAlign w:val="bottom"/>
          </w:tcPr>
          <w:p>
            <w:pPr>
              <w:ind w:left="120"/>
              <w:spacing w:after="0"/>
              <w:rPr>
                <w:sz w:val="20"/>
                <w:szCs w:val="20"/>
                <w:color w:val="auto"/>
              </w:rPr>
            </w:pPr>
            <w:r>
              <w:rPr>
                <w:rFonts w:ascii="Arial" w:cs="Arial" w:eastAsia="Arial" w:hAnsi="Arial"/>
                <w:sz w:val="14"/>
                <w:szCs w:val="14"/>
                <w:color w:val="auto"/>
              </w:rPr>
              <w:t>Activities/Movies</w:t>
            </w:r>
          </w:p>
        </w:tc>
        <w:tc>
          <w:tcPr>
            <w:tcW w:w="960" w:type="dxa"/>
            <w:vAlign w:val="bottom"/>
          </w:tcPr>
          <w:p>
            <w:pPr>
              <w:ind w:left="100"/>
              <w:spacing w:after="0"/>
              <w:rPr>
                <w:sz w:val="20"/>
                <w:szCs w:val="20"/>
                <w:color w:val="auto"/>
              </w:rPr>
            </w:pPr>
            <w:r>
              <w:rPr>
                <w:rFonts w:ascii="Arial" w:cs="Arial" w:eastAsia="Arial" w:hAnsi="Arial"/>
                <w:sz w:val="14"/>
                <w:szCs w:val="14"/>
                <w:color w:val="auto"/>
              </w:rPr>
              <w:t>Term Loan</w:t>
            </w:r>
          </w:p>
        </w:tc>
        <w:tc>
          <w:tcPr>
            <w:tcW w:w="100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4.25%</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6/1/2016</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3,860,726</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3,759,583</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2,440,172</w:t>
            </w:r>
          </w:p>
        </w:tc>
      </w:tr>
      <w:tr>
        <w:trPr>
          <w:trHeight w:val="130"/>
        </w:trPr>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EIG Investors Corp.</w:t>
            </w:r>
          </w:p>
        </w:tc>
        <w:tc>
          <w:tcPr>
            <w:tcW w:w="19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Equipment</w:t>
            </w:r>
          </w:p>
        </w:tc>
        <w:tc>
          <w:tcPr>
            <w:tcW w:w="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w:t>
            </w:r>
          </w:p>
        </w:tc>
        <w:tc>
          <w:tcPr>
            <w:tcW w:w="10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2440" w:type="dxa"/>
            <w:vAlign w:val="bottom"/>
            <w:shd w:val="clear" w:color="auto" w:fill="CCEEFF"/>
          </w:tcPr>
          <w:p>
            <w:pPr>
              <w:spacing w:after="0"/>
              <w:rPr>
                <w:sz w:val="14"/>
                <w:szCs w:val="14"/>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and Services</w:t>
            </w:r>
          </w:p>
        </w:tc>
        <w:tc>
          <w:tcPr>
            <w:tcW w:w="9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5.00%</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11/8/2019</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992,500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988,161</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991,259</w:t>
            </w: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Emerald Performance Materials, LLC</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Chemicals/Plastics</w:t>
            </w:r>
          </w:p>
        </w:tc>
        <w:tc>
          <w:tcPr>
            <w:tcW w:w="960" w:type="dxa"/>
            <w:vAlign w:val="bottom"/>
          </w:tcPr>
          <w:p>
            <w:pPr>
              <w:ind w:left="100"/>
              <w:spacing w:after="0" w:line="130" w:lineRule="exact"/>
              <w:rPr>
                <w:sz w:val="20"/>
                <w:szCs w:val="20"/>
                <w:color w:val="auto"/>
              </w:rPr>
            </w:pPr>
            <w:r>
              <w:rPr>
                <w:rFonts w:ascii="Arial" w:cs="Arial" w:eastAsia="Arial" w:hAnsi="Arial"/>
                <w:sz w:val="14"/>
                <w:szCs w:val="14"/>
                <w:color w:val="auto"/>
              </w:rPr>
              <w:t>Term Loan</w:t>
            </w:r>
          </w:p>
        </w:tc>
        <w:tc>
          <w:tcPr>
            <w:tcW w:w="100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rPr>
              <w:t>(First Lien)</w:t>
            </w:r>
          </w:p>
        </w:tc>
        <w:tc>
          <w:tcPr>
            <w:tcW w:w="100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4.50%</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8/1/2021</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500,000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497,515</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497,500</w:t>
            </w:r>
          </w:p>
        </w:tc>
      </w:tr>
      <w:tr>
        <w:trPr>
          <w:trHeight w:val="130"/>
        </w:trPr>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Emerald Performance Materials, LLC</w:t>
            </w:r>
          </w:p>
        </w:tc>
        <w:tc>
          <w:tcPr>
            <w:tcW w:w="19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Chemicals/Plastics</w:t>
            </w:r>
          </w:p>
        </w:tc>
        <w:tc>
          <w:tcPr>
            <w:tcW w:w="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w:t>
            </w:r>
          </w:p>
        </w:tc>
        <w:tc>
          <w:tcPr>
            <w:tcW w:w="10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9"/>
        </w:trPr>
        <w:tc>
          <w:tcPr>
            <w:tcW w:w="24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9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(Second</w:t>
            </w:r>
          </w:p>
        </w:tc>
        <w:tc>
          <w:tcPr>
            <w:tcW w:w="10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7"/>
        </w:trPr>
        <w:tc>
          <w:tcPr>
            <w:tcW w:w="244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Lien)</w:t>
            </w:r>
          </w:p>
        </w:tc>
        <w:tc>
          <w:tcPr>
            <w:tcW w:w="10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7.75%</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8/1/2022</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497,500</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496,250</w:t>
            </w: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EnergySolutions, LLC</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Oil &amp; Gas</w:t>
            </w:r>
          </w:p>
        </w:tc>
        <w:tc>
          <w:tcPr>
            <w:tcW w:w="960" w:type="dxa"/>
            <w:vAlign w:val="bottom"/>
          </w:tcPr>
          <w:p>
            <w:pPr>
              <w:ind w:left="100"/>
              <w:spacing w:after="0" w:line="130" w:lineRule="exact"/>
              <w:rPr>
                <w:sz w:val="20"/>
                <w:szCs w:val="20"/>
                <w:color w:val="auto"/>
              </w:rPr>
            </w:pPr>
            <w:r>
              <w:rPr>
                <w:rFonts w:ascii="Arial" w:cs="Arial" w:eastAsia="Arial" w:hAnsi="Arial"/>
                <w:sz w:val="14"/>
                <w:szCs w:val="14"/>
                <w:color w:val="auto"/>
              </w:rPr>
              <w:t>Term Loan</w:t>
            </w:r>
          </w:p>
        </w:tc>
        <w:tc>
          <w:tcPr>
            <w:tcW w:w="100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rPr>
              <w:t>B</w:t>
            </w:r>
          </w:p>
        </w:tc>
        <w:tc>
          <w:tcPr>
            <w:tcW w:w="100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6.75%</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5/29/2020</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1,000,000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980,709</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1,004,380</w:t>
            </w:r>
          </w:p>
        </w:tc>
      </w:tr>
      <w:tr>
        <w:trPr>
          <w:trHeight w:val="130"/>
        </w:trPr>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Enviromental Resources Management</w:t>
            </w:r>
          </w:p>
        </w:tc>
        <w:tc>
          <w:tcPr>
            <w:tcW w:w="19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Equipment</w:t>
            </w:r>
          </w:p>
        </w:tc>
        <w:tc>
          <w:tcPr>
            <w:tcW w:w="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w:t>
            </w:r>
          </w:p>
        </w:tc>
        <w:tc>
          <w:tcPr>
            <w:tcW w:w="10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2440" w:type="dxa"/>
            <w:vAlign w:val="bottom"/>
            <w:shd w:val="clear" w:color="auto" w:fill="CCEEFF"/>
          </w:tcPr>
          <w:p>
            <w:pPr>
              <w:spacing w:after="0"/>
              <w:rPr>
                <w:sz w:val="14"/>
                <w:szCs w:val="14"/>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and Services</w:t>
            </w:r>
          </w:p>
        </w:tc>
        <w:tc>
          <w:tcPr>
            <w:tcW w:w="9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5.00%</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5/16/2021</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1,000,000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990,621</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1,000,000</w:t>
            </w: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Evergreen Acqco 1 LP</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Retailers (Except</w:t>
            </w:r>
          </w:p>
        </w:tc>
        <w:tc>
          <w:tcPr>
            <w:tcW w:w="960" w:type="dxa"/>
            <w:vAlign w:val="bottom"/>
          </w:tcPr>
          <w:p>
            <w:pPr>
              <w:ind w:left="100"/>
              <w:spacing w:after="0" w:line="130" w:lineRule="exact"/>
              <w:rPr>
                <w:sz w:val="20"/>
                <w:szCs w:val="20"/>
                <w:color w:val="auto"/>
              </w:rPr>
            </w:pPr>
            <w:r>
              <w:rPr>
                <w:rFonts w:ascii="Arial" w:cs="Arial" w:eastAsia="Arial" w:hAnsi="Arial"/>
                <w:sz w:val="14"/>
                <w:szCs w:val="14"/>
                <w:color w:val="auto"/>
              </w:rPr>
              <w:t>New Term</w:t>
            </w:r>
          </w:p>
        </w:tc>
        <w:tc>
          <w:tcPr>
            <w:tcW w:w="100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40" w:type="dxa"/>
            <w:vAlign w:val="bottom"/>
          </w:tcPr>
          <w:p>
            <w:pPr>
              <w:spacing w:after="0"/>
              <w:rPr>
                <w:sz w:val="14"/>
                <w:szCs w:val="14"/>
                <w:color w:val="auto"/>
              </w:rPr>
            </w:pPr>
          </w:p>
        </w:tc>
        <w:tc>
          <w:tcPr>
            <w:tcW w:w="1920" w:type="dxa"/>
            <w:vAlign w:val="bottom"/>
          </w:tcPr>
          <w:p>
            <w:pPr>
              <w:ind w:left="120"/>
              <w:spacing w:after="0"/>
              <w:rPr>
                <w:sz w:val="20"/>
                <w:szCs w:val="20"/>
                <w:color w:val="auto"/>
              </w:rPr>
            </w:pPr>
            <w:r>
              <w:rPr>
                <w:rFonts w:ascii="Arial" w:cs="Arial" w:eastAsia="Arial" w:hAnsi="Arial"/>
                <w:sz w:val="14"/>
                <w:szCs w:val="14"/>
                <w:color w:val="auto"/>
              </w:rPr>
              <w:t>Food and Drugs)</w:t>
            </w:r>
          </w:p>
        </w:tc>
        <w:tc>
          <w:tcPr>
            <w:tcW w:w="960" w:type="dxa"/>
            <w:vAlign w:val="bottom"/>
          </w:tcPr>
          <w:p>
            <w:pPr>
              <w:ind w:left="100"/>
              <w:spacing w:after="0"/>
              <w:rPr>
                <w:sz w:val="20"/>
                <w:szCs w:val="20"/>
                <w:color w:val="auto"/>
              </w:rPr>
            </w:pPr>
            <w:r>
              <w:rPr>
                <w:rFonts w:ascii="Arial" w:cs="Arial" w:eastAsia="Arial" w:hAnsi="Arial"/>
                <w:sz w:val="14"/>
                <w:szCs w:val="14"/>
                <w:color w:val="auto"/>
              </w:rPr>
              <w:t>Loan</w:t>
            </w:r>
          </w:p>
        </w:tc>
        <w:tc>
          <w:tcPr>
            <w:tcW w:w="100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5.00%</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7/9/2019</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980,044</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976,268</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979,799</w:t>
            </w:r>
          </w:p>
        </w:tc>
      </w:tr>
      <w:tr>
        <w:trPr>
          <w:trHeight w:val="130"/>
        </w:trPr>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EWT Holdings III Corp. (fka WTG</w:t>
            </w:r>
          </w:p>
        </w:tc>
        <w:tc>
          <w:tcPr>
            <w:tcW w:w="19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Industrial</w:t>
            </w:r>
          </w:p>
        </w:tc>
        <w:tc>
          <w:tcPr>
            <w:tcW w:w="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w:t>
            </w:r>
          </w:p>
        </w:tc>
        <w:tc>
          <w:tcPr>
            <w:tcW w:w="10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2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Holdings III Corp.)</w:t>
            </w:r>
          </w:p>
        </w:tc>
        <w:tc>
          <w:tcPr>
            <w:tcW w:w="1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Equipment</w:t>
            </w: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(First Lien)</w:t>
            </w:r>
          </w:p>
        </w:tc>
        <w:tc>
          <w:tcPr>
            <w:tcW w:w="10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4.75%</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1/15/2021</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995,000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990,648</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991,687</w:t>
            </w: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Federal-Mogul Corporation</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Automotive</w:t>
            </w:r>
          </w:p>
        </w:tc>
        <w:tc>
          <w:tcPr>
            <w:tcW w:w="960" w:type="dxa"/>
            <w:vAlign w:val="bottom"/>
          </w:tcPr>
          <w:p>
            <w:pPr>
              <w:ind w:left="100"/>
              <w:spacing w:after="0" w:line="130" w:lineRule="exact"/>
              <w:rPr>
                <w:sz w:val="20"/>
                <w:szCs w:val="20"/>
                <w:color w:val="auto"/>
              </w:rPr>
            </w:pPr>
            <w:r>
              <w:rPr>
                <w:rFonts w:ascii="Arial" w:cs="Arial" w:eastAsia="Arial" w:hAnsi="Arial"/>
                <w:sz w:val="14"/>
                <w:szCs w:val="14"/>
                <w:color w:val="auto"/>
              </w:rPr>
              <w:t>Tranche C</w:t>
            </w:r>
          </w:p>
        </w:tc>
        <w:tc>
          <w:tcPr>
            <w:tcW w:w="100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rPr>
              <w:t>Term Loan</w:t>
            </w:r>
          </w:p>
        </w:tc>
        <w:tc>
          <w:tcPr>
            <w:tcW w:w="100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4.75%</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4/15/2021</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3,000,000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2,985,847</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2,986,260</w:t>
            </w:r>
          </w:p>
        </w:tc>
      </w:tr>
      <w:tr>
        <w:trPr>
          <w:trHeight w:val="130"/>
        </w:trPr>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First Data Corporation</w:t>
            </w:r>
          </w:p>
        </w:tc>
        <w:tc>
          <w:tcPr>
            <w:tcW w:w="19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Financial</w:t>
            </w:r>
          </w:p>
        </w:tc>
        <w:tc>
          <w:tcPr>
            <w:tcW w:w="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2017 Second</w:t>
            </w:r>
          </w:p>
        </w:tc>
        <w:tc>
          <w:tcPr>
            <w:tcW w:w="10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9"/>
        </w:trPr>
        <w:tc>
          <w:tcPr>
            <w:tcW w:w="2440" w:type="dxa"/>
            <w:vAlign w:val="bottom"/>
            <w:shd w:val="clear" w:color="auto" w:fill="CCEEFF"/>
          </w:tcPr>
          <w:p>
            <w:pPr>
              <w:spacing w:after="0"/>
              <w:rPr>
                <w:sz w:val="12"/>
                <w:szCs w:val="12"/>
                <w:color w:val="auto"/>
              </w:rPr>
            </w:pPr>
          </w:p>
        </w:tc>
        <w:tc>
          <w:tcPr>
            <w:tcW w:w="19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Intermediaries</w:t>
            </w:r>
          </w:p>
        </w:tc>
        <w:tc>
          <w:tcPr>
            <w:tcW w:w="9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New Dollar</w:t>
            </w:r>
          </w:p>
        </w:tc>
        <w:tc>
          <w:tcPr>
            <w:tcW w:w="10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7"/>
        </w:trPr>
        <w:tc>
          <w:tcPr>
            <w:tcW w:w="244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Term Loan</w:t>
            </w:r>
          </w:p>
        </w:tc>
        <w:tc>
          <w:tcPr>
            <w:tcW w:w="10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4.15%</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3/24/2017</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2,111,028</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2,015,273</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2,094,541</w:t>
            </w: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First Data Corporation</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Financial</w:t>
            </w:r>
          </w:p>
        </w:tc>
        <w:tc>
          <w:tcPr>
            <w:tcW w:w="960" w:type="dxa"/>
            <w:vAlign w:val="bottom"/>
          </w:tcPr>
          <w:p>
            <w:pPr>
              <w:ind w:left="100"/>
              <w:spacing w:after="0" w:line="130" w:lineRule="exact"/>
              <w:rPr>
                <w:sz w:val="20"/>
                <w:szCs w:val="20"/>
                <w:color w:val="auto"/>
              </w:rPr>
            </w:pPr>
            <w:r>
              <w:rPr>
                <w:rFonts w:ascii="Arial" w:cs="Arial" w:eastAsia="Arial" w:hAnsi="Arial"/>
                <w:sz w:val="14"/>
                <w:szCs w:val="14"/>
                <w:color w:val="auto"/>
              </w:rPr>
              <w:t>2018 Dollar</w:t>
            </w:r>
          </w:p>
        </w:tc>
        <w:tc>
          <w:tcPr>
            <w:tcW w:w="100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40" w:type="dxa"/>
            <w:vAlign w:val="bottom"/>
          </w:tcPr>
          <w:p>
            <w:pPr>
              <w:spacing w:after="0"/>
              <w:rPr>
                <w:sz w:val="14"/>
                <w:szCs w:val="14"/>
                <w:color w:val="auto"/>
              </w:rPr>
            </w:pPr>
          </w:p>
        </w:tc>
        <w:tc>
          <w:tcPr>
            <w:tcW w:w="1920" w:type="dxa"/>
            <w:vAlign w:val="bottom"/>
          </w:tcPr>
          <w:p>
            <w:pPr>
              <w:ind w:left="120"/>
              <w:spacing w:after="0"/>
              <w:rPr>
                <w:sz w:val="20"/>
                <w:szCs w:val="20"/>
                <w:color w:val="auto"/>
              </w:rPr>
            </w:pPr>
            <w:r>
              <w:rPr>
                <w:rFonts w:ascii="Arial" w:cs="Arial" w:eastAsia="Arial" w:hAnsi="Arial"/>
                <w:sz w:val="14"/>
                <w:szCs w:val="14"/>
                <w:color w:val="auto"/>
              </w:rPr>
              <w:t>Intermediaries</w:t>
            </w:r>
          </w:p>
        </w:tc>
        <w:tc>
          <w:tcPr>
            <w:tcW w:w="960" w:type="dxa"/>
            <w:vAlign w:val="bottom"/>
          </w:tcPr>
          <w:p>
            <w:pPr>
              <w:ind w:left="100"/>
              <w:spacing w:after="0"/>
              <w:rPr>
                <w:sz w:val="20"/>
                <w:szCs w:val="20"/>
                <w:color w:val="auto"/>
              </w:rPr>
            </w:pPr>
            <w:r>
              <w:rPr>
                <w:rFonts w:ascii="Arial" w:cs="Arial" w:eastAsia="Arial" w:hAnsi="Arial"/>
                <w:sz w:val="14"/>
                <w:szCs w:val="14"/>
                <w:color w:val="auto"/>
              </w:rPr>
              <w:t>Term Loan</w:t>
            </w:r>
          </w:p>
        </w:tc>
        <w:tc>
          <w:tcPr>
            <w:tcW w:w="100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4.15%</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3/23/2018</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2,290,451</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2,228,007</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2,254,674</w:t>
            </w:r>
          </w:p>
        </w:tc>
      </w:tr>
      <w:tr>
        <w:trPr>
          <w:trHeight w:val="130"/>
        </w:trPr>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Fitness International, LLC</w:t>
            </w:r>
          </w:p>
        </w:tc>
        <w:tc>
          <w:tcPr>
            <w:tcW w:w="19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Leisure Goods/</w:t>
            </w:r>
          </w:p>
        </w:tc>
        <w:tc>
          <w:tcPr>
            <w:tcW w:w="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w:t>
            </w:r>
          </w:p>
        </w:tc>
        <w:tc>
          <w:tcPr>
            <w:tcW w:w="10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2440" w:type="dxa"/>
            <w:vAlign w:val="bottom"/>
            <w:shd w:val="clear" w:color="auto" w:fill="CCEEFF"/>
          </w:tcPr>
          <w:p>
            <w:pPr>
              <w:spacing w:after="0"/>
              <w:rPr>
                <w:sz w:val="14"/>
                <w:szCs w:val="14"/>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Activities/Movies</w:t>
            </w: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B</w:t>
            </w:r>
          </w:p>
        </w:tc>
        <w:tc>
          <w:tcPr>
            <w:tcW w:w="10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5.50%</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7/1/2020</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1,500,000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1,488,994</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1,483,125</w:t>
            </w: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FMG Resources (August 2006) Pty</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Nonferrous Metals/</w:t>
            </w:r>
          </w:p>
        </w:tc>
        <w:tc>
          <w:tcPr>
            <w:tcW w:w="96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00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40" w:type="dxa"/>
            <w:vAlign w:val="bottom"/>
          </w:tcPr>
          <w:p>
            <w:pPr>
              <w:ind w:left="160"/>
              <w:spacing w:after="0"/>
              <w:rPr>
                <w:sz w:val="20"/>
                <w:szCs w:val="20"/>
                <w:color w:val="auto"/>
              </w:rPr>
            </w:pPr>
            <w:r>
              <w:rPr>
                <w:rFonts w:ascii="Arial" w:cs="Arial" w:eastAsia="Arial" w:hAnsi="Arial"/>
                <w:sz w:val="14"/>
                <w:szCs w:val="14"/>
                <w:color w:val="auto"/>
              </w:rPr>
              <w:t>LTD (FMG America Finance, Inc.)</w:t>
            </w:r>
          </w:p>
        </w:tc>
        <w:tc>
          <w:tcPr>
            <w:tcW w:w="1920" w:type="dxa"/>
            <w:vAlign w:val="bottom"/>
          </w:tcPr>
          <w:p>
            <w:pPr>
              <w:ind w:left="120"/>
              <w:spacing w:after="0"/>
              <w:rPr>
                <w:sz w:val="20"/>
                <w:szCs w:val="20"/>
                <w:color w:val="auto"/>
              </w:rPr>
            </w:pPr>
            <w:r>
              <w:rPr>
                <w:rFonts w:ascii="Arial" w:cs="Arial" w:eastAsia="Arial" w:hAnsi="Arial"/>
                <w:sz w:val="14"/>
                <w:szCs w:val="14"/>
                <w:color w:val="auto"/>
              </w:rPr>
              <w:t>Minerals</w:t>
            </w:r>
          </w:p>
        </w:tc>
        <w:tc>
          <w:tcPr>
            <w:tcW w:w="9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3.75%</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6/28/2019</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1,992,500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1,992,008</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1,972,954</w:t>
            </w:r>
          </w:p>
        </w:tc>
      </w:tr>
      <w:tr>
        <w:trPr>
          <w:trHeight w:val="130"/>
        </w:trPr>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Four Seasons Holdings Inc.</w:t>
            </w:r>
          </w:p>
        </w:tc>
        <w:tc>
          <w:tcPr>
            <w:tcW w:w="19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Lodging &amp; Casinos</w:t>
            </w:r>
          </w:p>
        </w:tc>
        <w:tc>
          <w:tcPr>
            <w:tcW w:w="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w:t>
            </w:r>
          </w:p>
        </w:tc>
        <w:tc>
          <w:tcPr>
            <w:tcW w:w="10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244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(First Lien)</w:t>
            </w:r>
          </w:p>
        </w:tc>
        <w:tc>
          <w:tcPr>
            <w:tcW w:w="10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3.50%</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6/29/2020</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496,250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496,250</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492,776</w:t>
            </w: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Garda World Security Corporation</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Business Equipment</w:t>
            </w:r>
          </w:p>
        </w:tc>
        <w:tc>
          <w:tcPr>
            <w:tcW w:w="960" w:type="dxa"/>
            <w:vAlign w:val="bottom"/>
          </w:tcPr>
          <w:p>
            <w:pPr>
              <w:ind w:left="100"/>
              <w:spacing w:after="0" w:line="130" w:lineRule="exact"/>
              <w:rPr>
                <w:sz w:val="20"/>
                <w:szCs w:val="20"/>
                <w:color w:val="auto"/>
              </w:rPr>
            </w:pPr>
            <w:r>
              <w:rPr>
                <w:rFonts w:ascii="Arial" w:cs="Arial" w:eastAsia="Arial" w:hAnsi="Arial"/>
                <w:sz w:val="14"/>
                <w:szCs w:val="14"/>
                <w:color w:val="auto"/>
              </w:rPr>
              <w:t>Term B</w:t>
            </w:r>
          </w:p>
        </w:tc>
        <w:tc>
          <w:tcPr>
            <w:tcW w:w="100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9"/>
        </w:trPr>
        <w:tc>
          <w:tcPr>
            <w:tcW w:w="2440" w:type="dxa"/>
            <w:vAlign w:val="bottom"/>
          </w:tcPr>
          <w:p>
            <w:pPr>
              <w:spacing w:after="0"/>
              <w:rPr>
                <w:sz w:val="12"/>
                <w:szCs w:val="12"/>
                <w:color w:val="auto"/>
              </w:rPr>
            </w:pPr>
          </w:p>
        </w:tc>
        <w:tc>
          <w:tcPr>
            <w:tcW w:w="1920" w:type="dxa"/>
            <w:vAlign w:val="bottom"/>
          </w:tcPr>
          <w:p>
            <w:pPr>
              <w:ind w:left="120"/>
              <w:spacing w:after="0" w:line="149" w:lineRule="exact"/>
              <w:rPr>
                <w:sz w:val="20"/>
                <w:szCs w:val="20"/>
                <w:color w:val="auto"/>
              </w:rPr>
            </w:pPr>
            <w:r>
              <w:rPr>
                <w:rFonts w:ascii="Arial" w:cs="Arial" w:eastAsia="Arial" w:hAnsi="Arial"/>
                <w:sz w:val="14"/>
                <w:szCs w:val="14"/>
                <w:color w:val="auto"/>
              </w:rPr>
              <w:t>and Services</w:t>
            </w:r>
          </w:p>
        </w:tc>
        <w:tc>
          <w:tcPr>
            <w:tcW w:w="960" w:type="dxa"/>
            <w:vAlign w:val="bottom"/>
          </w:tcPr>
          <w:p>
            <w:pPr>
              <w:ind w:left="100"/>
              <w:spacing w:after="0" w:line="149" w:lineRule="exact"/>
              <w:rPr>
                <w:sz w:val="20"/>
                <w:szCs w:val="20"/>
                <w:color w:val="auto"/>
              </w:rPr>
            </w:pPr>
            <w:r>
              <w:rPr>
                <w:rFonts w:ascii="Arial" w:cs="Arial" w:eastAsia="Arial" w:hAnsi="Arial"/>
                <w:sz w:val="14"/>
                <w:szCs w:val="14"/>
                <w:color w:val="auto"/>
              </w:rPr>
              <w:t>Delayed</w:t>
            </w: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7"/>
        </w:trPr>
        <w:tc>
          <w:tcPr>
            <w:tcW w:w="2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rPr>
              <w:t>Draw Loan</w:t>
            </w:r>
          </w:p>
        </w:tc>
        <w:tc>
          <w:tcPr>
            <w:tcW w:w="100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4.00%</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11/6/2020</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202,176</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201,269</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200,787</w:t>
            </w:r>
          </w:p>
        </w:tc>
      </w:tr>
      <w:tr>
        <w:trPr>
          <w:trHeight w:val="130"/>
        </w:trPr>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Garda World Security Corporation</w:t>
            </w:r>
          </w:p>
        </w:tc>
        <w:tc>
          <w:tcPr>
            <w:tcW w:w="19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Equipment</w:t>
            </w:r>
          </w:p>
        </w:tc>
        <w:tc>
          <w:tcPr>
            <w:tcW w:w="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Term B</w:t>
            </w:r>
          </w:p>
        </w:tc>
        <w:tc>
          <w:tcPr>
            <w:tcW w:w="10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2440" w:type="dxa"/>
            <w:vAlign w:val="bottom"/>
            <w:shd w:val="clear" w:color="auto" w:fill="CCEEFF"/>
          </w:tcPr>
          <w:p>
            <w:pPr>
              <w:spacing w:after="0"/>
              <w:rPr>
                <w:sz w:val="14"/>
                <w:szCs w:val="14"/>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and Services</w:t>
            </w: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w:t>
            </w:r>
          </w:p>
        </w:tc>
        <w:tc>
          <w:tcPr>
            <w:tcW w:w="10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4.00%</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11/6/2020</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790,324</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786,877</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784,895</w:t>
            </w: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Gardner Denver, Inc.</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Oil &amp; Gas</w:t>
            </w:r>
          </w:p>
        </w:tc>
        <w:tc>
          <w:tcPr>
            <w:tcW w:w="960" w:type="dxa"/>
            <w:vAlign w:val="bottom"/>
          </w:tcPr>
          <w:p>
            <w:pPr>
              <w:ind w:left="100"/>
              <w:spacing w:after="0" w:line="130" w:lineRule="exact"/>
              <w:rPr>
                <w:sz w:val="20"/>
                <w:szCs w:val="20"/>
                <w:color w:val="auto"/>
              </w:rPr>
            </w:pPr>
            <w:r>
              <w:rPr>
                <w:rFonts w:ascii="Arial" w:cs="Arial" w:eastAsia="Arial" w:hAnsi="Arial"/>
                <w:sz w:val="14"/>
                <w:szCs w:val="14"/>
                <w:color w:val="auto"/>
              </w:rPr>
              <w:t>Initial Dollar</w:t>
            </w:r>
          </w:p>
        </w:tc>
        <w:tc>
          <w:tcPr>
            <w:tcW w:w="100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rPr>
              <w:t>Term Loan</w:t>
            </w:r>
          </w:p>
        </w:tc>
        <w:tc>
          <w:tcPr>
            <w:tcW w:w="100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4.25%</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7/30/2020</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2,488,750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2,478,058</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2,470,358</w:t>
            </w:r>
          </w:p>
        </w:tc>
      </w:tr>
      <w:tr>
        <w:trPr>
          <w:trHeight w:val="130"/>
        </w:trPr>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Gates Global LLC</w:t>
            </w:r>
          </w:p>
        </w:tc>
        <w:tc>
          <w:tcPr>
            <w:tcW w:w="19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Leisure Goods/</w:t>
            </w:r>
          </w:p>
        </w:tc>
        <w:tc>
          <w:tcPr>
            <w:tcW w:w="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Term Loan</w:t>
            </w:r>
          </w:p>
        </w:tc>
        <w:tc>
          <w:tcPr>
            <w:tcW w:w="10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2440" w:type="dxa"/>
            <w:vAlign w:val="bottom"/>
            <w:shd w:val="clear" w:color="auto" w:fill="CCEEFF"/>
          </w:tcPr>
          <w:p>
            <w:pPr>
              <w:spacing w:after="0"/>
              <w:rPr>
                <w:sz w:val="14"/>
                <w:szCs w:val="14"/>
                <w:color w:val="auto"/>
              </w:rPr>
            </w:pPr>
          </w:p>
        </w:tc>
        <w:tc>
          <w:tcPr>
            <w:tcW w:w="1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Activities/Movies</w:t>
            </w: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(First Lien)</w:t>
            </w:r>
          </w:p>
        </w:tc>
        <w:tc>
          <w:tcPr>
            <w:tcW w:w="10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4.25%</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7/2/2021</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495,109</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494,030</w:t>
            </w: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Generac Power Systems, Inc.</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Industrial</w:t>
            </w:r>
          </w:p>
        </w:tc>
        <w:tc>
          <w:tcPr>
            <w:tcW w:w="960" w:type="dxa"/>
            <w:vAlign w:val="bottom"/>
          </w:tcPr>
          <w:p>
            <w:pPr>
              <w:ind w:left="100"/>
              <w:spacing w:after="0" w:line="130" w:lineRule="exact"/>
              <w:rPr>
                <w:sz w:val="20"/>
                <w:szCs w:val="20"/>
                <w:color w:val="auto"/>
              </w:rPr>
            </w:pPr>
            <w:r>
              <w:rPr>
                <w:rFonts w:ascii="Arial" w:cs="Arial" w:eastAsia="Arial" w:hAnsi="Arial"/>
                <w:sz w:val="14"/>
                <w:szCs w:val="14"/>
                <w:color w:val="auto"/>
              </w:rPr>
              <w:t>Term Loan</w:t>
            </w:r>
          </w:p>
        </w:tc>
        <w:tc>
          <w:tcPr>
            <w:tcW w:w="100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40" w:type="dxa"/>
            <w:vAlign w:val="bottom"/>
          </w:tcPr>
          <w:p>
            <w:pPr>
              <w:spacing w:after="0"/>
              <w:rPr>
                <w:sz w:val="14"/>
                <w:szCs w:val="14"/>
                <w:color w:val="auto"/>
              </w:rPr>
            </w:pPr>
          </w:p>
        </w:tc>
        <w:tc>
          <w:tcPr>
            <w:tcW w:w="1920" w:type="dxa"/>
            <w:vAlign w:val="bottom"/>
          </w:tcPr>
          <w:p>
            <w:pPr>
              <w:ind w:left="120"/>
              <w:spacing w:after="0"/>
              <w:rPr>
                <w:sz w:val="20"/>
                <w:szCs w:val="20"/>
                <w:color w:val="auto"/>
              </w:rPr>
            </w:pPr>
            <w:r>
              <w:rPr>
                <w:rFonts w:ascii="Arial" w:cs="Arial" w:eastAsia="Arial" w:hAnsi="Arial"/>
                <w:sz w:val="14"/>
                <w:szCs w:val="14"/>
                <w:color w:val="auto"/>
              </w:rPr>
              <w:t>Equipment</w:t>
            </w:r>
          </w:p>
        </w:tc>
        <w:tc>
          <w:tcPr>
            <w:tcW w:w="960" w:type="dxa"/>
            <w:vAlign w:val="bottom"/>
          </w:tcPr>
          <w:p>
            <w:pPr>
              <w:ind w:left="100"/>
              <w:spacing w:after="0"/>
              <w:rPr>
                <w:sz w:val="20"/>
                <w:szCs w:val="20"/>
                <w:color w:val="auto"/>
              </w:rPr>
            </w:pPr>
            <w:r>
              <w:rPr>
                <w:rFonts w:ascii="Arial" w:cs="Arial" w:eastAsia="Arial" w:hAnsi="Arial"/>
                <w:sz w:val="14"/>
                <w:szCs w:val="14"/>
                <w:color w:val="auto"/>
              </w:rPr>
              <w:t>B</w:t>
            </w:r>
          </w:p>
        </w:tc>
        <w:tc>
          <w:tcPr>
            <w:tcW w:w="100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3.25%</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5/29/2020</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857,504</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842,443</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842,498</w:t>
            </w:r>
          </w:p>
        </w:tc>
      </w:tr>
      <w:tr>
        <w:trPr>
          <w:trHeight w:val="130"/>
        </w:trPr>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General Nutrition Centers, Inc.</w:t>
            </w:r>
          </w:p>
        </w:tc>
        <w:tc>
          <w:tcPr>
            <w:tcW w:w="19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Retailers (Except</w:t>
            </w:r>
          </w:p>
        </w:tc>
        <w:tc>
          <w:tcPr>
            <w:tcW w:w="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Amended</w:t>
            </w:r>
          </w:p>
        </w:tc>
        <w:tc>
          <w:tcPr>
            <w:tcW w:w="10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9"/>
        </w:trPr>
        <w:tc>
          <w:tcPr>
            <w:tcW w:w="2440" w:type="dxa"/>
            <w:vAlign w:val="bottom"/>
            <w:shd w:val="clear" w:color="auto" w:fill="CCEEFF"/>
          </w:tcPr>
          <w:p>
            <w:pPr>
              <w:spacing w:after="0"/>
              <w:rPr>
                <w:sz w:val="12"/>
                <w:szCs w:val="12"/>
                <w:color w:val="auto"/>
              </w:rPr>
            </w:pPr>
          </w:p>
        </w:tc>
        <w:tc>
          <w:tcPr>
            <w:tcW w:w="1920" w:type="dxa"/>
            <w:vAlign w:val="bottom"/>
            <w:shd w:val="clear" w:color="auto" w:fill="CCEEFF"/>
          </w:tcPr>
          <w:p>
            <w:pPr>
              <w:ind w:left="120"/>
              <w:spacing w:after="0" w:line="149" w:lineRule="exact"/>
              <w:rPr>
                <w:sz w:val="20"/>
                <w:szCs w:val="20"/>
                <w:color w:val="auto"/>
              </w:rPr>
            </w:pPr>
            <w:r>
              <w:rPr>
                <w:rFonts w:ascii="Arial" w:cs="Arial" w:eastAsia="Arial" w:hAnsi="Arial"/>
                <w:sz w:val="14"/>
                <w:szCs w:val="14"/>
                <w:color w:val="auto"/>
              </w:rPr>
              <w:t>Food and Drugs)</w:t>
            </w:r>
          </w:p>
        </w:tc>
        <w:tc>
          <w:tcPr>
            <w:tcW w:w="9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Tranche B</w:t>
            </w:r>
          </w:p>
        </w:tc>
        <w:tc>
          <w:tcPr>
            <w:tcW w:w="10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7"/>
        </w:trPr>
        <w:tc>
          <w:tcPr>
            <w:tcW w:w="244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Term Loan</w:t>
            </w:r>
          </w:p>
        </w:tc>
        <w:tc>
          <w:tcPr>
            <w:tcW w:w="10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3.25%</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3/4/2019</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4,732,124</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4,715,732</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4,669,424</w:t>
            </w: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Global Tel*Link Corporation</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Business Equipment</w:t>
            </w:r>
          </w:p>
        </w:tc>
        <w:tc>
          <w:tcPr>
            <w:tcW w:w="960" w:type="dxa"/>
            <w:vAlign w:val="bottom"/>
          </w:tcPr>
          <w:p>
            <w:pPr>
              <w:ind w:left="100"/>
              <w:spacing w:after="0" w:line="130" w:lineRule="exact"/>
              <w:rPr>
                <w:sz w:val="20"/>
                <w:szCs w:val="20"/>
                <w:color w:val="auto"/>
              </w:rPr>
            </w:pPr>
            <w:r>
              <w:rPr>
                <w:rFonts w:ascii="Arial" w:cs="Arial" w:eastAsia="Arial" w:hAnsi="Arial"/>
                <w:sz w:val="14"/>
                <w:szCs w:val="14"/>
                <w:color w:val="auto"/>
              </w:rPr>
              <w:t>Term Loan</w:t>
            </w:r>
          </w:p>
        </w:tc>
        <w:tc>
          <w:tcPr>
            <w:tcW w:w="100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40" w:type="dxa"/>
            <w:vAlign w:val="bottom"/>
          </w:tcPr>
          <w:p>
            <w:pPr>
              <w:spacing w:after="0"/>
              <w:rPr>
                <w:sz w:val="14"/>
                <w:szCs w:val="14"/>
                <w:color w:val="auto"/>
              </w:rPr>
            </w:pPr>
          </w:p>
        </w:tc>
        <w:tc>
          <w:tcPr>
            <w:tcW w:w="1920" w:type="dxa"/>
            <w:vAlign w:val="bottom"/>
          </w:tcPr>
          <w:p>
            <w:pPr>
              <w:ind w:left="120"/>
              <w:spacing w:after="0"/>
              <w:rPr>
                <w:sz w:val="20"/>
                <w:szCs w:val="20"/>
                <w:color w:val="auto"/>
              </w:rPr>
            </w:pPr>
            <w:r>
              <w:rPr>
                <w:rFonts w:ascii="Arial" w:cs="Arial" w:eastAsia="Arial" w:hAnsi="Arial"/>
                <w:sz w:val="14"/>
                <w:szCs w:val="14"/>
                <w:color w:val="auto"/>
              </w:rPr>
              <w:t>and Services</w:t>
            </w:r>
          </w:p>
        </w:tc>
        <w:tc>
          <w:tcPr>
            <w:tcW w:w="960" w:type="dxa"/>
            <w:vAlign w:val="bottom"/>
          </w:tcPr>
          <w:p>
            <w:pPr>
              <w:ind w:left="100"/>
              <w:spacing w:after="0"/>
              <w:rPr>
                <w:sz w:val="20"/>
                <w:szCs w:val="20"/>
                <w:color w:val="auto"/>
              </w:rPr>
            </w:pPr>
            <w:r>
              <w:rPr>
                <w:rFonts w:ascii="Arial" w:cs="Arial" w:eastAsia="Arial" w:hAnsi="Arial"/>
                <w:sz w:val="14"/>
                <w:szCs w:val="14"/>
                <w:color w:val="auto"/>
              </w:rPr>
              <w:t>(First Lien)</w:t>
            </w:r>
          </w:p>
        </w:tc>
        <w:tc>
          <w:tcPr>
            <w:tcW w:w="100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5.00%</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5/26/2020</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2,770,614</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2,761,855</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2,749,834</w:t>
            </w:r>
          </w:p>
        </w:tc>
      </w:tr>
      <w:tr>
        <w:trPr>
          <w:trHeight w:val="130"/>
        </w:trPr>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7"/>
              </w:rPr>
              <w:t>Goodyear Tire &amp; Rubber Company, The</w:t>
            </w:r>
          </w:p>
        </w:tc>
        <w:tc>
          <w:tcPr>
            <w:tcW w:w="19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Chemicals/Plastics</w:t>
            </w:r>
          </w:p>
        </w:tc>
        <w:tc>
          <w:tcPr>
            <w:tcW w:w="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0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49"/>
        </w:trPr>
        <w:tc>
          <w:tcPr>
            <w:tcW w:w="244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96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(Second</w:t>
            </w:r>
          </w:p>
        </w:tc>
        <w:tc>
          <w:tcPr>
            <w:tcW w:w="100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r>
      <w:tr>
        <w:trPr>
          <w:trHeight w:val="167"/>
        </w:trPr>
        <w:tc>
          <w:tcPr>
            <w:tcW w:w="244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Lien)</w:t>
            </w:r>
          </w:p>
        </w:tc>
        <w:tc>
          <w:tcPr>
            <w:tcW w:w="10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4.75%</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4/30/2019</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4,000,000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3,951,481</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4,006,000</w:t>
            </w: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Grosvenor Capital Management</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Brokers/Dealers/</w:t>
            </w:r>
          </w:p>
        </w:tc>
        <w:tc>
          <w:tcPr>
            <w:tcW w:w="960" w:type="dxa"/>
            <w:vAlign w:val="bottom"/>
          </w:tcPr>
          <w:p>
            <w:pPr>
              <w:ind w:left="100"/>
              <w:spacing w:after="0" w:line="130" w:lineRule="exact"/>
              <w:rPr>
                <w:sz w:val="20"/>
                <w:szCs w:val="20"/>
                <w:color w:val="auto"/>
              </w:rPr>
            </w:pPr>
            <w:r>
              <w:rPr>
                <w:rFonts w:ascii="Arial" w:cs="Arial" w:eastAsia="Arial" w:hAnsi="Arial"/>
                <w:sz w:val="14"/>
                <w:szCs w:val="14"/>
                <w:color w:val="auto"/>
              </w:rPr>
              <w:t>Initial Term</w:t>
            </w:r>
          </w:p>
        </w:tc>
        <w:tc>
          <w:tcPr>
            <w:tcW w:w="100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40" w:type="dxa"/>
            <w:vAlign w:val="bottom"/>
          </w:tcPr>
          <w:p>
            <w:pPr>
              <w:ind w:left="160"/>
              <w:spacing w:after="0"/>
              <w:rPr>
                <w:sz w:val="20"/>
                <w:szCs w:val="20"/>
                <w:color w:val="auto"/>
              </w:rPr>
            </w:pPr>
            <w:r>
              <w:rPr>
                <w:rFonts w:ascii="Arial" w:cs="Arial" w:eastAsia="Arial" w:hAnsi="Arial"/>
                <w:sz w:val="14"/>
                <w:szCs w:val="14"/>
                <w:color w:val="auto"/>
              </w:rPr>
              <w:t>Holdings, LP</w:t>
            </w:r>
          </w:p>
        </w:tc>
        <w:tc>
          <w:tcPr>
            <w:tcW w:w="1920" w:type="dxa"/>
            <w:vAlign w:val="bottom"/>
          </w:tcPr>
          <w:p>
            <w:pPr>
              <w:ind w:left="120"/>
              <w:spacing w:after="0"/>
              <w:rPr>
                <w:sz w:val="20"/>
                <w:szCs w:val="20"/>
                <w:color w:val="auto"/>
              </w:rPr>
            </w:pPr>
            <w:r>
              <w:rPr>
                <w:rFonts w:ascii="Arial" w:cs="Arial" w:eastAsia="Arial" w:hAnsi="Arial"/>
                <w:sz w:val="14"/>
                <w:szCs w:val="14"/>
                <w:color w:val="auto"/>
              </w:rPr>
              <w:t>Investment Houses</w:t>
            </w:r>
          </w:p>
        </w:tc>
        <w:tc>
          <w:tcPr>
            <w:tcW w:w="960" w:type="dxa"/>
            <w:vAlign w:val="bottom"/>
          </w:tcPr>
          <w:p>
            <w:pPr>
              <w:ind w:left="100"/>
              <w:spacing w:after="0"/>
              <w:rPr>
                <w:sz w:val="20"/>
                <w:szCs w:val="20"/>
                <w:color w:val="auto"/>
              </w:rPr>
            </w:pPr>
            <w:r>
              <w:rPr>
                <w:rFonts w:ascii="Arial" w:cs="Arial" w:eastAsia="Arial" w:hAnsi="Arial"/>
                <w:sz w:val="14"/>
                <w:szCs w:val="14"/>
                <w:color w:val="auto"/>
              </w:rPr>
              <w:t>Loan</w:t>
            </w:r>
          </w:p>
        </w:tc>
        <w:tc>
          <w:tcPr>
            <w:tcW w:w="100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3.75%</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1/4/2021</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3,482,500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3,466,019</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3,449,138</w:t>
            </w:r>
          </w:p>
        </w:tc>
      </w:tr>
      <w:tr>
        <w:trPr>
          <w:trHeight w:val="130"/>
        </w:trPr>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Harland Clarke Holdings Corp. (fka</w:t>
            </w:r>
          </w:p>
        </w:tc>
        <w:tc>
          <w:tcPr>
            <w:tcW w:w="19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Publishing</w:t>
            </w:r>
          </w:p>
        </w:tc>
        <w:tc>
          <w:tcPr>
            <w:tcW w:w="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B-4</w:t>
            </w:r>
          </w:p>
        </w:tc>
        <w:tc>
          <w:tcPr>
            <w:tcW w:w="10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2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Clarke American Corp.)</w:t>
            </w:r>
          </w:p>
        </w:tc>
        <w:tc>
          <w:tcPr>
            <w:tcW w:w="1920" w:type="dxa"/>
            <w:vAlign w:val="bottom"/>
            <w:shd w:val="clear" w:color="auto" w:fill="CCEEFF"/>
          </w:tcPr>
          <w:p>
            <w:pPr>
              <w:spacing w:after="0"/>
              <w:rPr>
                <w:sz w:val="14"/>
                <w:szCs w:val="14"/>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Term Loan</w:t>
            </w:r>
          </w:p>
        </w:tc>
        <w:tc>
          <w:tcPr>
            <w:tcW w:w="10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6.00%</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8/2/2019</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493,750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491,629</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499,922</w:t>
            </w: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HCA Inc.</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Healthcare</w:t>
            </w:r>
          </w:p>
        </w:tc>
        <w:tc>
          <w:tcPr>
            <w:tcW w:w="960" w:type="dxa"/>
            <w:vAlign w:val="bottom"/>
          </w:tcPr>
          <w:p>
            <w:pPr>
              <w:ind w:left="100"/>
              <w:spacing w:after="0" w:line="130" w:lineRule="exact"/>
              <w:rPr>
                <w:sz w:val="20"/>
                <w:szCs w:val="20"/>
                <w:color w:val="auto"/>
              </w:rPr>
            </w:pPr>
            <w:r>
              <w:rPr>
                <w:rFonts w:ascii="Arial" w:cs="Arial" w:eastAsia="Arial" w:hAnsi="Arial"/>
                <w:sz w:val="14"/>
                <w:szCs w:val="14"/>
                <w:color w:val="auto"/>
              </w:rPr>
              <w:t>Tranche B-4</w:t>
            </w:r>
          </w:p>
        </w:tc>
        <w:tc>
          <w:tcPr>
            <w:tcW w:w="100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67"/>
        </w:trPr>
        <w:tc>
          <w:tcPr>
            <w:tcW w:w="2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rPr>
              <w:t>Term Loan</w:t>
            </w:r>
          </w:p>
        </w:tc>
        <w:tc>
          <w:tcPr>
            <w:tcW w:w="100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2.94%</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5/1/2018</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5,691,680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5,400,424</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5,664,132</w:t>
            </w:r>
          </w:p>
        </w:tc>
      </w:tr>
      <w:tr>
        <w:trPr>
          <w:trHeight w:val="130"/>
        </w:trPr>
        <w:tc>
          <w:tcPr>
            <w:tcW w:w="24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Hertz Corporation, The</w:t>
            </w:r>
          </w:p>
        </w:tc>
        <w:tc>
          <w:tcPr>
            <w:tcW w:w="1920" w:type="dxa"/>
            <w:vAlign w:val="bottom"/>
            <w:shd w:val="clear" w:color="auto" w:fill="CCEEFF"/>
          </w:tcPr>
          <w:p>
            <w:pPr>
              <w:ind w:left="120"/>
              <w:spacing w:after="0" w:line="130" w:lineRule="exact"/>
              <w:rPr>
                <w:sz w:val="20"/>
                <w:szCs w:val="20"/>
                <w:color w:val="auto"/>
              </w:rPr>
            </w:pPr>
            <w:r>
              <w:rPr>
                <w:rFonts w:ascii="Arial" w:cs="Arial" w:eastAsia="Arial" w:hAnsi="Arial"/>
                <w:sz w:val="14"/>
                <w:szCs w:val="14"/>
                <w:color w:val="auto"/>
              </w:rPr>
              <w:t>Automotive</w:t>
            </w:r>
          </w:p>
        </w:tc>
        <w:tc>
          <w:tcPr>
            <w:tcW w:w="96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Tranche B-1</w:t>
            </w:r>
          </w:p>
        </w:tc>
        <w:tc>
          <w:tcPr>
            <w:tcW w:w="1000" w:type="dxa"/>
            <w:vAlign w:val="bottom"/>
            <w:shd w:val="clear" w:color="auto" w:fill="CCEEFF"/>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2440" w:type="dxa"/>
            <w:vAlign w:val="bottom"/>
            <w:shd w:val="clear" w:color="auto" w:fill="CCEEFF"/>
          </w:tcPr>
          <w:p>
            <w:pPr>
              <w:spacing w:after="0"/>
              <w:rPr>
                <w:sz w:val="14"/>
                <w:szCs w:val="14"/>
                <w:color w:val="auto"/>
              </w:rPr>
            </w:pPr>
          </w:p>
        </w:tc>
        <w:tc>
          <w:tcPr>
            <w:tcW w:w="1920" w:type="dxa"/>
            <w:vAlign w:val="bottom"/>
            <w:shd w:val="clear" w:color="auto" w:fill="CCEEFF"/>
          </w:tcPr>
          <w:p>
            <w:pPr>
              <w:spacing w:after="0"/>
              <w:rPr>
                <w:sz w:val="14"/>
                <w:szCs w:val="14"/>
                <w:color w:val="auto"/>
              </w:rPr>
            </w:pP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Term Loan</w:t>
            </w:r>
          </w:p>
        </w:tc>
        <w:tc>
          <w:tcPr>
            <w:tcW w:w="1000" w:type="dxa"/>
            <w:vAlign w:val="bottom"/>
            <w:shd w:val="clear" w:color="auto" w:fill="CCEEFF"/>
          </w:tcPr>
          <w:p>
            <w:pPr>
              <w:spacing w:after="0"/>
              <w:rPr>
                <w:sz w:val="14"/>
                <w:szCs w:val="14"/>
                <w:color w:val="auto"/>
              </w:rPr>
            </w:pP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3.75%</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3/12/2018</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2,955,000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2,989,719</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2,938,393</w:t>
            </w:r>
          </w:p>
        </w:tc>
      </w:tr>
      <w:tr>
        <w:trPr>
          <w:trHeight w:val="130"/>
        </w:trPr>
        <w:tc>
          <w:tcPr>
            <w:tcW w:w="2440" w:type="dxa"/>
            <w:vAlign w:val="bottom"/>
          </w:tcPr>
          <w:p>
            <w:pPr>
              <w:spacing w:after="0" w:line="130" w:lineRule="exact"/>
              <w:rPr>
                <w:sz w:val="20"/>
                <w:szCs w:val="20"/>
                <w:color w:val="auto"/>
              </w:rPr>
            </w:pPr>
            <w:r>
              <w:rPr>
                <w:rFonts w:ascii="Arial" w:cs="Arial" w:eastAsia="Arial" w:hAnsi="Arial"/>
                <w:sz w:val="14"/>
                <w:szCs w:val="14"/>
                <w:color w:val="auto"/>
              </w:rPr>
              <w:t>Hologic, Inc.</w:t>
            </w:r>
          </w:p>
        </w:tc>
        <w:tc>
          <w:tcPr>
            <w:tcW w:w="1920" w:type="dxa"/>
            <w:vAlign w:val="bottom"/>
          </w:tcPr>
          <w:p>
            <w:pPr>
              <w:ind w:left="120"/>
              <w:spacing w:after="0" w:line="130" w:lineRule="exact"/>
              <w:rPr>
                <w:sz w:val="20"/>
                <w:szCs w:val="20"/>
                <w:color w:val="auto"/>
              </w:rPr>
            </w:pPr>
            <w:r>
              <w:rPr>
                <w:rFonts w:ascii="Arial" w:cs="Arial" w:eastAsia="Arial" w:hAnsi="Arial"/>
                <w:sz w:val="14"/>
                <w:szCs w:val="14"/>
                <w:color w:val="auto"/>
              </w:rPr>
              <w:t>Healthcare</w:t>
            </w:r>
          </w:p>
        </w:tc>
        <w:tc>
          <w:tcPr>
            <w:tcW w:w="960" w:type="dxa"/>
            <w:vAlign w:val="bottom"/>
          </w:tcPr>
          <w:p>
            <w:pPr>
              <w:ind w:left="100"/>
              <w:spacing w:after="0" w:line="130" w:lineRule="exact"/>
              <w:rPr>
                <w:sz w:val="20"/>
                <w:szCs w:val="20"/>
                <w:color w:val="auto"/>
              </w:rPr>
            </w:pPr>
            <w:r>
              <w:rPr>
                <w:rFonts w:ascii="Arial" w:cs="Arial" w:eastAsia="Arial" w:hAnsi="Arial"/>
                <w:sz w:val="14"/>
                <w:szCs w:val="14"/>
                <w:color w:val="auto"/>
              </w:rPr>
              <w:t>Refinancing</w:t>
            </w:r>
          </w:p>
        </w:tc>
        <w:tc>
          <w:tcPr>
            <w:tcW w:w="1000" w:type="dxa"/>
            <w:vAlign w:val="bottom"/>
          </w:tcPr>
          <w:p>
            <w:pPr>
              <w:ind w:left="100"/>
              <w:spacing w:after="0" w:line="130" w:lineRule="exact"/>
              <w:rPr>
                <w:sz w:val="20"/>
                <w:szCs w:val="20"/>
                <w:color w:val="auto"/>
              </w:rPr>
            </w:pPr>
            <w:r>
              <w:rPr>
                <w:rFonts w:ascii="Arial" w:cs="Arial" w:eastAsia="Arial" w:hAnsi="Arial"/>
                <w:sz w:val="14"/>
                <w:szCs w:val="14"/>
                <w:color w:val="auto"/>
              </w:rPr>
              <w:t>Loan</w:t>
            </w:r>
          </w:p>
        </w:tc>
        <w:tc>
          <w:tcPr>
            <w:tcW w:w="12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9"/>
        </w:trPr>
        <w:tc>
          <w:tcPr>
            <w:tcW w:w="24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960" w:type="dxa"/>
            <w:vAlign w:val="bottom"/>
          </w:tcPr>
          <w:p>
            <w:pPr>
              <w:ind w:left="100"/>
              <w:spacing w:after="0" w:line="149" w:lineRule="exact"/>
              <w:rPr>
                <w:sz w:val="20"/>
                <w:szCs w:val="20"/>
                <w:color w:val="auto"/>
              </w:rPr>
            </w:pPr>
            <w:r>
              <w:rPr>
                <w:rFonts w:ascii="Arial" w:cs="Arial" w:eastAsia="Arial" w:hAnsi="Arial"/>
                <w:sz w:val="14"/>
                <w:szCs w:val="14"/>
                <w:color w:val="auto"/>
              </w:rPr>
              <w:t>Tranche A</w:t>
            </w:r>
          </w:p>
        </w:tc>
        <w:tc>
          <w:tcPr>
            <w:tcW w:w="10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7"/>
        </w:trPr>
        <w:tc>
          <w:tcPr>
            <w:tcW w:w="24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960" w:type="dxa"/>
            <w:vAlign w:val="bottom"/>
          </w:tcPr>
          <w:p>
            <w:pPr>
              <w:ind w:left="100"/>
              <w:spacing w:after="0"/>
              <w:rPr>
                <w:sz w:val="20"/>
                <w:szCs w:val="20"/>
                <w:color w:val="auto"/>
              </w:rPr>
            </w:pPr>
            <w:r>
              <w:rPr>
                <w:rFonts w:ascii="Arial" w:cs="Arial" w:eastAsia="Arial" w:hAnsi="Arial"/>
                <w:sz w:val="14"/>
                <w:szCs w:val="14"/>
                <w:color w:val="auto"/>
              </w:rPr>
              <w:t>Term Loan</w:t>
            </w:r>
          </w:p>
        </w:tc>
        <w:tc>
          <w:tcPr>
            <w:tcW w:w="1000" w:type="dxa"/>
            <w:vAlign w:val="bottom"/>
          </w:tcPr>
          <w:p>
            <w:pPr>
              <w:spacing w:after="0"/>
              <w:rPr>
                <w:sz w:val="14"/>
                <w:szCs w:val="14"/>
                <w:color w:val="auto"/>
              </w:rPr>
            </w:pPr>
          </w:p>
        </w:tc>
        <w:tc>
          <w:tcPr>
            <w:tcW w:w="1200" w:type="dxa"/>
            <w:vAlign w:val="bottom"/>
          </w:tcPr>
          <w:p>
            <w:pPr>
              <w:jc w:val="right"/>
              <w:ind w:right="168"/>
              <w:spacing w:after="0"/>
              <w:rPr>
                <w:sz w:val="20"/>
                <w:szCs w:val="20"/>
                <w:color w:val="auto"/>
              </w:rPr>
            </w:pPr>
            <w:r>
              <w:rPr>
                <w:rFonts w:ascii="Arial" w:cs="Arial" w:eastAsia="Arial" w:hAnsi="Arial"/>
                <w:sz w:val="14"/>
                <w:szCs w:val="14"/>
                <w:color w:val="auto"/>
              </w:rPr>
              <w:t>2.15%</w:t>
            </w:r>
          </w:p>
        </w:tc>
        <w:tc>
          <w:tcPr>
            <w:tcW w:w="1100" w:type="dxa"/>
            <w:vAlign w:val="bottom"/>
          </w:tcPr>
          <w:p>
            <w:pPr>
              <w:jc w:val="right"/>
              <w:ind w:right="128"/>
              <w:spacing w:after="0"/>
              <w:rPr>
                <w:sz w:val="20"/>
                <w:szCs w:val="20"/>
                <w:color w:val="auto"/>
              </w:rPr>
            </w:pPr>
            <w:r>
              <w:rPr>
                <w:rFonts w:ascii="Arial" w:cs="Arial" w:eastAsia="Arial" w:hAnsi="Arial"/>
                <w:sz w:val="14"/>
                <w:szCs w:val="14"/>
                <w:color w:val="auto"/>
              </w:rPr>
              <w:t>8/1/2017</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2,250,000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2,245,260</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2,240,865</w:t>
            </w:r>
          </w:p>
        </w:tc>
      </w:tr>
      <w:tr>
        <w:trPr>
          <w:trHeight w:val="182"/>
        </w:trPr>
        <w:tc>
          <w:tcPr>
            <w:tcW w:w="2440" w:type="dxa"/>
            <w:vAlign w:val="bottom"/>
            <w:shd w:val="clear" w:color="auto" w:fill="CCEEFF"/>
          </w:tcPr>
          <w:p>
            <w:pPr>
              <w:spacing w:after="0"/>
              <w:rPr>
                <w:sz w:val="20"/>
                <w:szCs w:val="20"/>
                <w:color w:val="auto"/>
              </w:rPr>
            </w:pPr>
            <w:r>
              <w:rPr>
                <w:rFonts w:ascii="Arial" w:cs="Arial" w:eastAsia="Arial" w:hAnsi="Arial"/>
                <w:sz w:val="14"/>
                <w:szCs w:val="14"/>
                <w:color w:val="auto"/>
              </w:rPr>
              <w:t>Hoofmaster Group, Inc.</w:t>
            </w:r>
          </w:p>
        </w:tc>
        <w:tc>
          <w:tcPr>
            <w:tcW w:w="1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Containers/Glass</w:t>
            </w:r>
          </w:p>
        </w:tc>
        <w:tc>
          <w:tcPr>
            <w:tcW w:w="9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Term Loan</w:t>
            </w:r>
          </w:p>
        </w:tc>
        <w:tc>
          <w:tcPr>
            <w:tcW w:w="1000" w:type="dxa"/>
            <w:vAlign w:val="bottom"/>
            <w:shd w:val="clear" w:color="auto" w:fill="CCEEFF"/>
          </w:tcPr>
          <w:p>
            <w:pPr>
              <w:ind w:left="100"/>
              <w:spacing w:after="0"/>
              <w:rPr>
                <w:sz w:val="20"/>
                <w:szCs w:val="20"/>
                <w:color w:val="auto"/>
              </w:rPr>
            </w:pPr>
            <w:r>
              <w:rPr>
                <w:rFonts w:ascii="Arial" w:cs="Arial" w:eastAsia="Arial" w:hAnsi="Arial"/>
                <w:sz w:val="14"/>
                <w:szCs w:val="14"/>
                <w:color w:val="auto"/>
              </w:rPr>
              <w:t>Loan</w:t>
            </w: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5.25%</w:t>
            </w:r>
          </w:p>
        </w:tc>
        <w:tc>
          <w:tcPr>
            <w:tcW w:w="11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5/8/2020</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2,000,000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1,980,684</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1,995,000</w:t>
            </w:r>
          </w:p>
        </w:tc>
      </w:tr>
      <w:tr>
        <w:trPr>
          <w:trHeight w:val="36"/>
        </w:trPr>
        <w:tc>
          <w:tcPr>
            <w:tcW w:w="2440" w:type="dxa"/>
            <w:vAlign w:val="bottom"/>
            <w:shd w:val="clear" w:color="auto" w:fill="CCEEFF"/>
          </w:tcPr>
          <w:p>
            <w:pPr>
              <w:spacing w:after="0"/>
              <w:rPr>
                <w:sz w:val="3"/>
                <w:szCs w:val="3"/>
                <w:color w:val="auto"/>
              </w:rPr>
            </w:pPr>
          </w:p>
        </w:tc>
        <w:tc>
          <w:tcPr>
            <w:tcW w:w="19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20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r>
    </w:tbl>
    <w:p>
      <w:pPr>
        <w:sectPr>
          <w:pgSz w:w="11900" w:h="16900" w:orient="portrait"/>
          <w:cols w:equalWidth="0" w:num="1">
            <w:col w:w="11420"/>
          </w:cols>
          <w:pgMar w:left="240" w:top="121" w:right="239" w:bottom="0" w:gutter="0" w:footer="0" w:header="0"/>
        </w:sectPr>
      </w:pPr>
    </w:p>
    <w:bookmarkStart w:id="27" w:name="page28"/>
    <w:bookmarkEnd w:id="2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shd w:val="clear" w:color="auto" w:fill="CCEEFF"/>
          </w:tcPr>
          <w:p>
            <w:pPr>
              <w:spacing w:after="0"/>
              <w:rPr>
                <w:sz w:val="14"/>
                <w:szCs w:val="14"/>
                <w:color w:val="auto"/>
              </w:rPr>
            </w:pPr>
          </w:p>
        </w:tc>
        <w:tc>
          <w:tcPr>
            <w:tcW w:w="1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Products</w:t>
            </w:r>
          </w:p>
        </w:tc>
        <w:tc>
          <w:tcPr>
            <w:tcW w:w="1200" w:type="dxa"/>
            <w:vAlign w:val="bottom"/>
            <w:shd w:val="clear" w:color="auto" w:fill="CCEEFF"/>
          </w:tcPr>
          <w:p>
            <w:pPr>
              <w:spacing w:after="0"/>
              <w:rPr>
                <w:sz w:val="14"/>
                <w:szCs w:val="14"/>
                <w:color w:val="auto"/>
              </w:rPr>
            </w:pPr>
          </w:p>
        </w:tc>
        <w:tc>
          <w:tcPr>
            <w:tcW w:w="2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30"/>
        </w:trPr>
        <w:tc>
          <w:tcPr>
            <w:tcW w:w="2380" w:type="dxa"/>
            <w:vAlign w:val="bottom"/>
          </w:tcPr>
          <w:p>
            <w:pPr>
              <w:spacing w:after="0" w:line="130" w:lineRule="exact"/>
              <w:rPr>
                <w:sz w:val="20"/>
                <w:szCs w:val="20"/>
                <w:color w:val="auto"/>
              </w:rPr>
            </w:pPr>
            <w:r>
              <w:rPr>
                <w:rFonts w:ascii="Arial" w:cs="Arial" w:eastAsia="Arial" w:hAnsi="Arial"/>
                <w:sz w:val="14"/>
                <w:szCs w:val="14"/>
                <w:color w:val="auto"/>
              </w:rPr>
              <w:t>Huntsman International LLC</w:t>
            </w:r>
          </w:p>
        </w:tc>
        <w:tc>
          <w:tcPr>
            <w:tcW w:w="1720" w:type="dxa"/>
            <w:vAlign w:val="bottom"/>
          </w:tcPr>
          <w:p>
            <w:pPr>
              <w:ind w:left="180"/>
              <w:spacing w:after="0" w:line="130" w:lineRule="exact"/>
              <w:rPr>
                <w:sz w:val="20"/>
                <w:szCs w:val="20"/>
                <w:color w:val="auto"/>
              </w:rPr>
            </w:pPr>
            <w:r>
              <w:rPr>
                <w:rFonts w:ascii="Arial" w:cs="Arial" w:eastAsia="Arial" w:hAnsi="Arial"/>
                <w:sz w:val="14"/>
                <w:szCs w:val="14"/>
                <w:color w:val="auto"/>
              </w:rPr>
              <w:t>Chemicals/Plastics</w:t>
            </w:r>
          </w:p>
        </w:tc>
        <w:tc>
          <w:tcPr>
            <w:tcW w:w="1200" w:type="dxa"/>
            <w:vAlign w:val="bottom"/>
          </w:tcPr>
          <w:p>
            <w:pPr>
              <w:ind w:left="360"/>
              <w:spacing w:after="0" w:line="130" w:lineRule="exact"/>
              <w:rPr>
                <w:sz w:val="20"/>
                <w:szCs w:val="20"/>
                <w:color w:val="auto"/>
              </w:rPr>
            </w:pPr>
            <w:r>
              <w:rPr>
                <w:rFonts w:ascii="Arial" w:cs="Arial" w:eastAsia="Arial" w:hAnsi="Arial"/>
                <w:sz w:val="14"/>
                <w:szCs w:val="14"/>
                <w:color w:val="auto"/>
              </w:rPr>
              <w:t>Extended</w:t>
            </w:r>
          </w:p>
        </w:tc>
        <w:tc>
          <w:tcPr>
            <w:tcW w:w="2260" w:type="dxa"/>
            <w:vAlign w:val="bottom"/>
          </w:tcPr>
          <w:p>
            <w:pPr>
              <w:jc w:val="right"/>
              <w:ind w:right="1768"/>
              <w:spacing w:after="0" w:line="130" w:lineRule="exact"/>
              <w:rPr>
                <w:sz w:val="20"/>
                <w:szCs w:val="20"/>
                <w:color w:val="auto"/>
              </w:rPr>
            </w:pPr>
            <w:r>
              <w:rPr>
                <w:rFonts w:ascii="Arial" w:cs="Arial" w:eastAsia="Arial" w:hAnsi="Arial"/>
                <w:sz w:val="14"/>
                <w:szCs w:val="14"/>
                <w:color w:val="auto"/>
              </w:rPr>
              <w:t>Loan</w:t>
            </w: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9"/>
        </w:trPr>
        <w:tc>
          <w:tcPr>
            <w:tcW w:w="23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0" w:type="dxa"/>
            <w:vAlign w:val="bottom"/>
          </w:tcPr>
          <w:p>
            <w:pPr>
              <w:ind w:left="360"/>
              <w:spacing w:after="0" w:line="149" w:lineRule="exact"/>
              <w:rPr>
                <w:sz w:val="20"/>
                <w:szCs w:val="20"/>
                <w:color w:val="auto"/>
              </w:rPr>
            </w:pPr>
            <w:r>
              <w:rPr>
                <w:rFonts w:ascii="Arial" w:cs="Arial" w:eastAsia="Arial" w:hAnsi="Arial"/>
                <w:sz w:val="14"/>
                <w:szCs w:val="14"/>
                <w:color w:val="auto"/>
              </w:rPr>
              <w:t>Term B</w:t>
            </w:r>
          </w:p>
        </w:tc>
        <w:tc>
          <w:tcPr>
            <w:tcW w:w="2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7"/>
        </w:trPr>
        <w:tc>
          <w:tcPr>
            <w:tcW w:w="2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ind w:left="360"/>
              <w:spacing w:after="0"/>
              <w:rPr>
                <w:sz w:val="20"/>
                <w:szCs w:val="20"/>
                <w:color w:val="auto"/>
              </w:rPr>
            </w:pPr>
            <w:r>
              <w:rPr>
                <w:rFonts w:ascii="Arial" w:cs="Arial" w:eastAsia="Arial" w:hAnsi="Arial"/>
                <w:sz w:val="14"/>
                <w:szCs w:val="14"/>
                <w:color w:val="auto"/>
              </w:rPr>
              <w:t>Loan</w:t>
            </w:r>
          </w:p>
        </w:tc>
        <w:tc>
          <w:tcPr>
            <w:tcW w:w="2260" w:type="dxa"/>
            <w:vAlign w:val="bottom"/>
          </w:tcPr>
          <w:p>
            <w:pPr>
              <w:jc w:val="right"/>
              <w:ind w:right="208"/>
              <w:spacing w:after="0"/>
              <w:rPr>
                <w:sz w:val="20"/>
                <w:szCs w:val="20"/>
                <w:color w:val="auto"/>
              </w:rPr>
            </w:pPr>
            <w:r>
              <w:rPr>
                <w:rFonts w:ascii="Arial" w:cs="Arial" w:eastAsia="Arial" w:hAnsi="Arial"/>
                <w:sz w:val="14"/>
                <w:szCs w:val="14"/>
                <w:color w:val="auto"/>
              </w:rPr>
              <w:t>2.69%</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4/19/2017</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3,880,270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3,852,485</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3,863,313</w:t>
            </w:r>
          </w:p>
        </w:tc>
      </w:tr>
      <w:tr>
        <w:trPr>
          <w:trHeight w:val="130"/>
        </w:trPr>
        <w:tc>
          <w:tcPr>
            <w:tcW w:w="2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Husky Injection</w:t>
            </w:r>
          </w:p>
        </w:tc>
        <w:tc>
          <w:tcPr>
            <w:tcW w:w="17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Business Equipment</w:t>
            </w:r>
          </w:p>
        </w:tc>
        <w:tc>
          <w:tcPr>
            <w:tcW w:w="120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rPr>
              <w:t>Term Loan</w:t>
            </w:r>
          </w:p>
        </w:tc>
        <w:tc>
          <w:tcPr>
            <w:tcW w:w="2260" w:type="dxa"/>
            <w:vAlign w:val="bottom"/>
            <w:shd w:val="clear" w:color="auto" w:fill="CCEEFF"/>
          </w:tcPr>
          <w:p>
            <w:pPr>
              <w:jc w:val="right"/>
              <w:ind w:right="1768"/>
              <w:spacing w:after="0" w:line="130" w:lineRule="exact"/>
              <w:rPr>
                <w:sz w:val="20"/>
                <w:szCs w:val="20"/>
                <w:color w:val="auto"/>
              </w:rPr>
            </w:pPr>
            <w:r>
              <w:rPr>
                <w:rFonts w:ascii="Arial" w:cs="Arial" w:eastAsia="Arial" w:hAnsi="Arial"/>
                <w:sz w:val="14"/>
                <w:szCs w:val="14"/>
                <w:color w:val="auto"/>
              </w:rPr>
              <w:t>Loan</w:t>
            </w:r>
          </w:p>
        </w:tc>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2380" w:type="dxa"/>
            <w:vAlign w:val="bottom"/>
            <w:shd w:val="clear" w:color="auto" w:fill="CCEEFF"/>
          </w:tcPr>
          <w:p>
            <w:pPr>
              <w:spacing w:after="0"/>
              <w:rPr>
                <w:sz w:val="14"/>
                <w:szCs w:val="14"/>
                <w:color w:val="auto"/>
              </w:rPr>
            </w:pPr>
          </w:p>
        </w:tc>
        <w:tc>
          <w:tcPr>
            <w:tcW w:w="1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and Services</w:t>
            </w:r>
          </w:p>
        </w:tc>
        <w:tc>
          <w:tcPr>
            <w:tcW w:w="1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B</w:t>
            </w:r>
          </w:p>
        </w:tc>
        <w:tc>
          <w:tcPr>
            <w:tcW w:w="22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4.25%</w:t>
            </w:r>
          </w:p>
        </w:tc>
        <w:tc>
          <w:tcPr>
            <w:tcW w:w="10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6/30/2021</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500,000</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497,075</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497,500</w:t>
            </w:r>
          </w:p>
        </w:tc>
      </w:tr>
      <w:tr>
        <w:trPr>
          <w:trHeight w:val="130"/>
        </w:trPr>
        <w:tc>
          <w:tcPr>
            <w:tcW w:w="2380" w:type="dxa"/>
            <w:vAlign w:val="bottom"/>
          </w:tcPr>
          <w:p>
            <w:pPr>
              <w:spacing w:after="0" w:line="130" w:lineRule="exact"/>
              <w:rPr>
                <w:sz w:val="20"/>
                <w:szCs w:val="20"/>
                <w:color w:val="auto"/>
              </w:rPr>
            </w:pPr>
            <w:r>
              <w:rPr>
                <w:rFonts w:ascii="Arial" w:cs="Arial" w:eastAsia="Arial" w:hAnsi="Arial"/>
                <w:sz w:val="14"/>
                <w:szCs w:val="14"/>
                <w:color w:val="auto"/>
              </w:rPr>
              <w:t>Ikaria, Inc.</w:t>
            </w:r>
          </w:p>
        </w:tc>
        <w:tc>
          <w:tcPr>
            <w:tcW w:w="1720" w:type="dxa"/>
            <w:vAlign w:val="bottom"/>
          </w:tcPr>
          <w:p>
            <w:pPr>
              <w:ind w:left="180"/>
              <w:spacing w:after="0" w:line="130" w:lineRule="exact"/>
              <w:rPr>
                <w:sz w:val="20"/>
                <w:szCs w:val="20"/>
                <w:color w:val="auto"/>
              </w:rPr>
            </w:pPr>
            <w:r>
              <w:rPr>
                <w:rFonts w:ascii="Arial" w:cs="Arial" w:eastAsia="Arial" w:hAnsi="Arial"/>
                <w:sz w:val="14"/>
                <w:szCs w:val="14"/>
                <w:color w:val="auto"/>
              </w:rPr>
              <w:t>Healthcare</w:t>
            </w:r>
          </w:p>
        </w:tc>
        <w:tc>
          <w:tcPr>
            <w:tcW w:w="1200" w:type="dxa"/>
            <w:vAlign w:val="bottom"/>
          </w:tcPr>
          <w:p>
            <w:pPr>
              <w:ind w:left="360"/>
              <w:spacing w:after="0" w:line="130" w:lineRule="exact"/>
              <w:rPr>
                <w:sz w:val="20"/>
                <w:szCs w:val="20"/>
                <w:color w:val="auto"/>
              </w:rPr>
            </w:pPr>
            <w:r>
              <w:rPr>
                <w:rFonts w:ascii="Arial" w:cs="Arial" w:eastAsia="Arial" w:hAnsi="Arial"/>
                <w:sz w:val="14"/>
                <w:szCs w:val="14"/>
                <w:color w:val="auto"/>
              </w:rPr>
              <w:t>Initial Term</w:t>
            </w:r>
          </w:p>
        </w:tc>
        <w:tc>
          <w:tcPr>
            <w:tcW w:w="2260" w:type="dxa"/>
            <w:vAlign w:val="bottom"/>
          </w:tcPr>
          <w:p>
            <w:pPr>
              <w:jc w:val="right"/>
              <w:ind w:right="1768"/>
              <w:spacing w:after="0" w:line="130" w:lineRule="exact"/>
              <w:rPr>
                <w:sz w:val="20"/>
                <w:szCs w:val="20"/>
                <w:color w:val="auto"/>
              </w:rPr>
            </w:pPr>
            <w:r>
              <w:rPr>
                <w:rFonts w:ascii="Arial" w:cs="Arial" w:eastAsia="Arial" w:hAnsi="Arial"/>
                <w:sz w:val="14"/>
                <w:szCs w:val="14"/>
                <w:color w:val="auto"/>
              </w:rPr>
              <w:t>Loan</w:t>
            </w:r>
          </w:p>
        </w:tc>
        <w:tc>
          <w:tcPr>
            <w:tcW w:w="10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60" w:type="dxa"/>
            <w:vAlign w:val="bottom"/>
          </w:tcPr>
          <w:p>
            <w:pPr>
              <w:spacing w:after="0"/>
              <w:rPr>
                <w:sz w:val="11"/>
                <w:szCs w:val="11"/>
                <w:color w:val="auto"/>
              </w:rPr>
            </w:pPr>
          </w:p>
        </w:tc>
      </w:tr>
      <w:tr>
        <w:trPr>
          <w:trHeight w:val="149"/>
        </w:trPr>
        <w:tc>
          <w:tcPr>
            <w:tcW w:w="238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200" w:type="dxa"/>
            <w:vAlign w:val="bottom"/>
          </w:tcPr>
          <w:p>
            <w:pPr>
              <w:ind w:left="360"/>
              <w:spacing w:after="0" w:line="149" w:lineRule="exact"/>
              <w:rPr>
                <w:sz w:val="20"/>
                <w:szCs w:val="20"/>
                <w:color w:val="auto"/>
              </w:rPr>
            </w:pPr>
            <w:r>
              <w:rPr>
                <w:rFonts w:ascii="Arial" w:cs="Arial" w:eastAsia="Arial" w:hAnsi="Arial"/>
                <w:sz w:val="14"/>
                <w:szCs w:val="14"/>
                <w:color w:val="auto"/>
              </w:rPr>
              <w:t>Loan (First</w:t>
            </w:r>
          </w:p>
        </w:tc>
        <w:tc>
          <w:tcPr>
            <w:tcW w:w="22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60" w:type="dxa"/>
            <w:vAlign w:val="bottom"/>
          </w:tcPr>
          <w:p>
            <w:pPr>
              <w:spacing w:after="0"/>
              <w:rPr>
                <w:sz w:val="12"/>
                <w:szCs w:val="12"/>
                <w:color w:val="auto"/>
              </w:rPr>
            </w:pPr>
          </w:p>
        </w:tc>
      </w:tr>
      <w:tr>
        <w:trPr>
          <w:trHeight w:val="167"/>
        </w:trPr>
        <w:tc>
          <w:tcPr>
            <w:tcW w:w="238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200" w:type="dxa"/>
            <w:vAlign w:val="bottom"/>
          </w:tcPr>
          <w:p>
            <w:pPr>
              <w:ind w:left="360"/>
              <w:spacing w:after="0"/>
              <w:rPr>
                <w:sz w:val="20"/>
                <w:szCs w:val="20"/>
                <w:color w:val="auto"/>
              </w:rPr>
            </w:pPr>
            <w:r>
              <w:rPr>
                <w:rFonts w:ascii="Arial" w:cs="Arial" w:eastAsia="Arial" w:hAnsi="Arial"/>
                <w:sz w:val="14"/>
                <w:szCs w:val="14"/>
                <w:color w:val="auto"/>
              </w:rPr>
              <w:t>Lien)</w:t>
            </w:r>
          </w:p>
        </w:tc>
        <w:tc>
          <w:tcPr>
            <w:tcW w:w="2260" w:type="dxa"/>
            <w:vAlign w:val="bottom"/>
          </w:tcPr>
          <w:p>
            <w:pPr>
              <w:jc w:val="right"/>
              <w:ind w:right="208"/>
              <w:spacing w:after="0"/>
              <w:rPr>
                <w:sz w:val="20"/>
                <w:szCs w:val="20"/>
                <w:color w:val="auto"/>
              </w:rPr>
            </w:pPr>
            <w:r>
              <w:rPr>
                <w:rFonts w:ascii="Arial" w:cs="Arial" w:eastAsia="Arial" w:hAnsi="Arial"/>
                <w:sz w:val="14"/>
                <w:szCs w:val="14"/>
                <w:color w:val="auto"/>
              </w:rPr>
              <w:t>5.00%</w:t>
            </w:r>
          </w:p>
        </w:tc>
        <w:tc>
          <w:tcPr>
            <w:tcW w:w="1060" w:type="dxa"/>
            <w:vAlign w:val="bottom"/>
          </w:tcPr>
          <w:p>
            <w:pPr>
              <w:jc w:val="right"/>
              <w:ind w:right="128"/>
              <w:spacing w:after="0"/>
              <w:rPr>
                <w:sz w:val="20"/>
                <w:szCs w:val="20"/>
                <w:color w:val="auto"/>
              </w:rPr>
            </w:pPr>
            <w:r>
              <w:rPr>
                <w:rFonts w:ascii="Arial" w:cs="Arial" w:eastAsia="Arial" w:hAnsi="Arial"/>
                <w:sz w:val="14"/>
                <w:szCs w:val="14"/>
                <w:color w:val="auto"/>
              </w:rPr>
              <w:t>2/12/2021</w:t>
            </w:r>
          </w:p>
        </w:tc>
        <w:tc>
          <w:tcPr>
            <w:tcW w:w="980" w:type="dxa"/>
            <w:vAlign w:val="bottom"/>
          </w:tcPr>
          <w:p>
            <w:pPr>
              <w:jc w:val="right"/>
              <w:ind w:right="128"/>
              <w:spacing w:after="0"/>
              <w:rPr>
                <w:sz w:val="20"/>
                <w:szCs w:val="20"/>
                <w:color w:val="auto"/>
              </w:rPr>
            </w:pPr>
            <w:r>
              <w:rPr>
                <w:rFonts w:ascii="Arial" w:cs="Arial" w:eastAsia="Arial" w:hAnsi="Arial"/>
                <w:sz w:val="14"/>
                <w:szCs w:val="14"/>
                <w:color w:val="auto"/>
              </w:rPr>
              <w:t>471,910</w:t>
            </w:r>
          </w:p>
        </w:tc>
        <w:tc>
          <w:tcPr>
            <w:tcW w:w="960" w:type="dxa"/>
            <w:vAlign w:val="bottom"/>
          </w:tcPr>
          <w:p>
            <w:pPr>
              <w:jc w:val="right"/>
              <w:ind w:right="128"/>
              <w:spacing w:after="0"/>
              <w:rPr>
                <w:sz w:val="20"/>
                <w:szCs w:val="20"/>
                <w:color w:val="auto"/>
              </w:rPr>
            </w:pPr>
            <w:r>
              <w:rPr>
                <w:rFonts w:ascii="Arial" w:cs="Arial" w:eastAsia="Arial" w:hAnsi="Arial"/>
                <w:sz w:val="14"/>
                <w:szCs w:val="14"/>
                <w:color w:val="auto"/>
              </w:rPr>
              <w:t>469,803</w:t>
            </w:r>
          </w:p>
        </w:tc>
        <w:tc>
          <w:tcPr>
            <w:tcW w:w="860" w:type="dxa"/>
            <w:vAlign w:val="bottom"/>
          </w:tcPr>
          <w:p>
            <w:pPr>
              <w:jc w:val="right"/>
              <w:ind w:right="8"/>
              <w:spacing w:after="0"/>
              <w:rPr>
                <w:sz w:val="20"/>
                <w:szCs w:val="20"/>
                <w:color w:val="auto"/>
              </w:rPr>
            </w:pPr>
            <w:r>
              <w:rPr>
                <w:rFonts w:ascii="Arial" w:cs="Arial" w:eastAsia="Arial" w:hAnsi="Arial"/>
                <w:sz w:val="14"/>
                <w:szCs w:val="14"/>
                <w:color w:val="auto"/>
              </w:rPr>
              <w:t>471,419</w:t>
            </w:r>
          </w:p>
        </w:tc>
      </w:tr>
      <w:tr>
        <w:trPr>
          <w:trHeight w:val="130"/>
        </w:trPr>
        <w:tc>
          <w:tcPr>
            <w:tcW w:w="23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Infor (US), Inc. (fka Lawson Software</w:t>
            </w:r>
          </w:p>
        </w:tc>
        <w:tc>
          <w:tcPr>
            <w:tcW w:w="17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Business Equipment</w:t>
            </w:r>
          </w:p>
        </w:tc>
        <w:tc>
          <w:tcPr>
            <w:tcW w:w="1200" w:type="dxa"/>
            <w:vAlign w:val="bottom"/>
            <w:shd w:val="clear" w:color="auto" w:fill="CCEEFF"/>
          </w:tcPr>
          <w:p>
            <w:pPr>
              <w:ind w:left="360"/>
              <w:spacing w:after="0" w:line="130" w:lineRule="exact"/>
              <w:rPr>
                <w:sz w:val="20"/>
                <w:szCs w:val="20"/>
                <w:color w:val="auto"/>
              </w:rPr>
            </w:pPr>
            <w:r>
              <w:rPr>
                <w:rFonts w:ascii="Arial" w:cs="Arial" w:eastAsia="Arial" w:hAnsi="Arial"/>
                <w:sz w:val="14"/>
                <w:szCs w:val="14"/>
                <w:color w:val="auto"/>
              </w:rPr>
              <w:t>Tranche B-5</w:t>
            </w:r>
          </w:p>
        </w:tc>
        <w:tc>
          <w:tcPr>
            <w:tcW w:w="2260" w:type="dxa"/>
            <w:vAlign w:val="bottom"/>
            <w:shd w:val="clear" w:color="auto" w:fill="CCEEFF"/>
          </w:tcPr>
          <w:p>
            <w:pPr>
              <w:jc w:val="right"/>
              <w:ind w:right="1768"/>
              <w:spacing w:after="0" w:line="130" w:lineRule="exact"/>
              <w:rPr>
                <w:sz w:val="20"/>
                <w:szCs w:val="20"/>
                <w:color w:val="auto"/>
              </w:rPr>
            </w:pPr>
            <w:r>
              <w:rPr>
                <w:rFonts w:ascii="Arial" w:cs="Arial" w:eastAsia="Arial" w:hAnsi="Arial"/>
                <w:sz w:val="14"/>
                <w:szCs w:val="14"/>
                <w:color w:val="auto"/>
              </w:rPr>
              <w:t>Loan</w:t>
            </w:r>
          </w:p>
        </w:tc>
        <w:tc>
          <w:tcPr>
            <w:tcW w:w="10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r>
      <w:tr>
        <w:trPr>
          <w:trHeight w:val="167"/>
        </w:trPr>
        <w:tc>
          <w:tcPr>
            <w:tcW w:w="23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Inc.)</w:t>
            </w:r>
          </w:p>
        </w:tc>
        <w:tc>
          <w:tcPr>
            <w:tcW w:w="1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and Services</w:t>
            </w:r>
          </w:p>
        </w:tc>
        <w:tc>
          <w:tcPr>
            <w:tcW w:w="120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Term Loan</w:t>
            </w:r>
          </w:p>
        </w:tc>
        <w:tc>
          <w:tcPr>
            <w:tcW w:w="2260" w:type="dxa"/>
            <w:vAlign w:val="bottom"/>
            <w:shd w:val="clear" w:color="auto" w:fill="CCEEFF"/>
          </w:tcPr>
          <w:p>
            <w:pPr>
              <w:jc w:val="right"/>
              <w:ind w:right="208"/>
              <w:spacing w:after="0"/>
              <w:rPr>
                <w:sz w:val="20"/>
                <w:szCs w:val="20"/>
                <w:color w:val="auto"/>
              </w:rPr>
            </w:pPr>
            <w:r>
              <w:rPr>
                <w:rFonts w:ascii="Arial" w:cs="Arial" w:eastAsia="Arial" w:hAnsi="Arial"/>
                <w:sz w:val="14"/>
                <w:szCs w:val="14"/>
                <w:color w:val="auto"/>
              </w:rPr>
              <w:t>3.75%</w:t>
            </w:r>
          </w:p>
        </w:tc>
        <w:tc>
          <w:tcPr>
            <w:tcW w:w="10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6/30/2020</w:t>
            </w:r>
          </w:p>
        </w:tc>
        <w:tc>
          <w:tcPr>
            <w:tcW w:w="98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2,222,406</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2,203,207</w:t>
            </w:r>
          </w:p>
        </w:tc>
        <w:tc>
          <w:tcPr>
            <w:tcW w:w="8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2,188,514</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27" w:right="239" w:bottom="1440" w:gutter="0" w:footer="0" w:header="0"/>
        </w:sectPr>
      </w:pPr>
    </w:p>
    <w:bookmarkStart w:id="28" w:name="page29"/>
    <w:bookmarkEnd w:id="28"/>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rPr>
              <w:t>J. Crew Group, Inc.</w:t>
            </w:r>
          </w:p>
        </w:tc>
        <w:tc>
          <w:tcPr>
            <w:tcW w:w="1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Retailers (Except</w:t>
            </w: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Term B-1</w:t>
            </w:r>
          </w:p>
        </w:tc>
        <w:tc>
          <w:tcPr>
            <w:tcW w:w="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w:t>
            </w:r>
          </w:p>
        </w:tc>
        <w:tc>
          <w:tcPr>
            <w:tcW w:w="8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r>
      <w:tr>
        <w:trPr>
          <w:trHeight w:val="149"/>
        </w:trPr>
        <w:tc>
          <w:tcPr>
            <w:tcW w:w="2680" w:type="dxa"/>
            <w:vAlign w:val="bottom"/>
            <w:shd w:val="clear" w:color="auto" w:fill="CCEEFF"/>
          </w:tcPr>
          <w:p>
            <w:pPr>
              <w:spacing w:after="0"/>
              <w:rPr>
                <w:sz w:val="12"/>
                <w:szCs w:val="12"/>
                <w:color w:val="auto"/>
              </w:rPr>
            </w:pPr>
          </w:p>
        </w:tc>
        <w:tc>
          <w:tcPr>
            <w:tcW w:w="1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Food and Drugs)</w:t>
            </w:r>
          </w:p>
        </w:tc>
        <w:tc>
          <w:tcPr>
            <w:tcW w:w="1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Loan Retired</w:t>
            </w:r>
          </w:p>
        </w:tc>
        <w:tc>
          <w:tcPr>
            <w:tcW w:w="7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03/05/2014</w:t>
            </w: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4.00%</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3/5/2021</w:t>
            </w:r>
          </w:p>
        </w:tc>
        <w:tc>
          <w:tcPr>
            <w:tcW w:w="11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970,069</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970,068</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939,269</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Jazz Acquisition</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Aerospace and</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First Lien</w:t>
            </w:r>
          </w:p>
        </w:tc>
        <w:tc>
          <w:tcPr>
            <w:tcW w:w="70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ind w:left="200"/>
              <w:spacing w:after="0"/>
              <w:rPr>
                <w:sz w:val="20"/>
                <w:szCs w:val="20"/>
                <w:color w:val="auto"/>
              </w:rPr>
            </w:pPr>
            <w:r>
              <w:rPr>
                <w:rFonts w:ascii="Arial" w:cs="Arial" w:eastAsia="Arial" w:hAnsi="Arial"/>
                <w:sz w:val="14"/>
                <w:szCs w:val="14"/>
                <w:color w:val="auto"/>
              </w:rPr>
              <w:t>Defense</w:t>
            </w:r>
          </w:p>
        </w:tc>
        <w:tc>
          <w:tcPr>
            <w:tcW w:w="1120" w:type="dxa"/>
            <w:vAlign w:val="bottom"/>
          </w:tcPr>
          <w:p>
            <w:pPr>
              <w:ind w:left="180"/>
              <w:spacing w:after="0"/>
              <w:rPr>
                <w:sz w:val="20"/>
                <w:szCs w:val="20"/>
                <w:color w:val="auto"/>
              </w:rPr>
            </w:pPr>
            <w:r>
              <w:rPr>
                <w:rFonts w:ascii="Arial" w:cs="Arial" w:eastAsia="Arial" w:hAnsi="Arial"/>
                <w:sz w:val="14"/>
                <w:szCs w:val="14"/>
                <w:color w:val="auto"/>
              </w:rPr>
              <w:t>6/14</w:t>
            </w:r>
          </w:p>
        </w:tc>
        <w:tc>
          <w:tcPr>
            <w:tcW w:w="7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4.50%</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6/19/2021</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500,000</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498,754</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497,500</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JFB Firth Rixson Inc.</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Industrial</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2013</w:t>
            </w:r>
          </w:p>
        </w:tc>
        <w:tc>
          <w:tcPr>
            <w:tcW w:w="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49"/>
        </w:trPr>
        <w:tc>
          <w:tcPr>
            <w:tcW w:w="2680" w:type="dxa"/>
            <w:vAlign w:val="bottom"/>
            <w:shd w:val="clear" w:color="auto" w:fill="CCEEFF"/>
          </w:tcPr>
          <w:p>
            <w:pPr>
              <w:spacing w:after="0"/>
              <w:rPr>
                <w:sz w:val="12"/>
                <w:szCs w:val="12"/>
                <w:color w:val="auto"/>
              </w:rPr>
            </w:pPr>
          </w:p>
        </w:tc>
        <w:tc>
          <w:tcPr>
            <w:tcW w:w="1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Equipment</w:t>
            </w:r>
          </w:p>
        </w:tc>
        <w:tc>
          <w:tcPr>
            <w:tcW w:w="1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Replacement</w:t>
            </w:r>
          </w:p>
        </w:tc>
        <w:tc>
          <w:tcPr>
            <w:tcW w:w="7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9"/>
        </w:trPr>
        <w:tc>
          <w:tcPr>
            <w:tcW w:w="26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Dollar Term</w:t>
            </w:r>
          </w:p>
        </w:tc>
        <w:tc>
          <w:tcPr>
            <w:tcW w:w="7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49"/>
        </w:trPr>
        <w:tc>
          <w:tcPr>
            <w:tcW w:w="26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Facility</w:t>
            </w:r>
          </w:p>
        </w:tc>
        <w:tc>
          <w:tcPr>
            <w:tcW w:w="7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4.25%</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6/30/2017</w:t>
            </w:r>
          </w:p>
        </w:tc>
        <w:tc>
          <w:tcPr>
            <w:tcW w:w="11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2,551,360</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2,541,993</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2,548,170</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Kinetic Concepts, Inc.</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Healthcare</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Dollar Term</w:t>
            </w:r>
          </w:p>
        </w:tc>
        <w:tc>
          <w:tcPr>
            <w:tcW w:w="70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4"/>
                <w:szCs w:val="14"/>
                <w:color w:val="auto"/>
              </w:rPr>
              <w:t>D-1 Loan</w:t>
            </w:r>
          </w:p>
        </w:tc>
        <w:tc>
          <w:tcPr>
            <w:tcW w:w="7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4.00%</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5/4/2018</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487,607</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472,811</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485,778</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Koosharem, LLC</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Business Equipment</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Term Loan</w:t>
            </w:r>
          </w:p>
        </w:tc>
        <w:tc>
          <w:tcPr>
            <w:tcW w:w="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and Services</w:t>
            </w:r>
          </w:p>
        </w:tc>
        <w:tc>
          <w:tcPr>
            <w:tcW w:w="1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7.50%</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4/29/2020</w:t>
            </w:r>
          </w:p>
        </w:tc>
        <w:tc>
          <w:tcPr>
            <w:tcW w:w="11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1,000,000</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992,822</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1,004,380</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La Quinta Holdings, Inc.</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Lodging &amp; Casinos</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Loan</w:t>
            </w:r>
          </w:p>
        </w:tc>
        <w:tc>
          <w:tcPr>
            <w:tcW w:w="70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4"/>
                <w:szCs w:val="14"/>
                <w:color w:val="auto"/>
              </w:rPr>
              <w:t>(First Lien)</w:t>
            </w:r>
          </w:p>
        </w:tc>
        <w:tc>
          <w:tcPr>
            <w:tcW w:w="7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4.00%</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4/14/2021</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480,952</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478,688</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477,648</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Mauser Holdings, Inc.</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Containers/Glass</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Term Loan</w:t>
            </w:r>
          </w:p>
        </w:tc>
        <w:tc>
          <w:tcPr>
            <w:tcW w:w="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Products</w:t>
            </w:r>
          </w:p>
        </w:tc>
        <w:tc>
          <w:tcPr>
            <w:tcW w:w="1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4.50%</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8/2/2021</w:t>
            </w:r>
          </w:p>
        </w:tc>
        <w:tc>
          <w:tcPr>
            <w:tcW w:w="11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500,000</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497,526</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496,250</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Michaels Stores, Inc.</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Retailers (Except</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B</w:t>
            </w:r>
          </w:p>
        </w:tc>
        <w:tc>
          <w:tcPr>
            <w:tcW w:w="70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ind w:left="200"/>
              <w:spacing w:after="0"/>
              <w:rPr>
                <w:sz w:val="20"/>
                <w:szCs w:val="20"/>
                <w:color w:val="auto"/>
              </w:rPr>
            </w:pPr>
            <w:r>
              <w:rPr>
                <w:rFonts w:ascii="Arial" w:cs="Arial" w:eastAsia="Arial" w:hAnsi="Arial"/>
                <w:sz w:val="14"/>
                <w:szCs w:val="14"/>
                <w:color w:val="auto"/>
              </w:rPr>
              <w:t>Food and Drugs)</w:t>
            </w:r>
          </w:p>
        </w:tc>
        <w:tc>
          <w:tcPr>
            <w:tcW w:w="1120" w:type="dxa"/>
            <w:vAlign w:val="bottom"/>
          </w:tcPr>
          <w:p>
            <w:pPr>
              <w:ind w:left="180"/>
              <w:spacing w:after="0"/>
              <w:rPr>
                <w:sz w:val="20"/>
                <w:szCs w:val="20"/>
                <w:color w:val="auto"/>
              </w:rPr>
            </w:pPr>
            <w:r>
              <w:rPr>
                <w:rFonts w:ascii="Arial" w:cs="Arial" w:eastAsia="Arial" w:hAnsi="Arial"/>
                <w:sz w:val="14"/>
                <w:szCs w:val="14"/>
                <w:color w:val="auto"/>
              </w:rPr>
              <w:t>Loan</w:t>
            </w:r>
          </w:p>
        </w:tc>
        <w:tc>
          <w:tcPr>
            <w:tcW w:w="7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3.75%</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1/28/2020</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493,750</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493,750</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488,284</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Michaels Stores, Inc.</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Retailers (Except</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Term Loan</w:t>
            </w:r>
          </w:p>
        </w:tc>
        <w:tc>
          <w:tcPr>
            <w:tcW w:w="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Food and Drugs)</w:t>
            </w: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B-2</w:t>
            </w: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3.75%</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1/28/2020</w:t>
            </w:r>
          </w:p>
        </w:tc>
        <w:tc>
          <w:tcPr>
            <w:tcW w:w="11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500,000</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497,573</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495,940</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Microsemi Corporation</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Electronics/Electric</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Incremental</w:t>
            </w:r>
          </w:p>
        </w:tc>
        <w:tc>
          <w:tcPr>
            <w:tcW w:w="70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4"/>
                <w:szCs w:val="14"/>
                <w:color w:val="auto"/>
              </w:rPr>
              <w:t>Term Loan</w:t>
            </w:r>
          </w:p>
        </w:tc>
        <w:tc>
          <w:tcPr>
            <w:tcW w:w="7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3.50%</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2/19/2020</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2,393,981</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2,389,500</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2,376,027</w:t>
            </w:r>
          </w:p>
        </w:tc>
      </w:tr>
      <w:tr>
        <w:trPr>
          <w:trHeight w:val="149"/>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Microsemi Corporation</w:t>
            </w:r>
          </w:p>
        </w:tc>
        <w:tc>
          <w:tcPr>
            <w:tcW w:w="1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Electronics/Electric</w:t>
            </w:r>
          </w:p>
        </w:tc>
        <w:tc>
          <w:tcPr>
            <w:tcW w:w="1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w:t>
            </w:r>
          </w:p>
        </w:tc>
        <w:tc>
          <w:tcPr>
            <w:tcW w:w="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Loan</w:t>
            </w:r>
          </w:p>
        </w:tc>
        <w:tc>
          <w:tcPr>
            <w:tcW w:w="8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3.75%</w:t>
            </w:r>
          </w:p>
        </w:tc>
        <w:tc>
          <w:tcPr>
            <w:tcW w:w="11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2/19/2020</w:t>
            </w:r>
          </w:p>
        </w:tc>
        <w:tc>
          <w:tcPr>
            <w:tcW w:w="116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172,170</w:t>
            </w:r>
          </w:p>
        </w:tc>
        <w:tc>
          <w:tcPr>
            <w:tcW w:w="126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172,170</w:t>
            </w:r>
          </w:p>
        </w:tc>
        <w:tc>
          <w:tcPr>
            <w:tcW w:w="10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171,524</w:t>
            </w: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Millenium Laboratories</w:t>
            </w:r>
          </w:p>
        </w:tc>
        <w:tc>
          <w:tcPr>
            <w:tcW w:w="1560" w:type="dxa"/>
            <w:vAlign w:val="bottom"/>
          </w:tcPr>
          <w:p>
            <w:pPr>
              <w:ind w:left="200"/>
              <w:spacing w:after="0" w:line="149" w:lineRule="exact"/>
              <w:rPr>
                <w:sz w:val="20"/>
                <w:szCs w:val="20"/>
                <w:color w:val="auto"/>
              </w:rPr>
            </w:pPr>
            <w:r>
              <w:rPr>
                <w:rFonts w:ascii="Arial" w:cs="Arial" w:eastAsia="Arial" w:hAnsi="Arial"/>
                <w:sz w:val="14"/>
                <w:szCs w:val="14"/>
                <w:color w:val="auto"/>
              </w:rPr>
              <w:t>Drugs</w:t>
            </w:r>
          </w:p>
        </w:tc>
        <w:tc>
          <w:tcPr>
            <w:tcW w:w="1120" w:type="dxa"/>
            <w:vAlign w:val="bottom"/>
          </w:tcPr>
          <w:p>
            <w:pPr>
              <w:ind w:left="180"/>
              <w:spacing w:after="0" w:line="149" w:lineRule="exact"/>
              <w:rPr>
                <w:sz w:val="20"/>
                <w:szCs w:val="20"/>
                <w:color w:val="auto"/>
              </w:rPr>
            </w:pPr>
            <w:r>
              <w:rPr>
                <w:rFonts w:ascii="Arial" w:cs="Arial" w:eastAsia="Arial" w:hAnsi="Arial"/>
                <w:sz w:val="14"/>
                <w:szCs w:val="14"/>
                <w:color w:val="auto"/>
              </w:rPr>
              <w:t>Term Loan</w:t>
            </w:r>
          </w:p>
        </w:tc>
        <w:tc>
          <w:tcPr>
            <w:tcW w:w="700" w:type="dxa"/>
            <w:vAlign w:val="bottom"/>
          </w:tcPr>
          <w:p>
            <w:pPr>
              <w:ind w:left="180"/>
              <w:spacing w:after="0" w:line="149" w:lineRule="exact"/>
              <w:rPr>
                <w:sz w:val="20"/>
                <w:szCs w:val="20"/>
                <w:color w:val="auto"/>
              </w:rPr>
            </w:pPr>
            <w:r>
              <w:rPr>
                <w:rFonts w:ascii="Arial" w:cs="Arial" w:eastAsia="Arial" w:hAnsi="Arial"/>
                <w:sz w:val="14"/>
                <w:szCs w:val="14"/>
                <w:color w:val="auto"/>
              </w:rPr>
              <w:t>Loan</w:t>
            </w:r>
          </w:p>
        </w:tc>
        <w:tc>
          <w:tcPr>
            <w:tcW w:w="8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5.25%</w:t>
            </w:r>
          </w:p>
        </w:tc>
        <w:tc>
          <w:tcPr>
            <w:tcW w:w="11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4/16/2021</w:t>
            </w:r>
          </w:p>
        </w:tc>
        <w:tc>
          <w:tcPr>
            <w:tcW w:w="11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1,500,000</w:t>
            </w:r>
          </w:p>
        </w:tc>
        <w:tc>
          <w:tcPr>
            <w:tcW w:w="12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1,485,513</w:t>
            </w:r>
          </w:p>
        </w:tc>
        <w:tc>
          <w:tcPr>
            <w:tcW w:w="1000" w:type="dxa"/>
            <w:vAlign w:val="bottom"/>
          </w:tcPr>
          <w:p>
            <w:pPr>
              <w:jc w:val="right"/>
              <w:ind w:right="8"/>
              <w:spacing w:after="0" w:line="149" w:lineRule="exact"/>
              <w:rPr>
                <w:sz w:val="20"/>
                <w:szCs w:val="20"/>
                <w:color w:val="auto"/>
              </w:rPr>
            </w:pPr>
            <w:r>
              <w:rPr>
                <w:rFonts w:ascii="Arial" w:cs="Arial" w:eastAsia="Arial" w:hAnsi="Arial"/>
                <w:sz w:val="14"/>
                <w:szCs w:val="14"/>
                <w:color w:val="auto"/>
              </w:rPr>
              <w:t>1,492,500</w:t>
            </w:r>
          </w:p>
        </w:tc>
      </w:tr>
      <w:tr>
        <w:trPr>
          <w:trHeight w:val="149"/>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Mitel US Holdings, Inc.</w:t>
            </w:r>
          </w:p>
        </w:tc>
        <w:tc>
          <w:tcPr>
            <w:tcW w:w="1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Telecommunications</w:t>
            </w:r>
          </w:p>
        </w:tc>
        <w:tc>
          <w:tcPr>
            <w:tcW w:w="1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w:t>
            </w:r>
          </w:p>
        </w:tc>
        <w:tc>
          <w:tcPr>
            <w:tcW w:w="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Loan</w:t>
            </w:r>
          </w:p>
        </w:tc>
        <w:tc>
          <w:tcPr>
            <w:tcW w:w="8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5.25%</w:t>
            </w:r>
          </w:p>
        </w:tc>
        <w:tc>
          <w:tcPr>
            <w:tcW w:w="11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1/31/2020</w:t>
            </w:r>
          </w:p>
        </w:tc>
        <w:tc>
          <w:tcPr>
            <w:tcW w:w="116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214,164</w:t>
            </w:r>
          </w:p>
        </w:tc>
        <w:tc>
          <w:tcPr>
            <w:tcW w:w="126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213,177</w:t>
            </w:r>
          </w:p>
        </w:tc>
        <w:tc>
          <w:tcPr>
            <w:tcW w:w="10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214,431</w:t>
            </w: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MPH Acquisition Holdings LLC</w:t>
            </w:r>
          </w:p>
        </w:tc>
        <w:tc>
          <w:tcPr>
            <w:tcW w:w="1560" w:type="dxa"/>
            <w:vAlign w:val="bottom"/>
          </w:tcPr>
          <w:p>
            <w:pPr>
              <w:ind w:left="200"/>
              <w:spacing w:after="0" w:line="149" w:lineRule="exact"/>
              <w:rPr>
                <w:sz w:val="20"/>
                <w:szCs w:val="20"/>
                <w:color w:val="auto"/>
              </w:rPr>
            </w:pPr>
            <w:r>
              <w:rPr>
                <w:rFonts w:ascii="Arial" w:cs="Arial" w:eastAsia="Arial" w:hAnsi="Arial"/>
                <w:sz w:val="14"/>
                <w:szCs w:val="14"/>
                <w:color w:val="auto"/>
              </w:rPr>
              <w:t>Health Insurance</w:t>
            </w:r>
          </w:p>
        </w:tc>
        <w:tc>
          <w:tcPr>
            <w:tcW w:w="1120" w:type="dxa"/>
            <w:vAlign w:val="bottom"/>
          </w:tcPr>
          <w:p>
            <w:pPr>
              <w:ind w:left="180"/>
              <w:spacing w:after="0" w:line="149" w:lineRule="exact"/>
              <w:rPr>
                <w:sz w:val="20"/>
                <w:szCs w:val="20"/>
                <w:color w:val="auto"/>
              </w:rPr>
            </w:pPr>
            <w:r>
              <w:rPr>
                <w:rFonts w:ascii="Arial" w:cs="Arial" w:eastAsia="Arial" w:hAnsi="Arial"/>
                <w:sz w:val="14"/>
                <w:szCs w:val="14"/>
                <w:color w:val="auto"/>
              </w:rPr>
              <w:t>Term Loan</w:t>
            </w:r>
          </w:p>
        </w:tc>
        <w:tc>
          <w:tcPr>
            <w:tcW w:w="700" w:type="dxa"/>
            <w:vAlign w:val="bottom"/>
          </w:tcPr>
          <w:p>
            <w:pPr>
              <w:ind w:left="180"/>
              <w:spacing w:after="0" w:line="149" w:lineRule="exact"/>
              <w:rPr>
                <w:sz w:val="20"/>
                <w:szCs w:val="20"/>
                <w:color w:val="auto"/>
              </w:rPr>
            </w:pPr>
            <w:r>
              <w:rPr>
                <w:rFonts w:ascii="Arial" w:cs="Arial" w:eastAsia="Arial" w:hAnsi="Arial"/>
                <w:sz w:val="14"/>
                <w:szCs w:val="14"/>
                <w:color w:val="auto"/>
              </w:rPr>
              <w:t>Loan</w:t>
            </w:r>
          </w:p>
        </w:tc>
        <w:tc>
          <w:tcPr>
            <w:tcW w:w="8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4.00%</w:t>
            </w:r>
          </w:p>
        </w:tc>
        <w:tc>
          <w:tcPr>
            <w:tcW w:w="11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3/31/2021</w:t>
            </w:r>
          </w:p>
        </w:tc>
        <w:tc>
          <w:tcPr>
            <w:tcW w:w="11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486,364</w:t>
            </w:r>
          </w:p>
        </w:tc>
        <w:tc>
          <w:tcPr>
            <w:tcW w:w="12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485,222</w:t>
            </w:r>
          </w:p>
        </w:tc>
        <w:tc>
          <w:tcPr>
            <w:tcW w:w="10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482,628</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MSC Software Corp.</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Business Equipment</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Term Loan</w:t>
            </w:r>
          </w:p>
        </w:tc>
        <w:tc>
          <w:tcPr>
            <w:tcW w:w="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and Services</w:t>
            </w:r>
          </w:p>
        </w:tc>
        <w:tc>
          <w:tcPr>
            <w:tcW w:w="1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4.00%</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5/29/2020</w:t>
            </w:r>
          </w:p>
        </w:tc>
        <w:tc>
          <w:tcPr>
            <w:tcW w:w="11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1,000,000</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990,321</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1,001,250</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National CineMedia, LLC</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Leisure Goods/</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Loan</w:t>
            </w:r>
          </w:p>
        </w:tc>
        <w:tc>
          <w:tcPr>
            <w:tcW w:w="70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ind w:left="200"/>
              <w:spacing w:after="0"/>
              <w:rPr>
                <w:sz w:val="20"/>
                <w:szCs w:val="20"/>
                <w:color w:val="auto"/>
              </w:rPr>
            </w:pPr>
            <w:r>
              <w:rPr>
                <w:rFonts w:ascii="Arial" w:cs="Arial" w:eastAsia="Arial" w:hAnsi="Arial"/>
                <w:sz w:val="14"/>
                <w:szCs w:val="14"/>
                <w:color w:val="auto"/>
              </w:rPr>
              <w:t>Activities/Movies</w:t>
            </w:r>
          </w:p>
        </w:tc>
        <w:tc>
          <w:tcPr>
            <w:tcW w:w="1120" w:type="dxa"/>
            <w:vAlign w:val="bottom"/>
          </w:tcPr>
          <w:p>
            <w:pPr>
              <w:ind w:left="180"/>
              <w:spacing w:after="0"/>
              <w:rPr>
                <w:sz w:val="20"/>
                <w:szCs w:val="20"/>
                <w:color w:val="auto"/>
              </w:rPr>
            </w:pPr>
            <w:r>
              <w:rPr>
                <w:rFonts w:ascii="Arial" w:cs="Arial" w:eastAsia="Arial" w:hAnsi="Arial"/>
                <w:sz w:val="14"/>
                <w:szCs w:val="14"/>
                <w:color w:val="auto"/>
              </w:rPr>
              <w:t>(2013)</w:t>
            </w:r>
          </w:p>
        </w:tc>
        <w:tc>
          <w:tcPr>
            <w:tcW w:w="7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2.95%</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11/26/2019</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1,086,207</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1,056,330</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1,064,483</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National Veterinary Associates</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Healthcare</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Term Loan</w:t>
            </w:r>
          </w:p>
        </w:tc>
        <w:tc>
          <w:tcPr>
            <w:tcW w:w="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w:t>
            </w: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4.75%</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8/14/2021</w:t>
            </w:r>
          </w:p>
        </w:tc>
        <w:tc>
          <w:tcPr>
            <w:tcW w:w="11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1,000,000</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995,094</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1,002,500</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National Vision, Inc.</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Retailers (Except</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Loan</w:t>
            </w:r>
          </w:p>
        </w:tc>
        <w:tc>
          <w:tcPr>
            <w:tcW w:w="70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49"/>
        </w:trPr>
        <w:tc>
          <w:tcPr>
            <w:tcW w:w="2680" w:type="dxa"/>
            <w:vAlign w:val="bottom"/>
          </w:tcPr>
          <w:p>
            <w:pPr>
              <w:spacing w:after="0"/>
              <w:rPr>
                <w:sz w:val="12"/>
                <w:szCs w:val="12"/>
                <w:color w:val="auto"/>
              </w:rPr>
            </w:pPr>
          </w:p>
        </w:tc>
        <w:tc>
          <w:tcPr>
            <w:tcW w:w="1560" w:type="dxa"/>
            <w:vAlign w:val="bottom"/>
          </w:tcPr>
          <w:p>
            <w:pPr>
              <w:ind w:left="200"/>
              <w:spacing w:after="0" w:line="149" w:lineRule="exact"/>
              <w:rPr>
                <w:sz w:val="20"/>
                <w:szCs w:val="20"/>
                <w:color w:val="auto"/>
              </w:rPr>
            </w:pPr>
            <w:r>
              <w:rPr>
                <w:rFonts w:ascii="Arial" w:cs="Arial" w:eastAsia="Arial" w:hAnsi="Arial"/>
                <w:sz w:val="14"/>
                <w:szCs w:val="14"/>
                <w:color w:val="auto"/>
              </w:rPr>
              <w:t>Food and Drugs)</w:t>
            </w:r>
          </w:p>
        </w:tc>
        <w:tc>
          <w:tcPr>
            <w:tcW w:w="1120" w:type="dxa"/>
            <w:vAlign w:val="bottom"/>
          </w:tcPr>
          <w:p>
            <w:pPr>
              <w:ind w:left="180"/>
              <w:spacing w:after="0" w:line="149" w:lineRule="exact"/>
              <w:rPr>
                <w:sz w:val="20"/>
                <w:szCs w:val="20"/>
                <w:color w:val="auto"/>
              </w:rPr>
            </w:pPr>
            <w:r>
              <w:rPr>
                <w:rFonts w:ascii="Arial" w:cs="Arial" w:eastAsia="Arial" w:hAnsi="Arial"/>
                <w:sz w:val="14"/>
                <w:szCs w:val="14"/>
                <w:color w:val="auto"/>
              </w:rPr>
              <w:t>(Second</w:t>
            </w: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4"/>
                <w:szCs w:val="14"/>
                <w:color w:val="auto"/>
              </w:rPr>
              <w:t>Lien)</w:t>
            </w:r>
          </w:p>
        </w:tc>
        <w:tc>
          <w:tcPr>
            <w:tcW w:w="7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6.75%</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3/11/2022</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250,000</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249,690</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244,063</w:t>
            </w:r>
          </w:p>
        </w:tc>
      </w:tr>
      <w:tr>
        <w:trPr>
          <w:trHeight w:val="149"/>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Newsday, LLC</w:t>
            </w:r>
          </w:p>
        </w:tc>
        <w:tc>
          <w:tcPr>
            <w:tcW w:w="1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Publishing</w:t>
            </w:r>
          </w:p>
        </w:tc>
        <w:tc>
          <w:tcPr>
            <w:tcW w:w="1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w:t>
            </w:r>
          </w:p>
        </w:tc>
        <w:tc>
          <w:tcPr>
            <w:tcW w:w="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Loan</w:t>
            </w:r>
          </w:p>
        </w:tc>
        <w:tc>
          <w:tcPr>
            <w:tcW w:w="8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3.69%</w:t>
            </w:r>
          </w:p>
        </w:tc>
        <w:tc>
          <w:tcPr>
            <w:tcW w:w="11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10/12/2016</w:t>
            </w:r>
          </w:p>
        </w:tc>
        <w:tc>
          <w:tcPr>
            <w:tcW w:w="116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2,215,385</w:t>
            </w:r>
          </w:p>
        </w:tc>
        <w:tc>
          <w:tcPr>
            <w:tcW w:w="126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2,213,965</w:t>
            </w:r>
          </w:p>
        </w:tc>
        <w:tc>
          <w:tcPr>
            <w:tcW w:w="10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2,215,385</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Nortek, Inc.</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Electronics/Electric</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B</w:t>
            </w:r>
          </w:p>
        </w:tc>
        <w:tc>
          <w:tcPr>
            <w:tcW w:w="70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4"/>
                <w:szCs w:val="14"/>
                <w:color w:val="auto"/>
              </w:rPr>
              <w:t>Loan</w:t>
            </w:r>
          </w:p>
        </w:tc>
        <w:tc>
          <w:tcPr>
            <w:tcW w:w="7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3.75%</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10/30/2020</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1,000,000</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997,657</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994,170</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Novelis, Inc.</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Conglomerate</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Initial Term</w:t>
            </w:r>
          </w:p>
        </w:tc>
        <w:tc>
          <w:tcPr>
            <w:tcW w:w="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3.75%</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3/10/2017</w:t>
            </w:r>
          </w:p>
        </w:tc>
        <w:tc>
          <w:tcPr>
            <w:tcW w:w="11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4,832,525</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4,844,857</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4,820,444</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NPC International, Inc.</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Food Services</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Loan</w:t>
            </w:r>
          </w:p>
        </w:tc>
        <w:tc>
          <w:tcPr>
            <w:tcW w:w="70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4"/>
                <w:szCs w:val="14"/>
                <w:color w:val="auto"/>
              </w:rPr>
              <w:t>(2013)</w:t>
            </w:r>
          </w:p>
        </w:tc>
        <w:tc>
          <w:tcPr>
            <w:tcW w:w="7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4.00%</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12/28/2018</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488,750</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488,750</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486,712</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NRG Energy, Inc.</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Utilities</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Term Loan</w:t>
            </w:r>
          </w:p>
        </w:tc>
        <w:tc>
          <w:tcPr>
            <w:tcW w:w="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(2013)</w:t>
            </w: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2.75%</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7/2/2018</w:t>
            </w:r>
          </w:p>
        </w:tc>
        <w:tc>
          <w:tcPr>
            <w:tcW w:w="11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3,880,875</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3,858,512</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3,820,062</w:t>
            </w: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NuSil Technology LLC.</w:t>
            </w:r>
          </w:p>
        </w:tc>
        <w:tc>
          <w:tcPr>
            <w:tcW w:w="1560" w:type="dxa"/>
            <w:vAlign w:val="bottom"/>
          </w:tcPr>
          <w:p>
            <w:pPr>
              <w:ind w:left="200"/>
              <w:spacing w:after="0" w:line="149" w:lineRule="exact"/>
              <w:rPr>
                <w:sz w:val="20"/>
                <w:szCs w:val="20"/>
                <w:color w:val="auto"/>
              </w:rPr>
            </w:pPr>
            <w:r>
              <w:rPr>
                <w:rFonts w:ascii="Arial" w:cs="Arial" w:eastAsia="Arial" w:hAnsi="Arial"/>
                <w:sz w:val="14"/>
                <w:szCs w:val="14"/>
                <w:color w:val="auto"/>
              </w:rPr>
              <w:t>Chemicals/Plastics</w:t>
            </w:r>
          </w:p>
        </w:tc>
        <w:tc>
          <w:tcPr>
            <w:tcW w:w="1120" w:type="dxa"/>
            <w:vAlign w:val="bottom"/>
          </w:tcPr>
          <w:p>
            <w:pPr>
              <w:ind w:left="180"/>
              <w:spacing w:after="0" w:line="149" w:lineRule="exact"/>
              <w:rPr>
                <w:sz w:val="20"/>
                <w:szCs w:val="20"/>
                <w:color w:val="auto"/>
              </w:rPr>
            </w:pPr>
            <w:r>
              <w:rPr>
                <w:rFonts w:ascii="Arial" w:cs="Arial" w:eastAsia="Arial" w:hAnsi="Arial"/>
                <w:sz w:val="14"/>
                <w:szCs w:val="14"/>
                <w:color w:val="auto"/>
              </w:rPr>
              <w:t>Term Loan</w:t>
            </w:r>
          </w:p>
        </w:tc>
        <w:tc>
          <w:tcPr>
            <w:tcW w:w="700" w:type="dxa"/>
            <w:vAlign w:val="bottom"/>
          </w:tcPr>
          <w:p>
            <w:pPr>
              <w:ind w:left="180"/>
              <w:spacing w:after="0" w:line="149" w:lineRule="exact"/>
              <w:rPr>
                <w:sz w:val="20"/>
                <w:szCs w:val="20"/>
                <w:color w:val="auto"/>
              </w:rPr>
            </w:pPr>
            <w:r>
              <w:rPr>
                <w:rFonts w:ascii="Arial" w:cs="Arial" w:eastAsia="Arial" w:hAnsi="Arial"/>
                <w:sz w:val="14"/>
                <w:szCs w:val="14"/>
                <w:color w:val="auto"/>
              </w:rPr>
              <w:t>Loan</w:t>
            </w:r>
          </w:p>
        </w:tc>
        <w:tc>
          <w:tcPr>
            <w:tcW w:w="8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5.25%</w:t>
            </w:r>
          </w:p>
        </w:tc>
        <w:tc>
          <w:tcPr>
            <w:tcW w:w="11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4/7/2017</w:t>
            </w:r>
          </w:p>
        </w:tc>
        <w:tc>
          <w:tcPr>
            <w:tcW w:w="11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802,457</w:t>
            </w:r>
          </w:p>
        </w:tc>
        <w:tc>
          <w:tcPr>
            <w:tcW w:w="12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802,457</w:t>
            </w:r>
          </w:p>
        </w:tc>
        <w:tc>
          <w:tcPr>
            <w:tcW w:w="1000" w:type="dxa"/>
            <w:vAlign w:val="bottom"/>
          </w:tcPr>
          <w:p>
            <w:pPr>
              <w:jc w:val="right"/>
              <w:ind w:right="8"/>
              <w:spacing w:after="0" w:line="149" w:lineRule="exact"/>
              <w:rPr>
                <w:sz w:val="20"/>
                <w:szCs w:val="20"/>
                <w:color w:val="auto"/>
              </w:rPr>
            </w:pPr>
            <w:r>
              <w:rPr>
                <w:rFonts w:ascii="Arial" w:cs="Arial" w:eastAsia="Arial" w:hAnsi="Arial"/>
                <w:sz w:val="14"/>
                <w:szCs w:val="14"/>
                <w:color w:val="auto"/>
              </w:rPr>
              <w:t>786,408</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OEP Pearl Dutch Acquisition B.V.</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Chemicals/Plastics</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Initial BV</w:t>
            </w:r>
          </w:p>
        </w:tc>
        <w:tc>
          <w:tcPr>
            <w:tcW w:w="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Term Loan</w:t>
            </w: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6.50%</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3/30/2018</w:t>
            </w:r>
          </w:p>
        </w:tc>
        <w:tc>
          <w:tcPr>
            <w:tcW w:w="11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136,371</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135,141</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136,882</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Ollie’s Bargain Outlet</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Retailers (Except</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Loan</w:t>
            </w:r>
          </w:p>
        </w:tc>
        <w:tc>
          <w:tcPr>
            <w:tcW w:w="70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ind w:left="200"/>
              <w:spacing w:after="0"/>
              <w:rPr>
                <w:sz w:val="20"/>
                <w:szCs w:val="20"/>
                <w:color w:val="auto"/>
              </w:rPr>
            </w:pPr>
            <w:r>
              <w:rPr>
                <w:rFonts w:ascii="Arial" w:cs="Arial" w:eastAsia="Arial" w:hAnsi="Arial"/>
                <w:sz w:val="14"/>
                <w:szCs w:val="14"/>
                <w:color w:val="auto"/>
              </w:rPr>
              <w:t>Food and Drugs)</w:t>
            </w: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6.00%</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9/30/2019</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982,101</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977,482</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982,101</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On Assignment, Inc.</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Business Equipment</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Initial Term</w:t>
            </w:r>
          </w:p>
        </w:tc>
        <w:tc>
          <w:tcPr>
            <w:tcW w:w="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and Services</w:t>
            </w: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 Loan</w:t>
            </w: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3.50%</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5/15/2020</w:t>
            </w:r>
          </w:p>
        </w:tc>
        <w:tc>
          <w:tcPr>
            <w:tcW w:w="11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1,311,364</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1,302,764</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1,305,633</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Onex Carestream Finance LP</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Healthcare</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Loan</w:t>
            </w:r>
          </w:p>
        </w:tc>
        <w:tc>
          <w:tcPr>
            <w:tcW w:w="70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49"/>
        </w:trPr>
        <w:tc>
          <w:tcPr>
            <w:tcW w:w="26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20" w:type="dxa"/>
            <w:vAlign w:val="bottom"/>
          </w:tcPr>
          <w:p>
            <w:pPr>
              <w:ind w:left="180"/>
              <w:spacing w:after="0" w:line="149" w:lineRule="exact"/>
              <w:rPr>
                <w:sz w:val="20"/>
                <w:szCs w:val="20"/>
                <w:color w:val="auto"/>
              </w:rPr>
            </w:pPr>
            <w:r>
              <w:rPr>
                <w:rFonts w:ascii="Arial" w:cs="Arial" w:eastAsia="Arial" w:hAnsi="Arial"/>
                <w:sz w:val="14"/>
                <w:szCs w:val="14"/>
                <w:color w:val="auto"/>
              </w:rPr>
              <w:t>(First Lien</w:t>
            </w:r>
          </w:p>
        </w:tc>
        <w:tc>
          <w:tcPr>
            <w:tcW w:w="7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4"/>
                <w:szCs w:val="14"/>
                <w:color w:val="auto"/>
              </w:rPr>
              <w:t>2013)</w:t>
            </w:r>
          </w:p>
        </w:tc>
        <w:tc>
          <w:tcPr>
            <w:tcW w:w="7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5.00%</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6/7/2019</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4,282,361</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4,263,330</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4,279,021</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OpenLink International LLC</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Business Equipment</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Term B</w:t>
            </w:r>
          </w:p>
        </w:tc>
        <w:tc>
          <w:tcPr>
            <w:tcW w:w="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and Services</w:t>
            </w: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6.25%</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10/27/2017</w:t>
            </w:r>
          </w:p>
        </w:tc>
        <w:tc>
          <w:tcPr>
            <w:tcW w:w="11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975,000</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975,000</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975,000</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Orbitz Worldwide, Inc.</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Business Equipment</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Loan</w:t>
            </w:r>
          </w:p>
        </w:tc>
        <w:tc>
          <w:tcPr>
            <w:tcW w:w="70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ind w:left="200"/>
              <w:spacing w:after="0"/>
              <w:rPr>
                <w:sz w:val="20"/>
                <w:szCs w:val="20"/>
                <w:color w:val="auto"/>
              </w:rPr>
            </w:pPr>
            <w:r>
              <w:rPr>
                <w:rFonts w:ascii="Arial" w:cs="Arial" w:eastAsia="Arial" w:hAnsi="Arial"/>
                <w:sz w:val="14"/>
                <w:szCs w:val="14"/>
                <w:color w:val="auto"/>
              </w:rPr>
              <w:t>and Services</w:t>
            </w:r>
          </w:p>
        </w:tc>
        <w:tc>
          <w:tcPr>
            <w:tcW w:w="1120" w:type="dxa"/>
            <w:vAlign w:val="bottom"/>
          </w:tcPr>
          <w:p>
            <w:pPr>
              <w:ind w:left="180"/>
              <w:spacing w:after="0"/>
              <w:rPr>
                <w:sz w:val="20"/>
                <w:szCs w:val="20"/>
                <w:color w:val="auto"/>
              </w:rPr>
            </w:pPr>
            <w:r>
              <w:rPr>
                <w:rFonts w:ascii="Arial" w:cs="Arial" w:eastAsia="Arial" w:hAnsi="Arial"/>
                <w:sz w:val="14"/>
                <w:szCs w:val="14"/>
                <w:color w:val="auto"/>
              </w:rPr>
              <w:t>(First Lien)</w:t>
            </w:r>
          </w:p>
        </w:tc>
        <w:tc>
          <w:tcPr>
            <w:tcW w:w="7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4.50%</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4/15/2021</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500,000</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498,785</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498,905</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P.F. Chang’s China Bistro, Inc. (Wok</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Food/Drug Retailers</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Term</w:t>
            </w:r>
          </w:p>
        </w:tc>
        <w:tc>
          <w:tcPr>
            <w:tcW w:w="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rPr>
              <w:t>Acquisition Corp.)</w:t>
            </w:r>
          </w:p>
        </w:tc>
        <w:tc>
          <w:tcPr>
            <w:tcW w:w="1560" w:type="dxa"/>
            <w:vAlign w:val="bottom"/>
            <w:shd w:val="clear" w:color="auto" w:fill="CCEEFF"/>
          </w:tcPr>
          <w:p>
            <w:pPr>
              <w:spacing w:after="0"/>
              <w:rPr>
                <w:sz w:val="14"/>
                <w:szCs w:val="14"/>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Borrowing</w:t>
            </w: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4.25%</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6/24/2019</w:t>
            </w:r>
          </w:p>
        </w:tc>
        <w:tc>
          <w:tcPr>
            <w:tcW w:w="11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1,455,477</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1,443,484</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1,419,090</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P2 Upstream Acquisition Co. (P2</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Business Equipment</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Loan</w:t>
            </w:r>
          </w:p>
        </w:tc>
        <w:tc>
          <w:tcPr>
            <w:tcW w:w="70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7"/>
        </w:trPr>
        <w:tc>
          <w:tcPr>
            <w:tcW w:w="2680" w:type="dxa"/>
            <w:vAlign w:val="bottom"/>
          </w:tcPr>
          <w:p>
            <w:pPr>
              <w:spacing w:after="0"/>
              <w:rPr>
                <w:sz w:val="20"/>
                <w:szCs w:val="20"/>
                <w:color w:val="auto"/>
              </w:rPr>
            </w:pPr>
            <w:r>
              <w:rPr>
                <w:rFonts w:ascii="Arial" w:cs="Arial" w:eastAsia="Arial" w:hAnsi="Arial"/>
                <w:sz w:val="14"/>
                <w:szCs w:val="14"/>
                <w:color w:val="auto"/>
              </w:rPr>
              <w:t>Upstream Canada BC ULC)</w:t>
            </w:r>
          </w:p>
        </w:tc>
        <w:tc>
          <w:tcPr>
            <w:tcW w:w="1560" w:type="dxa"/>
            <w:vAlign w:val="bottom"/>
          </w:tcPr>
          <w:p>
            <w:pPr>
              <w:ind w:left="200"/>
              <w:spacing w:after="0"/>
              <w:rPr>
                <w:sz w:val="20"/>
                <w:szCs w:val="20"/>
                <w:color w:val="auto"/>
              </w:rPr>
            </w:pPr>
            <w:r>
              <w:rPr>
                <w:rFonts w:ascii="Arial" w:cs="Arial" w:eastAsia="Arial" w:hAnsi="Arial"/>
                <w:sz w:val="14"/>
                <w:szCs w:val="14"/>
                <w:color w:val="auto"/>
              </w:rPr>
              <w:t>and Services</w:t>
            </w:r>
          </w:p>
        </w:tc>
        <w:tc>
          <w:tcPr>
            <w:tcW w:w="1120" w:type="dxa"/>
            <w:vAlign w:val="bottom"/>
          </w:tcPr>
          <w:p>
            <w:pPr>
              <w:ind w:left="180"/>
              <w:spacing w:after="0"/>
              <w:rPr>
                <w:sz w:val="20"/>
                <w:szCs w:val="20"/>
                <w:color w:val="auto"/>
              </w:rPr>
            </w:pPr>
            <w:r>
              <w:rPr>
                <w:rFonts w:ascii="Arial" w:cs="Arial" w:eastAsia="Arial" w:hAnsi="Arial"/>
                <w:sz w:val="14"/>
                <w:szCs w:val="14"/>
                <w:color w:val="auto"/>
              </w:rPr>
              <w:t>(First Lien)</w:t>
            </w:r>
          </w:p>
        </w:tc>
        <w:tc>
          <w:tcPr>
            <w:tcW w:w="7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5.00%</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10/30/2020</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995,000</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990,753</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998,313</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Paragon Offshore Finance</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Oil &amp; Gas</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Term Loan</w:t>
            </w:r>
          </w:p>
        </w:tc>
        <w:tc>
          <w:tcPr>
            <w:tcW w:w="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w:t>
            </w: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3.75%</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7/18/2021</w:t>
            </w:r>
          </w:p>
        </w:tc>
        <w:tc>
          <w:tcPr>
            <w:tcW w:w="11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750,000</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746,314</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738,750</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Patheon Inc.</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Healthcare &amp;</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Loan</w:t>
            </w:r>
          </w:p>
        </w:tc>
        <w:tc>
          <w:tcPr>
            <w:tcW w:w="70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ind w:left="200"/>
              <w:spacing w:after="0"/>
              <w:rPr>
                <w:sz w:val="20"/>
                <w:szCs w:val="20"/>
                <w:color w:val="auto"/>
              </w:rPr>
            </w:pPr>
            <w:r>
              <w:rPr>
                <w:rFonts w:ascii="Arial" w:cs="Arial" w:eastAsia="Arial" w:hAnsi="Arial"/>
                <w:sz w:val="14"/>
                <w:szCs w:val="14"/>
                <w:color w:val="auto"/>
              </w:rPr>
              <w:t>Pharmaceuticals</w:t>
            </w: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4.25%</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3/11/2021</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3,000,000</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2,992,669</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2,960,640</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PetCo Animal Supplies, Inc.</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Retailers (Except</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New Loans</w:t>
            </w:r>
          </w:p>
        </w:tc>
        <w:tc>
          <w:tcPr>
            <w:tcW w:w="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Food and Drugs)</w:t>
            </w:r>
          </w:p>
        </w:tc>
        <w:tc>
          <w:tcPr>
            <w:tcW w:w="1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4.00%</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11/24/2017</w:t>
            </w:r>
          </w:p>
        </w:tc>
        <w:tc>
          <w:tcPr>
            <w:tcW w:w="11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1,477,041</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1,476,121</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1,471,502</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Pharmaceutical Product Development, Inc.</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Conglomerate</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2013 Term</w:t>
            </w:r>
          </w:p>
        </w:tc>
        <w:tc>
          <w:tcPr>
            <w:tcW w:w="70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7"/>
        </w:trPr>
        <w:tc>
          <w:tcPr>
            <w:tcW w:w="2680" w:type="dxa"/>
            <w:vAlign w:val="bottom"/>
          </w:tcPr>
          <w:p>
            <w:pPr>
              <w:spacing w:after="0"/>
              <w:rPr>
                <w:sz w:val="20"/>
                <w:szCs w:val="20"/>
                <w:color w:val="auto"/>
              </w:rPr>
            </w:pPr>
            <w:r>
              <w:rPr>
                <w:rFonts w:ascii="Arial" w:cs="Arial" w:eastAsia="Arial" w:hAnsi="Arial"/>
                <w:sz w:val="14"/>
                <w:szCs w:val="14"/>
                <w:color w:val="auto"/>
              </w:rPr>
              <w:t>(Jaguar Holdings, LLC)</w:t>
            </w:r>
          </w:p>
        </w:tc>
        <w:tc>
          <w:tcPr>
            <w:tcW w:w="1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4"/>
                <w:szCs w:val="14"/>
                <w:color w:val="auto"/>
              </w:rPr>
              <w:t>Loan</w:t>
            </w:r>
          </w:p>
        </w:tc>
        <w:tc>
          <w:tcPr>
            <w:tcW w:w="7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4.00%</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12/5/2018</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1,950,300</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1,925,362</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1,941,251</w:t>
            </w:r>
          </w:p>
        </w:tc>
      </w:tr>
      <w:tr>
        <w:trPr>
          <w:trHeight w:val="149"/>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Phillips-Medisize Corporation</w:t>
            </w:r>
          </w:p>
        </w:tc>
        <w:tc>
          <w:tcPr>
            <w:tcW w:w="1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Healthcare</w:t>
            </w:r>
          </w:p>
        </w:tc>
        <w:tc>
          <w:tcPr>
            <w:tcW w:w="1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w:t>
            </w:r>
          </w:p>
        </w:tc>
        <w:tc>
          <w:tcPr>
            <w:tcW w:w="70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Loan</w:t>
            </w:r>
          </w:p>
        </w:tc>
        <w:tc>
          <w:tcPr>
            <w:tcW w:w="82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4.75%</w:t>
            </w:r>
          </w:p>
        </w:tc>
        <w:tc>
          <w:tcPr>
            <w:tcW w:w="11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6/16/2021</w:t>
            </w:r>
          </w:p>
        </w:tc>
        <w:tc>
          <w:tcPr>
            <w:tcW w:w="116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500,000</w:t>
            </w:r>
          </w:p>
        </w:tc>
        <w:tc>
          <w:tcPr>
            <w:tcW w:w="1260" w:type="dxa"/>
            <w:vAlign w:val="bottom"/>
            <w:shd w:val="clear" w:color="auto" w:fill="CCEEFF"/>
          </w:tcPr>
          <w:p>
            <w:pPr>
              <w:jc w:val="right"/>
              <w:ind w:right="268"/>
              <w:spacing w:after="0" w:line="149" w:lineRule="exact"/>
              <w:rPr>
                <w:sz w:val="20"/>
                <w:szCs w:val="20"/>
                <w:color w:val="auto"/>
              </w:rPr>
            </w:pPr>
            <w:r>
              <w:rPr>
                <w:rFonts w:ascii="Arial" w:cs="Arial" w:eastAsia="Arial" w:hAnsi="Arial"/>
                <w:sz w:val="14"/>
                <w:szCs w:val="14"/>
                <w:color w:val="auto"/>
              </w:rPr>
              <w:t>497,575</w:t>
            </w:r>
          </w:p>
        </w:tc>
        <w:tc>
          <w:tcPr>
            <w:tcW w:w="1000" w:type="dxa"/>
            <w:vAlign w:val="bottom"/>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498,125</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Pinnacle Foods Finance LLC</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Food Products</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New Term</w:t>
            </w:r>
          </w:p>
        </w:tc>
        <w:tc>
          <w:tcPr>
            <w:tcW w:w="70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4"/>
                <w:szCs w:val="14"/>
                <w:color w:val="auto"/>
              </w:rPr>
              <w:t>Loan G</w:t>
            </w:r>
          </w:p>
        </w:tc>
        <w:tc>
          <w:tcPr>
            <w:tcW w:w="7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3.25%</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4/29/2020</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2,581,332</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2,575,965</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2,551,337</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Planet Fitness Holdings LLC</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Leisure Goods/</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Term Loan</w:t>
            </w:r>
          </w:p>
        </w:tc>
        <w:tc>
          <w:tcPr>
            <w:tcW w:w="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Activities/Movies</w:t>
            </w:r>
          </w:p>
        </w:tc>
        <w:tc>
          <w:tcPr>
            <w:tcW w:w="1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4.75%</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3/31/2021</w:t>
            </w:r>
          </w:p>
        </w:tc>
        <w:tc>
          <w:tcPr>
            <w:tcW w:w="11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1,496,250</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1,489,018</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1,492,973</w:t>
            </w: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Polymer Group, Inc.</w:t>
            </w:r>
          </w:p>
        </w:tc>
        <w:tc>
          <w:tcPr>
            <w:tcW w:w="1560" w:type="dxa"/>
            <w:vAlign w:val="bottom"/>
          </w:tcPr>
          <w:p>
            <w:pPr>
              <w:ind w:left="200"/>
              <w:spacing w:after="0" w:line="149" w:lineRule="exact"/>
              <w:rPr>
                <w:sz w:val="20"/>
                <w:szCs w:val="20"/>
                <w:color w:val="auto"/>
              </w:rPr>
            </w:pPr>
            <w:r>
              <w:rPr>
                <w:rFonts w:ascii="Arial" w:cs="Arial" w:eastAsia="Arial" w:hAnsi="Arial"/>
                <w:sz w:val="14"/>
                <w:szCs w:val="14"/>
                <w:color w:val="auto"/>
              </w:rPr>
              <w:t>Chemicals/Plastics</w:t>
            </w:r>
          </w:p>
        </w:tc>
        <w:tc>
          <w:tcPr>
            <w:tcW w:w="1120" w:type="dxa"/>
            <w:vAlign w:val="bottom"/>
          </w:tcPr>
          <w:p>
            <w:pPr>
              <w:ind w:left="180"/>
              <w:spacing w:after="0" w:line="149" w:lineRule="exact"/>
              <w:rPr>
                <w:sz w:val="20"/>
                <w:szCs w:val="20"/>
                <w:color w:val="auto"/>
              </w:rPr>
            </w:pPr>
            <w:r>
              <w:rPr>
                <w:rFonts w:ascii="Arial" w:cs="Arial" w:eastAsia="Arial" w:hAnsi="Arial"/>
                <w:sz w:val="14"/>
                <w:szCs w:val="14"/>
                <w:color w:val="auto"/>
              </w:rPr>
              <w:t>Initial Loan</w:t>
            </w:r>
          </w:p>
        </w:tc>
        <w:tc>
          <w:tcPr>
            <w:tcW w:w="700" w:type="dxa"/>
            <w:vAlign w:val="bottom"/>
          </w:tcPr>
          <w:p>
            <w:pPr>
              <w:ind w:left="180"/>
              <w:spacing w:after="0" w:line="149" w:lineRule="exact"/>
              <w:rPr>
                <w:sz w:val="20"/>
                <w:szCs w:val="20"/>
                <w:color w:val="auto"/>
              </w:rPr>
            </w:pPr>
            <w:r>
              <w:rPr>
                <w:rFonts w:ascii="Arial" w:cs="Arial" w:eastAsia="Arial" w:hAnsi="Arial"/>
                <w:sz w:val="14"/>
                <w:szCs w:val="14"/>
                <w:color w:val="auto"/>
              </w:rPr>
              <w:t>Loan</w:t>
            </w:r>
          </w:p>
        </w:tc>
        <w:tc>
          <w:tcPr>
            <w:tcW w:w="82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5.25%</w:t>
            </w:r>
          </w:p>
        </w:tc>
        <w:tc>
          <w:tcPr>
            <w:tcW w:w="11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12/19/2019</w:t>
            </w:r>
          </w:p>
        </w:tc>
        <w:tc>
          <w:tcPr>
            <w:tcW w:w="11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497,500</w:t>
            </w:r>
          </w:p>
        </w:tc>
        <w:tc>
          <w:tcPr>
            <w:tcW w:w="1260" w:type="dxa"/>
            <w:vAlign w:val="bottom"/>
          </w:tcPr>
          <w:p>
            <w:pPr>
              <w:jc w:val="right"/>
              <w:ind w:right="268"/>
              <w:spacing w:after="0" w:line="149" w:lineRule="exact"/>
              <w:rPr>
                <w:sz w:val="20"/>
                <w:szCs w:val="20"/>
                <w:color w:val="auto"/>
              </w:rPr>
            </w:pPr>
            <w:r>
              <w:rPr>
                <w:rFonts w:ascii="Arial" w:cs="Arial" w:eastAsia="Arial" w:hAnsi="Arial"/>
                <w:sz w:val="14"/>
                <w:szCs w:val="14"/>
                <w:color w:val="auto"/>
              </w:rPr>
              <w:t>495,282</w:t>
            </w:r>
          </w:p>
        </w:tc>
        <w:tc>
          <w:tcPr>
            <w:tcW w:w="1000" w:type="dxa"/>
            <w:vAlign w:val="bottom"/>
          </w:tcPr>
          <w:p>
            <w:pPr>
              <w:jc w:val="right"/>
              <w:ind w:right="8"/>
              <w:spacing w:after="0" w:line="149" w:lineRule="exact"/>
              <w:rPr>
                <w:sz w:val="20"/>
                <w:szCs w:val="20"/>
                <w:color w:val="auto"/>
              </w:rPr>
            </w:pPr>
            <w:r>
              <w:rPr>
                <w:rFonts w:ascii="Arial" w:cs="Arial" w:eastAsia="Arial" w:hAnsi="Arial"/>
                <w:sz w:val="14"/>
                <w:szCs w:val="14"/>
                <w:color w:val="auto"/>
              </w:rPr>
              <w:t>497,500</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Prestige Brands, Inc.</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Drugs</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Term B-1</w:t>
            </w:r>
          </w:p>
        </w:tc>
        <w:tc>
          <w:tcPr>
            <w:tcW w:w="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3.75%</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1/31/2019</w:t>
            </w:r>
          </w:p>
        </w:tc>
        <w:tc>
          <w:tcPr>
            <w:tcW w:w="11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435,606</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430,604</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434,081</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Prestige Brands, Inc.</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Leisure Goods/</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Loan</w:t>
            </w:r>
          </w:p>
        </w:tc>
        <w:tc>
          <w:tcPr>
            <w:tcW w:w="70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ind w:left="200"/>
              <w:spacing w:after="0"/>
              <w:rPr>
                <w:sz w:val="20"/>
                <w:szCs w:val="20"/>
                <w:color w:val="auto"/>
              </w:rPr>
            </w:pPr>
            <w:r>
              <w:rPr>
                <w:rFonts w:ascii="Arial" w:cs="Arial" w:eastAsia="Arial" w:hAnsi="Arial"/>
                <w:sz w:val="14"/>
                <w:szCs w:val="14"/>
                <w:color w:val="auto"/>
              </w:rPr>
              <w:t>Activities/Movies</w:t>
            </w:r>
          </w:p>
        </w:tc>
        <w:tc>
          <w:tcPr>
            <w:tcW w:w="1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4.50%</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9/3/2021</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1,000,000</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1,000,000</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1,005,000</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Pro Mach, Inc.</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Industrial</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Term Loan</w:t>
            </w:r>
          </w:p>
        </w:tc>
        <w:tc>
          <w:tcPr>
            <w:tcW w:w="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Equipment</w:t>
            </w:r>
          </w:p>
        </w:tc>
        <w:tc>
          <w:tcPr>
            <w:tcW w:w="1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4.50%</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7/6/2017</w:t>
            </w:r>
          </w:p>
        </w:tc>
        <w:tc>
          <w:tcPr>
            <w:tcW w:w="11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1,891,863</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1,883,473</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1,895,420</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Progressive Waste Solutions Ltd.</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Ecological Services</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B</w:t>
            </w:r>
          </w:p>
        </w:tc>
        <w:tc>
          <w:tcPr>
            <w:tcW w:w="70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ind w:left="200"/>
              <w:spacing w:after="0"/>
              <w:rPr>
                <w:sz w:val="20"/>
                <w:szCs w:val="20"/>
                <w:color w:val="auto"/>
              </w:rPr>
            </w:pPr>
            <w:r>
              <w:rPr>
                <w:rFonts w:ascii="Arial" w:cs="Arial" w:eastAsia="Arial" w:hAnsi="Arial"/>
                <w:sz w:val="14"/>
                <w:szCs w:val="14"/>
                <w:color w:val="auto"/>
              </w:rPr>
              <w:t>and Equipment</w:t>
            </w:r>
          </w:p>
        </w:tc>
        <w:tc>
          <w:tcPr>
            <w:tcW w:w="1120" w:type="dxa"/>
            <w:vAlign w:val="bottom"/>
          </w:tcPr>
          <w:p>
            <w:pPr>
              <w:ind w:left="180"/>
              <w:spacing w:after="0"/>
              <w:rPr>
                <w:sz w:val="20"/>
                <w:szCs w:val="20"/>
                <w:color w:val="auto"/>
              </w:rPr>
            </w:pPr>
            <w:r>
              <w:rPr>
                <w:rFonts w:ascii="Arial" w:cs="Arial" w:eastAsia="Arial" w:hAnsi="Arial"/>
                <w:sz w:val="14"/>
                <w:szCs w:val="14"/>
                <w:color w:val="auto"/>
              </w:rPr>
              <w:t>Loan</w:t>
            </w:r>
          </w:p>
        </w:tc>
        <w:tc>
          <w:tcPr>
            <w:tcW w:w="7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3.00%</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10/24/2019</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496,222</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496,222</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496,013</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QoL Meds</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Healthcare</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Term Loan</w:t>
            </w:r>
          </w:p>
        </w:tc>
        <w:tc>
          <w:tcPr>
            <w:tcW w:w="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w:t>
            </w: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5.50%</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7/15/2020</w:t>
            </w:r>
          </w:p>
        </w:tc>
        <w:tc>
          <w:tcPr>
            <w:tcW w:w="11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2,000,000</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1,990,049</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2,005,000</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Quintiles Transnational Corp.</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Conglomerate</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B-3</w:t>
            </w:r>
          </w:p>
        </w:tc>
        <w:tc>
          <w:tcPr>
            <w:tcW w:w="70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4"/>
                <w:szCs w:val="14"/>
                <w:color w:val="auto"/>
              </w:rPr>
              <w:t>Loan</w:t>
            </w:r>
          </w:p>
        </w:tc>
        <w:tc>
          <w:tcPr>
            <w:tcW w:w="7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3.75%</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6/8/2018</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3,681,541</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3,649,943</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3,652,383</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Redtop Acquisitions Limited</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Electronics/Electric</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Initial Dollar</w:t>
            </w:r>
          </w:p>
        </w:tc>
        <w:tc>
          <w:tcPr>
            <w:tcW w:w="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49"/>
        </w:trPr>
        <w:tc>
          <w:tcPr>
            <w:tcW w:w="26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w:t>
            </w:r>
          </w:p>
        </w:tc>
        <w:tc>
          <w:tcPr>
            <w:tcW w:w="7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(First Lien)</w:t>
            </w: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4.50%</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12/3/2020</w:t>
            </w:r>
          </w:p>
        </w:tc>
        <w:tc>
          <w:tcPr>
            <w:tcW w:w="11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497,500</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494,218</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497,913</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Rexnord LLC/RBS Global, Inc.</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Industrial</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B</w:t>
            </w:r>
          </w:p>
        </w:tc>
        <w:tc>
          <w:tcPr>
            <w:tcW w:w="70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ind w:left="200"/>
              <w:spacing w:after="0"/>
              <w:rPr>
                <w:sz w:val="20"/>
                <w:szCs w:val="20"/>
                <w:color w:val="auto"/>
              </w:rPr>
            </w:pPr>
            <w:r>
              <w:rPr>
                <w:rFonts w:ascii="Arial" w:cs="Arial" w:eastAsia="Arial" w:hAnsi="Arial"/>
                <w:sz w:val="14"/>
                <w:szCs w:val="14"/>
                <w:color w:val="auto"/>
              </w:rPr>
              <w:t>Equipment</w:t>
            </w:r>
          </w:p>
        </w:tc>
        <w:tc>
          <w:tcPr>
            <w:tcW w:w="1120" w:type="dxa"/>
            <w:vAlign w:val="bottom"/>
          </w:tcPr>
          <w:p>
            <w:pPr>
              <w:ind w:left="180"/>
              <w:spacing w:after="0"/>
              <w:rPr>
                <w:sz w:val="20"/>
                <w:szCs w:val="20"/>
                <w:color w:val="auto"/>
              </w:rPr>
            </w:pPr>
            <w:r>
              <w:rPr>
                <w:rFonts w:ascii="Arial" w:cs="Arial" w:eastAsia="Arial" w:hAnsi="Arial"/>
                <w:sz w:val="14"/>
                <w:szCs w:val="14"/>
                <w:color w:val="auto"/>
              </w:rPr>
              <w:t>Loan</w:t>
            </w:r>
          </w:p>
        </w:tc>
        <w:tc>
          <w:tcPr>
            <w:tcW w:w="7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4.00%</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8/21/2020</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1,655,137</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1,655,137</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1,646,630</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Reynolds Group Holdings Inc.</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Industrial</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Incremental</w:t>
            </w:r>
          </w:p>
        </w:tc>
        <w:tc>
          <w:tcPr>
            <w:tcW w:w="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49"/>
        </w:trPr>
        <w:tc>
          <w:tcPr>
            <w:tcW w:w="2680" w:type="dxa"/>
            <w:vAlign w:val="bottom"/>
            <w:shd w:val="clear" w:color="auto" w:fill="CCEEFF"/>
          </w:tcPr>
          <w:p>
            <w:pPr>
              <w:spacing w:after="0"/>
              <w:rPr>
                <w:sz w:val="12"/>
                <w:szCs w:val="12"/>
                <w:color w:val="auto"/>
              </w:rPr>
            </w:pPr>
          </w:p>
        </w:tc>
        <w:tc>
          <w:tcPr>
            <w:tcW w:w="1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Equipment</w:t>
            </w:r>
          </w:p>
        </w:tc>
        <w:tc>
          <w:tcPr>
            <w:tcW w:w="1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U.S. Term</w:t>
            </w:r>
          </w:p>
        </w:tc>
        <w:tc>
          <w:tcPr>
            <w:tcW w:w="7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w:t>
            </w: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4.00%</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12/1/2018</w:t>
            </w:r>
          </w:p>
        </w:tc>
        <w:tc>
          <w:tcPr>
            <w:tcW w:w="11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1,970,100</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1,970,100</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1,962,929</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Rocket Software, Inc.</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Business Equipment</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Loan</w:t>
            </w:r>
          </w:p>
        </w:tc>
        <w:tc>
          <w:tcPr>
            <w:tcW w:w="70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ind w:left="200"/>
              <w:spacing w:after="0"/>
              <w:rPr>
                <w:sz w:val="20"/>
                <w:szCs w:val="20"/>
                <w:color w:val="auto"/>
              </w:rPr>
            </w:pPr>
            <w:r>
              <w:rPr>
                <w:rFonts w:ascii="Arial" w:cs="Arial" w:eastAsia="Arial" w:hAnsi="Arial"/>
                <w:sz w:val="14"/>
                <w:szCs w:val="14"/>
                <w:color w:val="auto"/>
              </w:rPr>
              <w:t>and Services</w:t>
            </w:r>
          </w:p>
        </w:tc>
        <w:tc>
          <w:tcPr>
            <w:tcW w:w="1120" w:type="dxa"/>
            <w:vAlign w:val="bottom"/>
          </w:tcPr>
          <w:p>
            <w:pPr>
              <w:ind w:left="180"/>
              <w:spacing w:after="0"/>
              <w:rPr>
                <w:sz w:val="20"/>
                <w:szCs w:val="20"/>
                <w:color w:val="auto"/>
              </w:rPr>
            </w:pPr>
            <w:r>
              <w:rPr>
                <w:rFonts w:ascii="Arial" w:cs="Arial" w:eastAsia="Arial" w:hAnsi="Arial"/>
                <w:sz w:val="14"/>
                <w:szCs w:val="14"/>
                <w:color w:val="auto"/>
              </w:rPr>
              <w:t>(First Lien)</w:t>
            </w:r>
          </w:p>
        </w:tc>
        <w:tc>
          <w:tcPr>
            <w:tcW w:w="7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5.75%</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2/8/2018</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1,916,674</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1,896,090</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1,916,080</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Rovi Solutions Corporation / Rovi Guides,</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Electronics/Electric</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Tranche B-3</w:t>
            </w:r>
          </w:p>
        </w:tc>
        <w:tc>
          <w:tcPr>
            <w:tcW w:w="70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100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rPr>
              <w:t>Inc.</w:t>
            </w:r>
          </w:p>
        </w:tc>
        <w:tc>
          <w:tcPr>
            <w:tcW w:w="1560" w:type="dxa"/>
            <w:vAlign w:val="bottom"/>
            <w:shd w:val="clear" w:color="auto" w:fill="CCEEFF"/>
          </w:tcPr>
          <w:p>
            <w:pPr>
              <w:spacing w:after="0"/>
              <w:rPr>
                <w:sz w:val="14"/>
                <w:szCs w:val="14"/>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Term Loan</w:t>
            </w:r>
          </w:p>
        </w:tc>
        <w:tc>
          <w:tcPr>
            <w:tcW w:w="70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3.50%</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3/29/2019</w:t>
            </w:r>
          </w:p>
        </w:tc>
        <w:tc>
          <w:tcPr>
            <w:tcW w:w="11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1,500,000</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1,492,617</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1,486,245</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RPI Finance Trust</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Drugs</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B-2</w:t>
            </w:r>
          </w:p>
        </w:tc>
        <w:tc>
          <w:tcPr>
            <w:tcW w:w="70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4"/>
                <w:szCs w:val="14"/>
                <w:color w:val="auto"/>
              </w:rPr>
              <w:t>Term Loan</w:t>
            </w:r>
          </w:p>
        </w:tc>
        <w:tc>
          <w:tcPr>
            <w:tcW w:w="700" w:type="dxa"/>
            <w:vAlign w:val="bottom"/>
          </w:tcPr>
          <w:p>
            <w:pPr>
              <w:spacing w:after="0"/>
              <w:rPr>
                <w:sz w:val="14"/>
                <w:szCs w:val="14"/>
                <w:color w:val="auto"/>
              </w:rPr>
            </w:pPr>
          </w:p>
        </w:tc>
        <w:tc>
          <w:tcPr>
            <w:tcW w:w="820" w:type="dxa"/>
            <w:vAlign w:val="bottom"/>
          </w:tcPr>
          <w:p>
            <w:pPr>
              <w:jc w:val="right"/>
              <w:ind w:right="148"/>
              <w:spacing w:after="0"/>
              <w:rPr>
                <w:sz w:val="20"/>
                <w:szCs w:val="20"/>
                <w:color w:val="auto"/>
              </w:rPr>
            </w:pPr>
            <w:r>
              <w:rPr>
                <w:rFonts w:ascii="Arial" w:cs="Arial" w:eastAsia="Arial" w:hAnsi="Arial"/>
                <w:sz w:val="14"/>
                <w:szCs w:val="14"/>
                <w:color w:val="auto"/>
              </w:rPr>
              <w:t>3.25%</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5/9/2018</w:t>
            </w:r>
          </w:p>
        </w:tc>
        <w:tc>
          <w:tcPr>
            <w:tcW w:w="1160" w:type="dxa"/>
            <w:vAlign w:val="bottom"/>
          </w:tcPr>
          <w:p>
            <w:pPr>
              <w:jc w:val="right"/>
              <w:ind w:right="268"/>
              <w:spacing w:after="0"/>
              <w:rPr>
                <w:sz w:val="20"/>
                <w:szCs w:val="20"/>
                <w:color w:val="auto"/>
              </w:rPr>
            </w:pPr>
            <w:r>
              <w:rPr>
                <w:rFonts w:ascii="Arial" w:cs="Arial" w:eastAsia="Arial" w:hAnsi="Arial"/>
                <w:sz w:val="14"/>
                <w:szCs w:val="14"/>
                <w:color w:val="auto"/>
              </w:rPr>
              <w:t>5,233,797</w:t>
            </w:r>
          </w:p>
        </w:tc>
        <w:tc>
          <w:tcPr>
            <w:tcW w:w="1260" w:type="dxa"/>
            <w:vAlign w:val="bottom"/>
          </w:tcPr>
          <w:p>
            <w:pPr>
              <w:jc w:val="right"/>
              <w:ind w:right="268"/>
              <w:spacing w:after="0"/>
              <w:rPr>
                <w:sz w:val="20"/>
                <w:szCs w:val="20"/>
                <w:color w:val="auto"/>
              </w:rPr>
            </w:pPr>
            <w:r>
              <w:rPr>
                <w:rFonts w:ascii="Arial" w:cs="Arial" w:eastAsia="Arial" w:hAnsi="Arial"/>
                <w:sz w:val="14"/>
                <w:szCs w:val="14"/>
                <w:color w:val="auto"/>
              </w:rPr>
              <w:t>5,212,118</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5,219,091</w:t>
            </w:r>
          </w:p>
        </w:tc>
      </w:tr>
      <w:tr>
        <w:trPr>
          <w:trHeight w:val="182"/>
        </w:trPr>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rPr>
              <w:t>SBP Holdings LP</w:t>
            </w:r>
          </w:p>
        </w:tc>
        <w:tc>
          <w:tcPr>
            <w:tcW w:w="1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Industrial</w:t>
            </w: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Term Loan</w:t>
            </w:r>
          </w:p>
        </w:tc>
        <w:tc>
          <w:tcPr>
            <w:tcW w:w="7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w:t>
            </w:r>
          </w:p>
        </w:tc>
        <w:tc>
          <w:tcPr>
            <w:tcW w:w="8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5.00%</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3/27/2021</w:t>
            </w:r>
          </w:p>
        </w:tc>
        <w:tc>
          <w:tcPr>
            <w:tcW w:w="11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1,000,000</w:t>
            </w:r>
          </w:p>
        </w:tc>
        <w:tc>
          <w:tcPr>
            <w:tcW w:w="1260" w:type="dxa"/>
            <w:vAlign w:val="bottom"/>
            <w:shd w:val="clear" w:color="auto" w:fill="CCEEFF"/>
          </w:tcPr>
          <w:p>
            <w:pPr>
              <w:jc w:val="right"/>
              <w:ind w:right="268"/>
              <w:spacing w:after="0"/>
              <w:rPr>
                <w:sz w:val="20"/>
                <w:szCs w:val="20"/>
                <w:color w:val="auto"/>
              </w:rPr>
            </w:pPr>
            <w:r>
              <w:rPr>
                <w:rFonts w:ascii="Arial" w:cs="Arial" w:eastAsia="Arial" w:hAnsi="Arial"/>
                <w:sz w:val="14"/>
                <w:szCs w:val="14"/>
                <w:color w:val="auto"/>
              </w:rPr>
              <w:t>995,167</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1,001,670</w:t>
            </w:r>
          </w:p>
        </w:tc>
      </w:tr>
      <w:tr>
        <w:trPr>
          <w:trHeight w:val="77"/>
        </w:trPr>
        <w:tc>
          <w:tcPr>
            <w:tcW w:w="2680" w:type="dxa"/>
            <w:vAlign w:val="bottom"/>
            <w:shd w:val="clear" w:color="auto" w:fill="CCEEFF"/>
          </w:tcPr>
          <w:p>
            <w:pPr>
              <w:spacing w:after="0"/>
              <w:rPr>
                <w:sz w:val="6"/>
                <w:szCs w:val="6"/>
                <w:color w:val="auto"/>
              </w:rPr>
            </w:pPr>
          </w:p>
        </w:tc>
        <w:tc>
          <w:tcPr>
            <w:tcW w:w="156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820" w:type="dxa"/>
            <w:vAlign w:val="bottom"/>
            <w:shd w:val="clear" w:color="auto" w:fill="CCEEFF"/>
          </w:tcPr>
          <w:p>
            <w:pPr>
              <w:spacing w:after="0"/>
              <w:rPr>
                <w:sz w:val="6"/>
                <w:szCs w:val="6"/>
                <w:color w:val="auto"/>
              </w:rPr>
            </w:pPr>
          </w:p>
        </w:tc>
        <w:tc>
          <w:tcPr>
            <w:tcW w:w="1120" w:type="dxa"/>
            <w:vAlign w:val="bottom"/>
            <w:shd w:val="clear" w:color="auto" w:fill="CCEEFF"/>
          </w:tcPr>
          <w:p>
            <w:pPr>
              <w:spacing w:after="0"/>
              <w:rPr>
                <w:sz w:val="6"/>
                <w:szCs w:val="6"/>
                <w:color w:val="auto"/>
              </w:rPr>
            </w:pPr>
          </w:p>
        </w:tc>
        <w:tc>
          <w:tcPr>
            <w:tcW w:w="1160" w:type="dxa"/>
            <w:vAlign w:val="bottom"/>
            <w:shd w:val="clear" w:color="auto" w:fill="CCEEFF"/>
          </w:tcPr>
          <w:p>
            <w:pPr>
              <w:spacing w:after="0"/>
              <w:rPr>
                <w:sz w:val="6"/>
                <w:szCs w:val="6"/>
                <w:color w:val="auto"/>
              </w:rPr>
            </w:pPr>
          </w:p>
        </w:tc>
        <w:tc>
          <w:tcPr>
            <w:tcW w:w="1260" w:type="dxa"/>
            <w:vAlign w:val="bottom"/>
            <w:shd w:val="clear" w:color="auto" w:fill="CCEEFF"/>
          </w:tcPr>
          <w:p>
            <w:pPr>
              <w:spacing w:after="0"/>
              <w:rPr>
                <w:sz w:val="6"/>
                <w:szCs w:val="6"/>
                <w:color w:val="auto"/>
              </w:rPr>
            </w:pPr>
          </w:p>
        </w:tc>
        <w:tc>
          <w:tcPr>
            <w:tcW w:w="1000" w:type="dxa"/>
            <w:vAlign w:val="bottom"/>
            <w:shd w:val="clear" w:color="auto" w:fill="CCEEFF"/>
          </w:tcPr>
          <w:p>
            <w:pPr>
              <w:spacing w:after="0"/>
              <w:rPr>
                <w:sz w:val="6"/>
                <w:szCs w:val="6"/>
                <w:color w:val="auto"/>
              </w:rPr>
            </w:pPr>
          </w:p>
        </w:tc>
      </w:tr>
    </w:tbl>
    <w:p>
      <w:pPr>
        <w:sectPr>
          <w:pgSz w:w="11900" w:h="16900" w:orient="portrait"/>
          <w:cols w:equalWidth="0" w:num="1">
            <w:col w:w="11420"/>
          </w:cols>
          <w:pgMar w:left="240" w:top="459" w:right="239" w:bottom="0" w:gutter="0" w:footer="0" w:header="0"/>
        </w:sectPr>
      </w:pPr>
    </w:p>
    <w:bookmarkStart w:id="29" w:name="page30"/>
    <w:bookmarkEnd w:id="2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Equipment</w:t>
            </w: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(First Lien)</w:t>
            </w:r>
          </w:p>
        </w:tc>
        <w:tc>
          <w:tcPr>
            <w:tcW w:w="6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2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Scitor Corporation</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Business Equipment</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Loan</w:t>
            </w:r>
          </w:p>
        </w:tc>
        <w:tc>
          <w:tcPr>
            <w:tcW w:w="66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ind w:left="200"/>
              <w:spacing w:after="0"/>
              <w:rPr>
                <w:sz w:val="20"/>
                <w:szCs w:val="20"/>
                <w:color w:val="auto"/>
              </w:rPr>
            </w:pPr>
            <w:r>
              <w:rPr>
                <w:rFonts w:ascii="Arial" w:cs="Arial" w:eastAsia="Arial" w:hAnsi="Arial"/>
                <w:sz w:val="14"/>
                <w:szCs w:val="14"/>
                <w:color w:val="auto"/>
              </w:rPr>
              <w:t>and Services</w:t>
            </w: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5.00%</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2/15/2017</w:t>
            </w:r>
          </w:p>
        </w:tc>
        <w:tc>
          <w:tcPr>
            <w:tcW w:w="1280" w:type="dxa"/>
            <w:vAlign w:val="bottom"/>
          </w:tcPr>
          <w:p>
            <w:pPr>
              <w:jc w:val="right"/>
              <w:ind w:right="388"/>
              <w:spacing w:after="0"/>
              <w:rPr>
                <w:sz w:val="20"/>
                <w:szCs w:val="20"/>
                <w:color w:val="auto"/>
              </w:rPr>
            </w:pPr>
            <w:r>
              <w:rPr>
                <w:rFonts w:ascii="Arial" w:cs="Arial" w:eastAsia="Arial" w:hAnsi="Arial"/>
                <w:sz w:val="14"/>
                <w:szCs w:val="14"/>
                <w:color w:val="auto"/>
              </w:rPr>
              <w:t>463,977</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462,503</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459,337</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Sensata Technologies B.V./Sensata</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Industrial</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Term Loan</w:t>
            </w:r>
          </w:p>
        </w:tc>
        <w:tc>
          <w:tcPr>
            <w:tcW w:w="6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rPr>
              <w:t>Technology Finance Company, LLC</w:t>
            </w:r>
          </w:p>
        </w:tc>
        <w:tc>
          <w:tcPr>
            <w:tcW w:w="1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Equipment</w:t>
            </w:r>
          </w:p>
        </w:tc>
        <w:tc>
          <w:tcPr>
            <w:tcW w:w="1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3.25%</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5/13/2019</w:t>
            </w:r>
          </w:p>
        </w:tc>
        <w:tc>
          <w:tcPr>
            <w:tcW w:w="12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1,517,088</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1,517,088</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1,515,540</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Sensus USA Inc. (fka Sensus Metering</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Utilities</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Loan</w:t>
            </w:r>
          </w:p>
        </w:tc>
        <w:tc>
          <w:tcPr>
            <w:tcW w:w="66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80" w:type="dxa"/>
            <w:vAlign w:val="bottom"/>
          </w:tcPr>
          <w:p>
            <w:pPr>
              <w:spacing w:after="0"/>
              <w:rPr>
                <w:sz w:val="20"/>
                <w:szCs w:val="20"/>
                <w:color w:val="auto"/>
              </w:rPr>
            </w:pPr>
            <w:r>
              <w:rPr>
                <w:rFonts w:ascii="Arial" w:cs="Arial" w:eastAsia="Arial" w:hAnsi="Arial"/>
                <w:sz w:val="14"/>
                <w:szCs w:val="14"/>
                <w:color w:val="auto"/>
              </w:rPr>
              <w:t>Systems)</w:t>
            </w:r>
          </w:p>
        </w:tc>
        <w:tc>
          <w:tcPr>
            <w:tcW w:w="1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4"/>
                <w:szCs w:val="14"/>
                <w:color w:val="auto"/>
              </w:rPr>
              <w:t>(First Lien)</w:t>
            </w:r>
          </w:p>
        </w:tc>
        <w:tc>
          <w:tcPr>
            <w:tcW w:w="6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4.75%</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5/9/2017</w:t>
            </w:r>
          </w:p>
        </w:tc>
        <w:tc>
          <w:tcPr>
            <w:tcW w:w="1280" w:type="dxa"/>
            <w:vAlign w:val="bottom"/>
          </w:tcPr>
          <w:p>
            <w:pPr>
              <w:jc w:val="right"/>
              <w:ind w:right="388"/>
              <w:spacing w:after="0"/>
              <w:rPr>
                <w:sz w:val="20"/>
                <w:szCs w:val="20"/>
                <w:color w:val="auto"/>
              </w:rPr>
            </w:pPr>
            <w:r>
              <w:rPr>
                <w:rFonts w:ascii="Arial" w:cs="Arial" w:eastAsia="Arial" w:hAnsi="Arial"/>
                <w:sz w:val="14"/>
                <w:szCs w:val="14"/>
                <w:color w:val="auto"/>
              </w:rPr>
              <w:t>1,935,040</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1,929,701</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1,934,228</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ServiceMaster Company, The</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Conglomerate</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Tranche B</w:t>
            </w:r>
          </w:p>
        </w:tc>
        <w:tc>
          <w:tcPr>
            <w:tcW w:w="6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Term Loan</w:t>
            </w:r>
          </w:p>
        </w:tc>
        <w:tc>
          <w:tcPr>
            <w:tcW w:w="6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4.40%</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1/31/2017</w:t>
            </w:r>
          </w:p>
        </w:tc>
        <w:tc>
          <w:tcPr>
            <w:tcW w:w="12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2,000,000</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1,980,369</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1,970,000</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Shearers Foods</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Food Services</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Loan</w:t>
            </w:r>
          </w:p>
        </w:tc>
        <w:tc>
          <w:tcPr>
            <w:tcW w:w="66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4"/>
                <w:szCs w:val="14"/>
                <w:color w:val="auto"/>
              </w:rPr>
              <w:t>(First Lien)</w:t>
            </w:r>
          </w:p>
        </w:tc>
        <w:tc>
          <w:tcPr>
            <w:tcW w:w="6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4.50%</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6/30/2021</w:t>
            </w:r>
          </w:p>
        </w:tc>
        <w:tc>
          <w:tcPr>
            <w:tcW w:w="1280" w:type="dxa"/>
            <w:vAlign w:val="bottom"/>
          </w:tcPr>
          <w:p>
            <w:pPr>
              <w:jc w:val="right"/>
              <w:ind w:right="388"/>
              <w:spacing w:after="0"/>
              <w:rPr>
                <w:sz w:val="20"/>
                <w:szCs w:val="20"/>
                <w:color w:val="auto"/>
              </w:rPr>
            </w:pPr>
            <w:r>
              <w:rPr>
                <w:rFonts w:ascii="Arial" w:cs="Arial" w:eastAsia="Arial" w:hAnsi="Arial"/>
                <w:sz w:val="14"/>
                <w:szCs w:val="14"/>
                <w:color w:val="auto"/>
              </w:rPr>
              <w:t>1,000,000</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997,522</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995,000</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Sonneborn, LLC</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Chemicals/Plastics</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Initial US</w:t>
            </w:r>
          </w:p>
        </w:tc>
        <w:tc>
          <w:tcPr>
            <w:tcW w:w="6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Term Loan</w:t>
            </w:r>
          </w:p>
        </w:tc>
        <w:tc>
          <w:tcPr>
            <w:tcW w:w="6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6.50%</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3/30/2018</w:t>
            </w:r>
          </w:p>
        </w:tc>
        <w:tc>
          <w:tcPr>
            <w:tcW w:w="12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772,768</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759,467</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775,666</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Sophia, L.P.</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Electronics/Electric</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B</w:t>
            </w:r>
          </w:p>
        </w:tc>
        <w:tc>
          <w:tcPr>
            <w:tcW w:w="66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4"/>
                <w:szCs w:val="14"/>
                <w:color w:val="auto"/>
              </w:rPr>
              <w:t>Loan</w:t>
            </w:r>
          </w:p>
        </w:tc>
        <w:tc>
          <w:tcPr>
            <w:tcW w:w="6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4.00%</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7/19/2018</w:t>
            </w:r>
          </w:p>
        </w:tc>
        <w:tc>
          <w:tcPr>
            <w:tcW w:w="1280" w:type="dxa"/>
            <w:vAlign w:val="bottom"/>
          </w:tcPr>
          <w:p>
            <w:pPr>
              <w:jc w:val="right"/>
              <w:ind w:right="388"/>
              <w:spacing w:after="0"/>
              <w:rPr>
                <w:sz w:val="20"/>
                <w:szCs w:val="20"/>
                <w:color w:val="auto"/>
              </w:rPr>
            </w:pPr>
            <w:r>
              <w:rPr>
                <w:rFonts w:ascii="Arial" w:cs="Arial" w:eastAsia="Arial" w:hAnsi="Arial"/>
                <w:sz w:val="14"/>
                <w:szCs w:val="14"/>
                <w:color w:val="auto"/>
              </w:rPr>
              <w:t>923,543</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912,021</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917,771</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Southwire Company, LLC (f.k.a Southwire</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Building and</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Initial Term</w:t>
            </w:r>
          </w:p>
        </w:tc>
        <w:tc>
          <w:tcPr>
            <w:tcW w:w="6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rPr>
              <w:t>Company)</w:t>
            </w:r>
          </w:p>
        </w:tc>
        <w:tc>
          <w:tcPr>
            <w:tcW w:w="1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Development</w:t>
            </w: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w:t>
            </w:r>
          </w:p>
        </w:tc>
        <w:tc>
          <w:tcPr>
            <w:tcW w:w="6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3.25%</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2/10/2021</w:t>
            </w:r>
          </w:p>
        </w:tc>
        <w:tc>
          <w:tcPr>
            <w:tcW w:w="12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498,750</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497,580</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493,972</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SRAM, LLC</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Industrial</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Loan</w:t>
            </w:r>
          </w:p>
        </w:tc>
        <w:tc>
          <w:tcPr>
            <w:tcW w:w="66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ind w:left="200"/>
              <w:spacing w:after="0"/>
              <w:rPr>
                <w:sz w:val="20"/>
                <w:szCs w:val="20"/>
                <w:color w:val="auto"/>
              </w:rPr>
            </w:pPr>
            <w:r>
              <w:rPr>
                <w:rFonts w:ascii="Arial" w:cs="Arial" w:eastAsia="Arial" w:hAnsi="Arial"/>
                <w:sz w:val="14"/>
                <w:szCs w:val="14"/>
                <w:color w:val="auto"/>
              </w:rPr>
              <w:t>Equipment</w:t>
            </w:r>
          </w:p>
        </w:tc>
        <w:tc>
          <w:tcPr>
            <w:tcW w:w="1120" w:type="dxa"/>
            <w:vAlign w:val="bottom"/>
          </w:tcPr>
          <w:p>
            <w:pPr>
              <w:ind w:left="180"/>
              <w:spacing w:after="0"/>
              <w:rPr>
                <w:sz w:val="20"/>
                <w:szCs w:val="20"/>
                <w:color w:val="auto"/>
              </w:rPr>
            </w:pPr>
            <w:r>
              <w:rPr>
                <w:rFonts w:ascii="Arial" w:cs="Arial" w:eastAsia="Arial" w:hAnsi="Arial"/>
                <w:sz w:val="14"/>
                <w:szCs w:val="14"/>
                <w:color w:val="auto"/>
              </w:rPr>
              <w:t>(First Lien)</w:t>
            </w:r>
          </w:p>
        </w:tc>
        <w:tc>
          <w:tcPr>
            <w:tcW w:w="6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5.25%</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4/10/2020</w:t>
            </w:r>
          </w:p>
        </w:tc>
        <w:tc>
          <w:tcPr>
            <w:tcW w:w="1280" w:type="dxa"/>
            <w:vAlign w:val="bottom"/>
          </w:tcPr>
          <w:p>
            <w:pPr>
              <w:jc w:val="right"/>
              <w:ind w:right="388"/>
              <w:spacing w:after="0"/>
              <w:rPr>
                <w:sz w:val="20"/>
                <w:szCs w:val="20"/>
                <w:color w:val="auto"/>
              </w:rPr>
            </w:pPr>
            <w:r>
              <w:rPr>
                <w:rFonts w:ascii="Arial" w:cs="Arial" w:eastAsia="Arial" w:hAnsi="Arial"/>
                <w:sz w:val="14"/>
                <w:szCs w:val="14"/>
                <w:color w:val="auto"/>
              </w:rPr>
              <w:t>3,138,397</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3,123,509</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3,067,783</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SS&amp;C Technologies Holdings Europe</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Business Equipment</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2013</w:t>
            </w:r>
          </w:p>
        </w:tc>
        <w:tc>
          <w:tcPr>
            <w:tcW w:w="6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S.A.R.L.</w:t>
            </w:r>
          </w:p>
        </w:tc>
        <w:tc>
          <w:tcPr>
            <w:tcW w:w="1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and Services</w:t>
            </w:r>
          </w:p>
        </w:tc>
        <w:tc>
          <w:tcPr>
            <w:tcW w:w="1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Replacement</w:t>
            </w:r>
          </w:p>
        </w:tc>
        <w:tc>
          <w:tcPr>
            <w:tcW w:w="6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6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B-2</w:t>
            </w:r>
          </w:p>
        </w:tc>
        <w:tc>
          <w:tcPr>
            <w:tcW w:w="6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w:t>
            </w:r>
          </w:p>
        </w:tc>
        <w:tc>
          <w:tcPr>
            <w:tcW w:w="6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3.25%</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6/7/2019</w:t>
            </w:r>
          </w:p>
        </w:tc>
        <w:tc>
          <w:tcPr>
            <w:tcW w:w="12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523,600</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518,916</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522,291</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SS&amp;C Technologies, Inc., /Sunshine</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Business Equipment</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2013</w:t>
            </w:r>
          </w:p>
        </w:tc>
        <w:tc>
          <w:tcPr>
            <w:tcW w:w="66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Acquisition II, Inc.</w:t>
            </w:r>
          </w:p>
        </w:tc>
        <w:tc>
          <w:tcPr>
            <w:tcW w:w="1560" w:type="dxa"/>
            <w:vAlign w:val="bottom"/>
          </w:tcPr>
          <w:p>
            <w:pPr>
              <w:ind w:left="200"/>
              <w:spacing w:after="0" w:line="149" w:lineRule="exact"/>
              <w:rPr>
                <w:sz w:val="20"/>
                <w:szCs w:val="20"/>
                <w:color w:val="auto"/>
              </w:rPr>
            </w:pPr>
            <w:r>
              <w:rPr>
                <w:rFonts w:ascii="Arial" w:cs="Arial" w:eastAsia="Arial" w:hAnsi="Arial"/>
                <w:sz w:val="14"/>
                <w:szCs w:val="14"/>
                <w:color w:val="auto"/>
              </w:rPr>
              <w:t>and Services</w:t>
            </w:r>
          </w:p>
        </w:tc>
        <w:tc>
          <w:tcPr>
            <w:tcW w:w="1120" w:type="dxa"/>
            <w:vAlign w:val="bottom"/>
          </w:tcPr>
          <w:p>
            <w:pPr>
              <w:ind w:left="180"/>
              <w:spacing w:after="0" w:line="149" w:lineRule="exact"/>
              <w:rPr>
                <w:sz w:val="20"/>
                <w:szCs w:val="20"/>
                <w:color w:val="auto"/>
              </w:rPr>
            </w:pPr>
            <w:r>
              <w:rPr>
                <w:rFonts w:ascii="Arial" w:cs="Arial" w:eastAsia="Arial" w:hAnsi="Arial"/>
                <w:sz w:val="14"/>
                <w:szCs w:val="14"/>
                <w:color w:val="auto"/>
              </w:rPr>
              <w:t>Replacement</w:t>
            </w: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26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20" w:type="dxa"/>
            <w:vAlign w:val="bottom"/>
          </w:tcPr>
          <w:p>
            <w:pPr>
              <w:ind w:left="180"/>
              <w:spacing w:after="0" w:line="149" w:lineRule="exact"/>
              <w:rPr>
                <w:sz w:val="20"/>
                <w:szCs w:val="20"/>
                <w:color w:val="auto"/>
              </w:rPr>
            </w:pPr>
            <w:r>
              <w:rPr>
                <w:rFonts w:ascii="Arial" w:cs="Arial" w:eastAsia="Arial" w:hAnsi="Arial"/>
                <w:sz w:val="14"/>
                <w:szCs w:val="14"/>
                <w:color w:val="auto"/>
              </w:rPr>
              <w:t>Term B-1</w:t>
            </w: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4"/>
                <w:szCs w:val="14"/>
                <w:color w:val="auto"/>
              </w:rPr>
              <w:t>Loan</w:t>
            </w:r>
          </w:p>
        </w:tc>
        <w:tc>
          <w:tcPr>
            <w:tcW w:w="6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3.25%</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6/7/2019</w:t>
            </w:r>
          </w:p>
        </w:tc>
        <w:tc>
          <w:tcPr>
            <w:tcW w:w="1280" w:type="dxa"/>
            <w:vAlign w:val="bottom"/>
          </w:tcPr>
          <w:p>
            <w:pPr>
              <w:jc w:val="right"/>
              <w:ind w:right="388"/>
              <w:spacing w:after="0"/>
              <w:rPr>
                <w:sz w:val="20"/>
                <w:szCs w:val="20"/>
                <w:color w:val="auto"/>
              </w:rPr>
            </w:pPr>
            <w:r>
              <w:rPr>
                <w:rFonts w:ascii="Arial" w:cs="Arial" w:eastAsia="Arial" w:hAnsi="Arial"/>
                <w:sz w:val="14"/>
                <w:szCs w:val="14"/>
                <w:color w:val="auto"/>
              </w:rPr>
              <w:t>54,165</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53,675</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54,030</w:t>
            </w:r>
          </w:p>
        </w:tc>
      </w:tr>
      <w:tr>
        <w:trPr>
          <w:trHeight w:val="149"/>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Steak ‘n Shake Operations, Inc.</w:t>
            </w:r>
          </w:p>
        </w:tc>
        <w:tc>
          <w:tcPr>
            <w:tcW w:w="1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Food Services</w:t>
            </w:r>
          </w:p>
        </w:tc>
        <w:tc>
          <w:tcPr>
            <w:tcW w:w="1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w:t>
            </w:r>
          </w:p>
        </w:tc>
        <w:tc>
          <w:tcPr>
            <w:tcW w:w="6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Loan</w:t>
            </w: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4.75%</w:t>
            </w:r>
          </w:p>
        </w:tc>
        <w:tc>
          <w:tcPr>
            <w:tcW w:w="11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3/19/2021</w:t>
            </w:r>
          </w:p>
        </w:tc>
        <w:tc>
          <w:tcPr>
            <w:tcW w:w="128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997,500</w:t>
            </w:r>
          </w:p>
        </w:tc>
        <w:tc>
          <w:tcPr>
            <w:tcW w:w="8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987,960</w:t>
            </w:r>
          </w:p>
        </w:tc>
        <w:tc>
          <w:tcPr>
            <w:tcW w:w="13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996,672</w:t>
            </w:r>
          </w:p>
        </w:tc>
      </w:tr>
      <w:tr>
        <w:trPr>
          <w:trHeight w:val="149"/>
        </w:trPr>
        <w:tc>
          <w:tcPr>
            <w:tcW w:w="2680" w:type="dxa"/>
            <w:vAlign w:val="bottom"/>
          </w:tcPr>
          <w:p>
            <w:pPr>
              <w:spacing w:after="0" w:line="149" w:lineRule="exact"/>
              <w:rPr>
                <w:sz w:val="20"/>
                <w:szCs w:val="20"/>
                <w:color w:val="auto"/>
              </w:rPr>
            </w:pPr>
            <w:r>
              <w:rPr>
                <w:rFonts w:ascii="Arial" w:cs="Arial" w:eastAsia="Arial" w:hAnsi="Arial"/>
                <w:sz w:val="14"/>
                <w:szCs w:val="14"/>
                <w:color w:val="auto"/>
              </w:rPr>
              <w:t>STHI Holding</w:t>
            </w:r>
          </w:p>
        </w:tc>
        <w:tc>
          <w:tcPr>
            <w:tcW w:w="1560" w:type="dxa"/>
            <w:vAlign w:val="bottom"/>
          </w:tcPr>
          <w:p>
            <w:pPr>
              <w:ind w:left="200"/>
              <w:spacing w:after="0" w:line="149" w:lineRule="exact"/>
              <w:rPr>
                <w:sz w:val="20"/>
                <w:szCs w:val="20"/>
                <w:color w:val="auto"/>
              </w:rPr>
            </w:pPr>
            <w:r>
              <w:rPr>
                <w:rFonts w:ascii="Arial" w:cs="Arial" w:eastAsia="Arial" w:hAnsi="Arial"/>
                <w:sz w:val="14"/>
                <w:szCs w:val="14"/>
                <w:color w:val="auto"/>
              </w:rPr>
              <w:t>Healthcare</w:t>
            </w:r>
          </w:p>
        </w:tc>
        <w:tc>
          <w:tcPr>
            <w:tcW w:w="1120" w:type="dxa"/>
            <w:vAlign w:val="bottom"/>
          </w:tcPr>
          <w:p>
            <w:pPr>
              <w:ind w:left="180"/>
              <w:spacing w:after="0" w:line="149" w:lineRule="exact"/>
              <w:rPr>
                <w:sz w:val="20"/>
                <w:szCs w:val="20"/>
                <w:color w:val="auto"/>
              </w:rPr>
            </w:pPr>
            <w:r>
              <w:rPr>
                <w:rFonts w:ascii="Arial" w:cs="Arial" w:eastAsia="Arial" w:hAnsi="Arial"/>
                <w:sz w:val="14"/>
                <w:szCs w:val="14"/>
                <w:color w:val="auto"/>
              </w:rPr>
              <w:t>Term Loan</w:t>
            </w:r>
          </w:p>
        </w:tc>
        <w:tc>
          <w:tcPr>
            <w:tcW w:w="660" w:type="dxa"/>
            <w:vAlign w:val="bottom"/>
          </w:tcPr>
          <w:p>
            <w:pPr>
              <w:ind w:left="180"/>
              <w:spacing w:after="0" w:line="149" w:lineRule="exact"/>
              <w:rPr>
                <w:sz w:val="20"/>
                <w:szCs w:val="20"/>
                <w:color w:val="auto"/>
              </w:rPr>
            </w:pPr>
            <w:r>
              <w:rPr>
                <w:rFonts w:ascii="Arial" w:cs="Arial" w:eastAsia="Arial" w:hAnsi="Arial"/>
                <w:sz w:val="14"/>
                <w:szCs w:val="14"/>
                <w:color w:val="auto"/>
              </w:rPr>
              <w:t>Loan</w:t>
            </w:r>
          </w:p>
        </w:tc>
        <w:tc>
          <w:tcPr>
            <w:tcW w:w="8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4.50%</w:t>
            </w:r>
          </w:p>
        </w:tc>
        <w:tc>
          <w:tcPr>
            <w:tcW w:w="1120" w:type="dxa"/>
            <w:vAlign w:val="bottom"/>
          </w:tcPr>
          <w:p>
            <w:pPr>
              <w:jc w:val="right"/>
              <w:ind w:right="168"/>
              <w:spacing w:after="0" w:line="149" w:lineRule="exact"/>
              <w:rPr>
                <w:sz w:val="20"/>
                <w:szCs w:val="20"/>
                <w:color w:val="auto"/>
              </w:rPr>
            </w:pPr>
            <w:r>
              <w:rPr>
                <w:rFonts w:ascii="Arial" w:cs="Arial" w:eastAsia="Arial" w:hAnsi="Arial"/>
                <w:sz w:val="14"/>
                <w:szCs w:val="14"/>
                <w:color w:val="auto"/>
              </w:rPr>
              <w:t>8/6/2021</w:t>
            </w:r>
          </w:p>
        </w:tc>
        <w:tc>
          <w:tcPr>
            <w:tcW w:w="1280" w:type="dxa"/>
            <w:vAlign w:val="bottom"/>
          </w:tcPr>
          <w:p>
            <w:pPr>
              <w:jc w:val="right"/>
              <w:ind w:right="388"/>
              <w:spacing w:after="0" w:line="149" w:lineRule="exact"/>
              <w:rPr>
                <w:sz w:val="20"/>
                <w:szCs w:val="20"/>
                <w:color w:val="auto"/>
              </w:rPr>
            </w:pPr>
            <w:r>
              <w:rPr>
                <w:rFonts w:ascii="Arial" w:cs="Arial" w:eastAsia="Arial" w:hAnsi="Arial"/>
                <w:sz w:val="14"/>
                <w:szCs w:val="14"/>
                <w:color w:val="auto"/>
              </w:rPr>
              <w:t>1,000,000</w:t>
            </w:r>
          </w:p>
        </w:tc>
        <w:tc>
          <w:tcPr>
            <w:tcW w:w="820" w:type="dxa"/>
            <w:vAlign w:val="bottom"/>
            <w:gridSpan w:val="3"/>
          </w:tcPr>
          <w:p>
            <w:pPr>
              <w:jc w:val="right"/>
              <w:ind w:right="20"/>
              <w:spacing w:after="0" w:line="149" w:lineRule="exact"/>
              <w:rPr>
                <w:sz w:val="20"/>
                <w:szCs w:val="20"/>
                <w:color w:val="auto"/>
              </w:rPr>
            </w:pPr>
            <w:r>
              <w:rPr>
                <w:rFonts w:ascii="Arial" w:cs="Arial" w:eastAsia="Arial" w:hAnsi="Arial"/>
                <w:sz w:val="14"/>
                <w:szCs w:val="14"/>
                <w:color w:val="auto"/>
              </w:rPr>
              <w:t>995,003</w:t>
            </w:r>
          </w:p>
        </w:tc>
        <w:tc>
          <w:tcPr>
            <w:tcW w:w="132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995,630</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SunGard Data Systems Inc (Solar Capital</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Conglomerate</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Tranche C</w:t>
            </w:r>
          </w:p>
        </w:tc>
        <w:tc>
          <w:tcPr>
            <w:tcW w:w="6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20"/>
                <w:szCs w:val="20"/>
                <w:color w:val="auto"/>
              </w:rPr>
            </w:pPr>
            <w:r>
              <w:rPr>
                <w:rFonts w:ascii="Arial" w:cs="Arial" w:eastAsia="Arial" w:hAnsi="Arial"/>
                <w:sz w:val="14"/>
                <w:szCs w:val="14"/>
                <w:color w:val="auto"/>
              </w:rPr>
              <w:t>Corp.)</w:t>
            </w:r>
          </w:p>
        </w:tc>
        <w:tc>
          <w:tcPr>
            <w:tcW w:w="1560" w:type="dxa"/>
            <w:vAlign w:val="bottom"/>
            <w:shd w:val="clear" w:color="auto" w:fill="CCEEFF"/>
          </w:tcPr>
          <w:p>
            <w:pPr>
              <w:spacing w:after="0"/>
              <w:rPr>
                <w:sz w:val="14"/>
                <w:szCs w:val="14"/>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Term Loan</w:t>
            </w:r>
          </w:p>
        </w:tc>
        <w:tc>
          <w:tcPr>
            <w:tcW w:w="6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3.90%</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2/28/2017</w:t>
            </w:r>
          </w:p>
        </w:tc>
        <w:tc>
          <w:tcPr>
            <w:tcW w:w="12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285,352</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282,591</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285,232</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SunGard Data Systems Inc (Solar Capital</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Conglomerate</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Tranche E</w:t>
            </w:r>
          </w:p>
        </w:tc>
        <w:tc>
          <w:tcPr>
            <w:tcW w:w="66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80" w:type="dxa"/>
            <w:vAlign w:val="bottom"/>
          </w:tcPr>
          <w:p>
            <w:pPr>
              <w:spacing w:after="0"/>
              <w:rPr>
                <w:sz w:val="20"/>
                <w:szCs w:val="20"/>
                <w:color w:val="auto"/>
              </w:rPr>
            </w:pPr>
            <w:r>
              <w:rPr>
                <w:rFonts w:ascii="Arial" w:cs="Arial" w:eastAsia="Arial" w:hAnsi="Arial"/>
                <w:sz w:val="14"/>
                <w:szCs w:val="14"/>
                <w:color w:val="auto"/>
              </w:rPr>
              <w:t>Corp.)</w:t>
            </w:r>
          </w:p>
        </w:tc>
        <w:tc>
          <w:tcPr>
            <w:tcW w:w="1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4"/>
                <w:szCs w:val="14"/>
                <w:color w:val="auto"/>
              </w:rPr>
              <w:t>Term Loan</w:t>
            </w:r>
          </w:p>
        </w:tc>
        <w:tc>
          <w:tcPr>
            <w:tcW w:w="6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4.00%</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3/9/2020</w:t>
            </w:r>
          </w:p>
        </w:tc>
        <w:tc>
          <w:tcPr>
            <w:tcW w:w="1280" w:type="dxa"/>
            <w:vAlign w:val="bottom"/>
          </w:tcPr>
          <w:p>
            <w:pPr>
              <w:jc w:val="right"/>
              <w:ind w:right="388"/>
              <w:spacing w:after="0"/>
              <w:rPr>
                <w:sz w:val="20"/>
                <w:szCs w:val="20"/>
                <w:color w:val="auto"/>
              </w:rPr>
            </w:pPr>
            <w:r>
              <w:rPr>
                <w:rFonts w:ascii="Arial" w:cs="Arial" w:eastAsia="Arial" w:hAnsi="Arial"/>
                <w:sz w:val="14"/>
                <w:szCs w:val="14"/>
                <w:color w:val="auto"/>
              </w:rPr>
              <w:t>3,707,953</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3,610,543</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3,689,413</w:t>
            </w:r>
          </w:p>
        </w:tc>
      </w:tr>
      <w:tr>
        <w:trPr>
          <w:trHeight w:val="149"/>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SuperMedia Inc. (fka Idearc Inc.)</w:t>
            </w:r>
          </w:p>
        </w:tc>
        <w:tc>
          <w:tcPr>
            <w:tcW w:w="1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Publishing</w:t>
            </w:r>
          </w:p>
        </w:tc>
        <w:tc>
          <w:tcPr>
            <w:tcW w:w="1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Loan</w:t>
            </w:r>
          </w:p>
        </w:tc>
        <w:tc>
          <w:tcPr>
            <w:tcW w:w="66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Loan</w:t>
            </w:r>
          </w:p>
        </w:tc>
        <w:tc>
          <w:tcPr>
            <w:tcW w:w="860" w:type="dxa"/>
            <w:vAlign w:val="bottom"/>
            <w:shd w:val="clear" w:color="auto" w:fill="CCEEFF"/>
          </w:tcPr>
          <w:p>
            <w:pPr>
              <w:jc w:val="right"/>
              <w:ind w:right="148"/>
              <w:spacing w:after="0" w:line="149" w:lineRule="exact"/>
              <w:rPr>
                <w:sz w:val="20"/>
                <w:szCs w:val="20"/>
                <w:color w:val="auto"/>
              </w:rPr>
            </w:pPr>
            <w:r>
              <w:rPr>
                <w:rFonts w:ascii="Arial" w:cs="Arial" w:eastAsia="Arial" w:hAnsi="Arial"/>
                <w:sz w:val="14"/>
                <w:szCs w:val="14"/>
                <w:color w:val="auto"/>
              </w:rPr>
              <w:t>11.60%</w:t>
            </w:r>
          </w:p>
        </w:tc>
        <w:tc>
          <w:tcPr>
            <w:tcW w:w="1120" w:type="dxa"/>
            <w:vAlign w:val="bottom"/>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12/30/2016</w:t>
            </w:r>
          </w:p>
        </w:tc>
        <w:tc>
          <w:tcPr>
            <w:tcW w:w="1280" w:type="dxa"/>
            <w:vAlign w:val="bottom"/>
            <w:shd w:val="clear" w:color="auto" w:fill="CCEEFF"/>
          </w:tcPr>
          <w:p>
            <w:pPr>
              <w:jc w:val="right"/>
              <w:ind w:right="388"/>
              <w:spacing w:after="0" w:line="149" w:lineRule="exact"/>
              <w:rPr>
                <w:sz w:val="20"/>
                <w:szCs w:val="20"/>
                <w:color w:val="auto"/>
              </w:rPr>
            </w:pPr>
            <w:r>
              <w:rPr>
                <w:rFonts w:ascii="Arial" w:cs="Arial" w:eastAsia="Arial" w:hAnsi="Arial"/>
                <w:sz w:val="14"/>
                <w:szCs w:val="14"/>
                <w:color w:val="auto"/>
              </w:rPr>
              <w:t>252,782</w:t>
            </w:r>
          </w:p>
        </w:tc>
        <w:tc>
          <w:tcPr>
            <w:tcW w:w="820" w:type="dxa"/>
            <w:vAlign w:val="bottom"/>
            <w:gridSpan w:val="3"/>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244,705</w:t>
            </w:r>
          </w:p>
        </w:tc>
        <w:tc>
          <w:tcPr>
            <w:tcW w:w="132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218,183</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Syniverse Holdings, Inc.</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Telecommunications</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Initial Term</w:t>
            </w:r>
          </w:p>
        </w:tc>
        <w:tc>
          <w:tcPr>
            <w:tcW w:w="66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4"/>
                <w:szCs w:val="14"/>
                <w:color w:val="auto"/>
              </w:rPr>
              <w:t>Loan</w:t>
            </w:r>
          </w:p>
        </w:tc>
        <w:tc>
          <w:tcPr>
            <w:tcW w:w="6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4.00%</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4/23/2019</w:t>
            </w:r>
          </w:p>
        </w:tc>
        <w:tc>
          <w:tcPr>
            <w:tcW w:w="1280" w:type="dxa"/>
            <w:vAlign w:val="bottom"/>
          </w:tcPr>
          <w:p>
            <w:pPr>
              <w:jc w:val="right"/>
              <w:ind w:right="388"/>
              <w:spacing w:after="0"/>
              <w:rPr>
                <w:sz w:val="20"/>
                <w:szCs w:val="20"/>
                <w:color w:val="auto"/>
              </w:rPr>
            </w:pPr>
            <w:r>
              <w:rPr>
                <w:rFonts w:ascii="Arial" w:cs="Arial" w:eastAsia="Arial" w:hAnsi="Arial"/>
                <w:sz w:val="14"/>
                <w:szCs w:val="14"/>
                <w:color w:val="auto"/>
              </w:rPr>
              <w:t>479,913</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475,748</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474,816</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Taminco Global Chemical Corporation</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Chemicals/Plastics</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Initial</w:t>
            </w:r>
          </w:p>
        </w:tc>
        <w:tc>
          <w:tcPr>
            <w:tcW w:w="6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6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Tranche B-3</w:t>
            </w:r>
          </w:p>
        </w:tc>
        <w:tc>
          <w:tcPr>
            <w:tcW w:w="6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26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Dollar Term</w:t>
            </w:r>
          </w:p>
        </w:tc>
        <w:tc>
          <w:tcPr>
            <w:tcW w:w="6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w:t>
            </w:r>
          </w:p>
        </w:tc>
        <w:tc>
          <w:tcPr>
            <w:tcW w:w="6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3.25%</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2/15/2019</w:t>
            </w:r>
          </w:p>
        </w:tc>
        <w:tc>
          <w:tcPr>
            <w:tcW w:w="12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1,466,493</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1,457,915</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1,455,495</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Team Health, Inc.</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Healthcare</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Tranche B</w:t>
            </w:r>
          </w:p>
        </w:tc>
        <w:tc>
          <w:tcPr>
            <w:tcW w:w="66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4"/>
                <w:szCs w:val="14"/>
                <w:color w:val="auto"/>
              </w:rPr>
              <w:t>Term Loan</w:t>
            </w:r>
          </w:p>
        </w:tc>
        <w:tc>
          <w:tcPr>
            <w:tcW w:w="6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3.75%</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6/29/2018</w:t>
            </w:r>
          </w:p>
        </w:tc>
        <w:tc>
          <w:tcPr>
            <w:tcW w:w="1280" w:type="dxa"/>
            <w:vAlign w:val="bottom"/>
          </w:tcPr>
          <w:p>
            <w:pPr>
              <w:jc w:val="right"/>
              <w:ind w:right="388"/>
              <w:spacing w:after="0"/>
              <w:rPr>
                <w:sz w:val="20"/>
                <w:szCs w:val="20"/>
                <w:color w:val="auto"/>
              </w:rPr>
            </w:pPr>
            <w:r>
              <w:rPr>
                <w:rFonts w:ascii="Arial" w:cs="Arial" w:eastAsia="Arial" w:hAnsi="Arial"/>
                <w:sz w:val="14"/>
                <w:szCs w:val="14"/>
                <w:color w:val="auto"/>
              </w:rPr>
              <w:t>4,365,000</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4,349,553</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4,343,175</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TGI Friday’s</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Food Services</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Term Loan</w:t>
            </w:r>
          </w:p>
        </w:tc>
        <w:tc>
          <w:tcPr>
            <w:tcW w:w="6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B</w:t>
            </w:r>
          </w:p>
        </w:tc>
        <w:tc>
          <w:tcPr>
            <w:tcW w:w="6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5.25%</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7/15/2020</w:t>
            </w:r>
          </w:p>
        </w:tc>
        <w:tc>
          <w:tcPr>
            <w:tcW w:w="12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1,000,000</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995,076</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995,630</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TransDigm Inc.</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Aerospace and</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Tranche C</w:t>
            </w:r>
          </w:p>
        </w:tc>
        <w:tc>
          <w:tcPr>
            <w:tcW w:w="66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ind w:left="200"/>
              <w:spacing w:after="0"/>
              <w:rPr>
                <w:sz w:val="20"/>
                <w:szCs w:val="20"/>
                <w:color w:val="auto"/>
              </w:rPr>
            </w:pPr>
            <w:r>
              <w:rPr>
                <w:rFonts w:ascii="Arial" w:cs="Arial" w:eastAsia="Arial" w:hAnsi="Arial"/>
                <w:sz w:val="14"/>
                <w:szCs w:val="14"/>
                <w:color w:val="auto"/>
              </w:rPr>
              <w:t>Defense</w:t>
            </w:r>
          </w:p>
        </w:tc>
        <w:tc>
          <w:tcPr>
            <w:tcW w:w="1120" w:type="dxa"/>
            <w:vAlign w:val="bottom"/>
          </w:tcPr>
          <w:p>
            <w:pPr>
              <w:ind w:left="180"/>
              <w:spacing w:after="0"/>
              <w:rPr>
                <w:sz w:val="20"/>
                <w:szCs w:val="20"/>
                <w:color w:val="auto"/>
              </w:rPr>
            </w:pPr>
            <w:r>
              <w:rPr>
                <w:rFonts w:ascii="Arial" w:cs="Arial" w:eastAsia="Arial" w:hAnsi="Arial"/>
                <w:sz w:val="14"/>
                <w:szCs w:val="14"/>
                <w:color w:val="auto"/>
              </w:rPr>
              <w:t>Term Loan</w:t>
            </w:r>
          </w:p>
        </w:tc>
        <w:tc>
          <w:tcPr>
            <w:tcW w:w="6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3.75%</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2/28/2020</w:t>
            </w:r>
          </w:p>
        </w:tc>
        <w:tc>
          <w:tcPr>
            <w:tcW w:w="1280" w:type="dxa"/>
            <w:vAlign w:val="bottom"/>
          </w:tcPr>
          <w:p>
            <w:pPr>
              <w:jc w:val="right"/>
              <w:ind w:right="388"/>
              <w:spacing w:after="0"/>
              <w:rPr>
                <w:sz w:val="20"/>
                <w:szCs w:val="20"/>
                <w:color w:val="auto"/>
              </w:rPr>
            </w:pPr>
            <w:r>
              <w:rPr>
                <w:rFonts w:ascii="Arial" w:cs="Arial" w:eastAsia="Arial" w:hAnsi="Arial"/>
                <w:sz w:val="14"/>
                <w:szCs w:val="14"/>
                <w:color w:val="auto"/>
              </w:rPr>
              <w:t>4,871,784</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4,881,456</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4,818,341</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TransUnion</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Financial</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Term Loan</w:t>
            </w:r>
          </w:p>
        </w:tc>
        <w:tc>
          <w:tcPr>
            <w:tcW w:w="6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Intermediaries</w:t>
            </w:r>
          </w:p>
        </w:tc>
        <w:tc>
          <w:tcPr>
            <w:tcW w:w="1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4.00%</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4/9/2021</w:t>
            </w:r>
          </w:p>
        </w:tc>
        <w:tc>
          <w:tcPr>
            <w:tcW w:w="12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498,750</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497,586</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495,508</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Tricorbraun Inc. (fka Kranson Industries,</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Containers/Glass</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Loan</w:t>
            </w:r>
          </w:p>
        </w:tc>
        <w:tc>
          <w:tcPr>
            <w:tcW w:w="66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80" w:type="dxa"/>
            <w:vAlign w:val="bottom"/>
          </w:tcPr>
          <w:p>
            <w:pPr>
              <w:spacing w:after="0"/>
              <w:rPr>
                <w:sz w:val="20"/>
                <w:szCs w:val="20"/>
                <w:color w:val="auto"/>
              </w:rPr>
            </w:pPr>
            <w:r>
              <w:rPr>
                <w:rFonts w:ascii="Arial" w:cs="Arial" w:eastAsia="Arial" w:hAnsi="Arial"/>
                <w:sz w:val="14"/>
                <w:szCs w:val="14"/>
                <w:color w:val="auto"/>
              </w:rPr>
              <w:t>Inc.)</w:t>
            </w:r>
          </w:p>
        </w:tc>
        <w:tc>
          <w:tcPr>
            <w:tcW w:w="1560" w:type="dxa"/>
            <w:vAlign w:val="bottom"/>
          </w:tcPr>
          <w:p>
            <w:pPr>
              <w:ind w:left="200"/>
              <w:spacing w:after="0"/>
              <w:rPr>
                <w:sz w:val="20"/>
                <w:szCs w:val="20"/>
                <w:color w:val="auto"/>
              </w:rPr>
            </w:pPr>
            <w:r>
              <w:rPr>
                <w:rFonts w:ascii="Arial" w:cs="Arial" w:eastAsia="Arial" w:hAnsi="Arial"/>
                <w:sz w:val="14"/>
                <w:szCs w:val="14"/>
                <w:color w:val="auto"/>
              </w:rPr>
              <w:t>Products</w:t>
            </w: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4.00%</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5/3/2018</w:t>
            </w:r>
          </w:p>
        </w:tc>
        <w:tc>
          <w:tcPr>
            <w:tcW w:w="1280" w:type="dxa"/>
            <w:vAlign w:val="bottom"/>
          </w:tcPr>
          <w:p>
            <w:pPr>
              <w:jc w:val="right"/>
              <w:ind w:right="388"/>
              <w:spacing w:after="0"/>
              <w:rPr>
                <w:sz w:val="20"/>
                <w:szCs w:val="20"/>
                <w:color w:val="auto"/>
              </w:rPr>
            </w:pPr>
            <w:r>
              <w:rPr>
                <w:rFonts w:ascii="Arial" w:cs="Arial" w:eastAsia="Arial" w:hAnsi="Arial"/>
                <w:sz w:val="14"/>
                <w:szCs w:val="14"/>
                <w:color w:val="auto"/>
              </w:rPr>
              <w:t>1,902,083</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1,893,866</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1,897,328</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Truven Health Analytics Inc. (fka</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Healthcare</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New</w:t>
            </w:r>
          </w:p>
        </w:tc>
        <w:tc>
          <w:tcPr>
            <w:tcW w:w="6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6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Thomson Reuters (Healthcare) Inc.)</w:t>
            </w:r>
          </w:p>
        </w:tc>
        <w:tc>
          <w:tcPr>
            <w:tcW w:w="1560" w:type="dxa"/>
            <w:vAlign w:val="bottom"/>
            <w:shd w:val="clear" w:color="auto" w:fill="CCEEFF"/>
          </w:tcPr>
          <w:p>
            <w:pPr>
              <w:spacing w:after="0"/>
              <w:rPr>
                <w:sz w:val="12"/>
                <w:szCs w:val="12"/>
                <w:color w:val="auto"/>
              </w:rPr>
            </w:pPr>
          </w:p>
        </w:tc>
        <w:tc>
          <w:tcPr>
            <w:tcW w:w="1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Tranche B</w:t>
            </w:r>
          </w:p>
        </w:tc>
        <w:tc>
          <w:tcPr>
            <w:tcW w:w="6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Term Loan</w:t>
            </w:r>
          </w:p>
        </w:tc>
        <w:tc>
          <w:tcPr>
            <w:tcW w:w="6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4.50%</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6/6/2019</w:t>
            </w:r>
          </w:p>
        </w:tc>
        <w:tc>
          <w:tcPr>
            <w:tcW w:w="12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490,047</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481,472</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485,759</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Twin River Management</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Lodging &amp; Casinos</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Loan</w:t>
            </w:r>
          </w:p>
        </w:tc>
        <w:tc>
          <w:tcPr>
            <w:tcW w:w="66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4"/>
                <w:szCs w:val="14"/>
                <w:color w:val="auto"/>
              </w:rPr>
              <w:t>B</w:t>
            </w:r>
          </w:p>
        </w:tc>
        <w:tc>
          <w:tcPr>
            <w:tcW w:w="6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5.25%</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7/10/2020</w:t>
            </w:r>
          </w:p>
        </w:tc>
        <w:tc>
          <w:tcPr>
            <w:tcW w:w="1280" w:type="dxa"/>
            <w:vAlign w:val="bottom"/>
          </w:tcPr>
          <w:p>
            <w:pPr>
              <w:jc w:val="right"/>
              <w:ind w:right="388"/>
              <w:spacing w:after="0"/>
              <w:rPr>
                <w:sz w:val="20"/>
                <w:szCs w:val="20"/>
                <w:color w:val="auto"/>
              </w:rPr>
            </w:pPr>
            <w:r>
              <w:rPr>
                <w:rFonts w:ascii="Arial" w:cs="Arial" w:eastAsia="Arial" w:hAnsi="Arial"/>
                <w:sz w:val="14"/>
                <w:szCs w:val="14"/>
                <w:color w:val="auto"/>
              </w:rPr>
              <w:t>1,000,000</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1,002,256</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999,170</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U.S. Security Associates Holdings, Inc.</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Business Equipment</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Delayed</w:t>
            </w:r>
          </w:p>
        </w:tc>
        <w:tc>
          <w:tcPr>
            <w:tcW w:w="6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and Services</w:t>
            </w: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Draw Loan</w:t>
            </w:r>
          </w:p>
        </w:tc>
        <w:tc>
          <w:tcPr>
            <w:tcW w:w="6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6.00%</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7/28/2017</w:t>
            </w:r>
          </w:p>
        </w:tc>
        <w:tc>
          <w:tcPr>
            <w:tcW w:w="12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159,332</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158,264</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158,536</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U.S. Security Associates Holdings, Inc.</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Business Equipment</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B</w:t>
            </w:r>
          </w:p>
        </w:tc>
        <w:tc>
          <w:tcPr>
            <w:tcW w:w="66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ind w:left="200"/>
              <w:spacing w:after="0"/>
              <w:rPr>
                <w:sz w:val="20"/>
                <w:szCs w:val="20"/>
                <w:color w:val="auto"/>
              </w:rPr>
            </w:pPr>
            <w:r>
              <w:rPr>
                <w:rFonts w:ascii="Arial" w:cs="Arial" w:eastAsia="Arial" w:hAnsi="Arial"/>
                <w:sz w:val="14"/>
                <w:szCs w:val="14"/>
                <w:color w:val="auto"/>
              </w:rPr>
              <w:t>and Services</w:t>
            </w:r>
          </w:p>
        </w:tc>
        <w:tc>
          <w:tcPr>
            <w:tcW w:w="1120" w:type="dxa"/>
            <w:vAlign w:val="bottom"/>
          </w:tcPr>
          <w:p>
            <w:pPr>
              <w:ind w:left="180"/>
              <w:spacing w:after="0"/>
              <w:rPr>
                <w:sz w:val="20"/>
                <w:szCs w:val="20"/>
                <w:color w:val="auto"/>
              </w:rPr>
            </w:pPr>
            <w:r>
              <w:rPr>
                <w:rFonts w:ascii="Arial" w:cs="Arial" w:eastAsia="Arial" w:hAnsi="Arial"/>
                <w:sz w:val="14"/>
                <w:szCs w:val="14"/>
                <w:color w:val="auto"/>
              </w:rPr>
              <w:t>Loan</w:t>
            </w:r>
          </w:p>
        </w:tc>
        <w:tc>
          <w:tcPr>
            <w:tcW w:w="6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6.00%</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7/28/2017</w:t>
            </w:r>
          </w:p>
        </w:tc>
        <w:tc>
          <w:tcPr>
            <w:tcW w:w="1280" w:type="dxa"/>
            <w:vAlign w:val="bottom"/>
          </w:tcPr>
          <w:p>
            <w:pPr>
              <w:jc w:val="right"/>
              <w:ind w:right="388"/>
              <w:spacing w:after="0"/>
              <w:rPr>
                <w:sz w:val="20"/>
                <w:szCs w:val="20"/>
                <w:color w:val="auto"/>
              </w:rPr>
            </w:pPr>
            <w:r>
              <w:rPr>
                <w:rFonts w:ascii="Arial" w:cs="Arial" w:eastAsia="Arial" w:hAnsi="Arial"/>
                <w:sz w:val="14"/>
                <w:szCs w:val="14"/>
                <w:color w:val="auto"/>
              </w:rPr>
              <w:t>935,857</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930,087</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931,177</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United Surgical Partners International, Inc.</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Healthcare</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New</w:t>
            </w:r>
          </w:p>
        </w:tc>
        <w:tc>
          <w:tcPr>
            <w:tcW w:w="6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6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Tranche B</w:t>
            </w:r>
          </w:p>
        </w:tc>
        <w:tc>
          <w:tcPr>
            <w:tcW w:w="6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Term Loan</w:t>
            </w:r>
          </w:p>
        </w:tc>
        <w:tc>
          <w:tcPr>
            <w:tcW w:w="6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4.75%</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4/3/2019</w:t>
            </w:r>
          </w:p>
        </w:tc>
        <w:tc>
          <w:tcPr>
            <w:tcW w:w="12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2,444,124</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2,418,323</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2,431,904</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Univar Inc.</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Chemicals/Plastics</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B</w:t>
            </w:r>
          </w:p>
        </w:tc>
        <w:tc>
          <w:tcPr>
            <w:tcW w:w="66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4"/>
                <w:szCs w:val="14"/>
                <w:color w:val="auto"/>
              </w:rPr>
              <w:t>Loan</w:t>
            </w:r>
          </w:p>
        </w:tc>
        <w:tc>
          <w:tcPr>
            <w:tcW w:w="6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5.00%</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6/30/2017</w:t>
            </w:r>
          </w:p>
        </w:tc>
        <w:tc>
          <w:tcPr>
            <w:tcW w:w="1280" w:type="dxa"/>
            <w:vAlign w:val="bottom"/>
          </w:tcPr>
          <w:p>
            <w:pPr>
              <w:jc w:val="right"/>
              <w:ind w:right="388"/>
              <w:spacing w:after="0"/>
              <w:rPr>
                <w:sz w:val="20"/>
                <w:szCs w:val="20"/>
                <w:color w:val="auto"/>
              </w:rPr>
            </w:pPr>
            <w:r>
              <w:rPr>
                <w:rFonts w:ascii="Arial" w:cs="Arial" w:eastAsia="Arial" w:hAnsi="Arial"/>
                <w:sz w:val="14"/>
                <w:szCs w:val="14"/>
                <w:color w:val="auto"/>
              </w:rPr>
              <w:t>3,864,954</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3,864,526</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3,854,325</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Univision Communications Inc.</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Telecommunications</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Replacement</w:t>
            </w:r>
          </w:p>
        </w:tc>
        <w:tc>
          <w:tcPr>
            <w:tcW w:w="6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680" w:type="dxa"/>
            <w:vAlign w:val="bottom"/>
            <w:shd w:val="clear" w:color="auto" w:fill="CCEEFF"/>
          </w:tcPr>
          <w:p>
            <w:pPr>
              <w:spacing w:after="0"/>
              <w:rPr>
                <w:sz w:val="12"/>
                <w:szCs w:val="12"/>
                <w:color w:val="auto"/>
              </w:rPr>
            </w:pPr>
          </w:p>
        </w:tc>
        <w:tc>
          <w:tcPr>
            <w:tcW w:w="1560" w:type="dxa"/>
            <w:vAlign w:val="bottom"/>
            <w:shd w:val="clear" w:color="auto" w:fill="CCEEFF"/>
          </w:tcPr>
          <w:p>
            <w:pPr>
              <w:spacing w:after="0"/>
              <w:rPr>
                <w:sz w:val="12"/>
                <w:szCs w:val="12"/>
                <w:color w:val="auto"/>
              </w:rPr>
            </w:pPr>
          </w:p>
        </w:tc>
        <w:tc>
          <w:tcPr>
            <w:tcW w:w="1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First-Lien</w:t>
            </w:r>
          </w:p>
        </w:tc>
        <w:tc>
          <w:tcPr>
            <w:tcW w:w="6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Term Loan</w:t>
            </w:r>
          </w:p>
        </w:tc>
        <w:tc>
          <w:tcPr>
            <w:tcW w:w="6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4.00%</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3/1/2020</w:t>
            </w:r>
          </w:p>
        </w:tc>
        <w:tc>
          <w:tcPr>
            <w:tcW w:w="12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2,962,612</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2,945,669</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2,938,290</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w w:val="99"/>
              </w:rPr>
              <w:t>Valeant Pharmaceuticals International, Inc.</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Drugs</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Series D2</w:t>
            </w:r>
          </w:p>
        </w:tc>
        <w:tc>
          <w:tcPr>
            <w:tcW w:w="66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6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120" w:type="dxa"/>
            <w:vAlign w:val="bottom"/>
          </w:tcPr>
          <w:p>
            <w:pPr>
              <w:ind w:left="180"/>
              <w:spacing w:after="0" w:line="149" w:lineRule="exact"/>
              <w:rPr>
                <w:sz w:val="20"/>
                <w:szCs w:val="20"/>
                <w:color w:val="auto"/>
              </w:rPr>
            </w:pPr>
            <w:r>
              <w:rPr>
                <w:rFonts w:ascii="Arial" w:cs="Arial" w:eastAsia="Arial" w:hAnsi="Arial"/>
                <w:sz w:val="14"/>
                <w:szCs w:val="14"/>
                <w:color w:val="auto"/>
              </w:rPr>
              <w:t>Term Loan</w:t>
            </w:r>
          </w:p>
        </w:tc>
        <w:tc>
          <w:tcPr>
            <w:tcW w:w="6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4"/>
                <w:szCs w:val="14"/>
                <w:color w:val="auto"/>
              </w:rPr>
              <w:t>B</w:t>
            </w:r>
          </w:p>
        </w:tc>
        <w:tc>
          <w:tcPr>
            <w:tcW w:w="6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3.75%</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2/13/2019</w:t>
            </w:r>
          </w:p>
        </w:tc>
        <w:tc>
          <w:tcPr>
            <w:tcW w:w="1280" w:type="dxa"/>
            <w:vAlign w:val="bottom"/>
          </w:tcPr>
          <w:p>
            <w:pPr>
              <w:jc w:val="right"/>
              <w:ind w:right="388"/>
              <w:spacing w:after="0"/>
              <w:rPr>
                <w:sz w:val="20"/>
                <w:szCs w:val="20"/>
                <w:color w:val="auto"/>
              </w:rPr>
            </w:pPr>
            <w:r>
              <w:rPr>
                <w:rFonts w:ascii="Arial" w:cs="Arial" w:eastAsia="Arial" w:hAnsi="Arial"/>
                <w:sz w:val="14"/>
                <w:szCs w:val="14"/>
                <w:color w:val="auto"/>
              </w:rPr>
              <w:t>2,545,588</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2,536,761</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2,532,861</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Verint Systems Inc.</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Business Equipment</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Term Loan</w:t>
            </w:r>
          </w:p>
        </w:tc>
        <w:tc>
          <w:tcPr>
            <w:tcW w:w="6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and Services</w:t>
            </w:r>
          </w:p>
        </w:tc>
        <w:tc>
          <w:tcPr>
            <w:tcW w:w="1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3.50%</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9/6/2019</w:t>
            </w:r>
          </w:p>
        </w:tc>
        <w:tc>
          <w:tcPr>
            <w:tcW w:w="12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1,264,058</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1,259,071</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1,258,370</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Vertafore, Inc.</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Business Equipment</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Loan</w:t>
            </w:r>
          </w:p>
        </w:tc>
        <w:tc>
          <w:tcPr>
            <w:tcW w:w="66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ind w:left="200"/>
              <w:spacing w:after="0"/>
              <w:rPr>
                <w:sz w:val="20"/>
                <w:szCs w:val="20"/>
                <w:color w:val="auto"/>
              </w:rPr>
            </w:pPr>
            <w:r>
              <w:rPr>
                <w:rFonts w:ascii="Arial" w:cs="Arial" w:eastAsia="Arial" w:hAnsi="Arial"/>
                <w:sz w:val="14"/>
                <w:szCs w:val="14"/>
                <w:color w:val="auto"/>
              </w:rPr>
              <w:t>and Services</w:t>
            </w:r>
          </w:p>
        </w:tc>
        <w:tc>
          <w:tcPr>
            <w:tcW w:w="1120" w:type="dxa"/>
            <w:vAlign w:val="bottom"/>
          </w:tcPr>
          <w:p>
            <w:pPr>
              <w:ind w:left="180"/>
              <w:spacing w:after="0"/>
              <w:rPr>
                <w:sz w:val="20"/>
                <w:szCs w:val="20"/>
                <w:color w:val="auto"/>
              </w:rPr>
            </w:pPr>
            <w:r>
              <w:rPr>
                <w:rFonts w:ascii="Arial" w:cs="Arial" w:eastAsia="Arial" w:hAnsi="Arial"/>
                <w:sz w:val="14"/>
                <w:szCs w:val="14"/>
                <w:color w:val="auto"/>
              </w:rPr>
              <w:t>(2013)</w:t>
            </w:r>
          </w:p>
        </w:tc>
        <w:tc>
          <w:tcPr>
            <w:tcW w:w="6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4.25%</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10/3/2019</w:t>
            </w:r>
          </w:p>
        </w:tc>
        <w:tc>
          <w:tcPr>
            <w:tcW w:w="1280" w:type="dxa"/>
            <w:vAlign w:val="bottom"/>
          </w:tcPr>
          <w:p>
            <w:pPr>
              <w:jc w:val="right"/>
              <w:ind w:right="388"/>
              <w:spacing w:after="0"/>
              <w:rPr>
                <w:sz w:val="20"/>
                <w:szCs w:val="20"/>
                <w:color w:val="auto"/>
              </w:rPr>
            </w:pPr>
            <w:r>
              <w:rPr>
                <w:rFonts w:ascii="Arial" w:cs="Arial" w:eastAsia="Arial" w:hAnsi="Arial"/>
                <w:sz w:val="14"/>
                <w:szCs w:val="14"/>
                <w:color w:val="auto"/>
              </w:rPr>
              <w:t>2,881,003</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2,881,003</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2,873,800</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Visant Corporation (fka Jostens)</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Leisure Goods/</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Tranche B</w:t>
            </w:r>
          </w:p>
        </w:tc>
        <w:tc>
          <w:tcPr>
            <w:tcW w:w="6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680" w:type="dxa"/>
            <w:vAlign w:val="bottom"/>
            <w:shd w:val="clear" w:color="auto" w:fill="CCEEFF"/>
          </w:tcPr>
          <w:p>
            <w:pPr>
              <w:spacing w:after="0"/>
              <w:rPr>
                <w:sz w:val="12"/>
                <w:szCs w:val="12"/>
                <w:color w:val="auto"/>
              </w:rPr>
            </w:pPr>
          </w:p>
        </w:tc>
        <w:tc>
          <w:tcPr>
            <w:tcW w:w="1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Activities/Movies</w:t>
            </w:r>
          </w:p>
        </w:tc>
        <w:tc>
          <w:tcPr>
            <w:tcW w:w="1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Term Loan</w:t>
            </w:r>
          </w:p>
        </w:tc>
        <w:tc>
          <w:tcPr>
            <w:tcW w:w="6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(2011)</w:t>
            </w:r>
          </w:p>
        </w:tc>
        <w:tc>
          <w:tcPr>
            <w:tcW w:w="6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5.25%</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12/22/2016</w:t>
            </w:r>
          </w:p>
        </w:tc>
        <w:tc>
          <w:tcPr>
            <w:tcW w:w="12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3,604,551</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3,604,551</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3,584,726</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Vouvray</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Industrial</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Loan</w:t>
            </w:r>
          </w:p>
        </w:tc>
        <w:tc>
          <w:tcPr>
            <w:tcW w:w="66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ind w:left="200"/>
              <w:spacing w:after="0"/>
              <w:rPr>
                <w:sz w:val="20"/>
                <w:szCs w:val="20"/>
                <w:color w:val="auto"/>
              </w:rPr>
            </w:pPr>
            <w:r>
              <w:rPr>
                <w:rFonts w:ascii="Arial" w:cs="Arial" w:eastAsia="Arial" w:hAnsi="Arial"/>
                <w:sz w:val="14"/>
                <w:szCs w:val="14"/>
                <w:color w:val="auto"/>
              </w:rPr>
              <w:t>Equipment</w:t>
            </w:r>
          </w:p>
        </w:tc>
        <w:tc>
          <w:tcPr>
            <w:tcW w:w="1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5.00%</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6/28/2021</w:t>
            </w:r>
          </w:p>
        </w:tc>
        <w:tc>
          <w:tcPr>
            <w:tcW w:w="1280" w:type="dxa"/>
            <w:vAlign w:val="bottom"/>
          </w:tcPr>
          <w:p>
            <w:pPr>
              <w:jc w:val="right"/>
              <w:ind w:right="388"/>
              <w:spacing w:after="0"/>
              <w:rPr>
                <w:sz w:val="20"/>
                <w:szCs w:val="20"/>
                <w:color w:val="auto"/>
              </w:rPr>
            </w:pPr>
            <w:r>
              <w:rPr>
                <w:rFonts w:ascii="Arial" w:cs="Arial" w:eastAsia="Arial" w:hAnsi="Arial"/>
                <w:sz w:val="14"/>
                <w:szCs w:val="14"/>
                <w:color w:val="auto"/>
              </w:rPr>
              <w:t>500,000</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497,539</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500,000</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Washington Inventory Service</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Business Equipment</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U.S. Term</w:t>
            </w:r>
          </w:p>
        </w:tc>
        <w:tc>
          <w:tcPr>
            <w:tcW w:w="6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680" w:type="dxa"/>
            <w:vAlign w:val="bottom"/>
            <w:shd w:val="clear" w:color="auto" w:fill="CCEEFF"/>
          </w:tcPr>
          <w:p>
            <w:pPr>
              <w:spacing w:after="0"/>
              <w:rPr>
                <w:sz w:val="12"/>
                <w:szCs w:val="12"/>
                <w:color w:val="auto"/>
              </w:rPr>
            </w:pPr>
          </w:p>
        </w:tc>
        <w:tc>
          <w:tcPr>
            <w:tcW w:w="156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and Services</w:t>
            </w:r>
          </w:p>
        </w:tc>
        <w:tc>
          <w:tcPr>
            <w:tcW w:w="1120" w:type="dxa"/>
            <w:vAlign w:val="bottom"/>
            <w:shd w:val="clear" w:color="auto" w:fill="CCEEFF"/>
          </w:tcPr>
          <w:p>
            <w:pPr>
              <w:ind w:left="180"/>
              <w:spacing w:after="0" w:line="149" w:lineRule="exact"/>
              <w:rPr>
                <w:sz w:val="20"/>
                <w:szCs w:val="20"/>
                <w:color w:val="auto"/>
              </w:rPr>
            </w:pPr>
            <w:r>
              <w:rPr>
                <w:rFonts w:ascii="Arial" w:cs="Arial" w:eastAsia="Arial" w:hAnsi="Arial"/>
                <w:sz w:val="14"/>
                <w:szCs w:val="14"/>
                <w:color w:val="auto"/>
              </w:rPr>
              <w:t>Loan (First</w:t>
            </w:r>
          </w:p>
        </w:tc>
        <w:tc>
          <w:tcPr>
            <w:tcW w:w="66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Lien)</w:t>
            </w:r>
          </w:p>
        </w:tc>
        <w:tc>
          <w:tcPr>
            <w:tcW w:w="6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6.75%</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12/20/2018</w:t>
            </w:r>
          </w:p>
        </w:tc>
        <w:tc>
          <w:tcPr>
            <w:tcW w:w="12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1,896,034</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1,918,563</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1,888,924</w:t>
            </w:r>
          </w:p>
        </w:tc>
      </w:tr>
      <w:tr>
        <w:trPr>
          <w:trHeight w:val="130"/>
        </w:trPr>
        <w:tc>
          <w:tcPr>
            <w:tcW w:w="2680" w:type="dxa"/>
            <w:vAlign w:val="bottom"/>
          </w:tcPr>
          <w:p>
            <w:pPr>
              <w:spacing w:after="0" w:line="130" w:lineRule="exact"/>
              <w:rPr>
                <w:sz w:val="20"/>
                <w:szCs w:val="20"/>
                <w:color w:val="auto"/>
              </w:rPr>
            </w:pPr>
            <w:r>
              <w:rPr>
                <w:rFonts w:ascii="Arial" w:cs="Arial" w:eastAsia="Arial" w:hAnsi="Arial"/>
                <w:sz w:val="14"/>
                <w:szCs w:val="14"/>
                <w:color w:val="auto"/>
              </w:rPr>
              <w:t>Wendy’s International, Inc</w:t>
            </w:r>
          </w:p>
        </w:tc>
        <w:tc>
          <w:tcPr>
            <w:tcW w:w="1560" w:type="dxa"/>
            <w:vAlign w:val="bottom"/>
          </w:tcPr>
          <w:p>
            <w:pPr>
              <w:ind w:left="200"/>
              <w:spacing w:after="0" w:line="130" w:lineRule="exact"/>
              <w:rPr>
                <w:sz w:val="20"/>
                <w:szCs w:val="20"/>
                <w:color w:val="auto"/>
              </w:rPr>
            </w:pPr>
            <w:r>
              <w:rPr>
                <w:rFonts w:ascii="Arial" w:cs="Arial" w:eastAsia="Arial" w:hAnsi="Arial"/>
                <w:sz w:val="14"/>
                <w:szCs w:val="14"/>
                <w:color w:val="auto"/>
              </w:rPr>
              <w:t>Food Services</w:t>
            </w:r>
          </w:p>
        </w:tc>
        <w:tc>
          <w:tcPr>
            <w:tcW w:w="1120" w:type="dxa"/>
            <w:vAlign w:val="bottom"/>
          </w:tcPr>
          <w:p>
            <w:pPr>
              <w:ind w:left="180"/>
              <w:spacing w:after="0" w:line="130" w:lineRule="exact"/>
              <w:rPr>
                <w:sz w:val="20"/>
                <w:szCs w:val="20"/>
                <w:color w:val="auto"/>
              </w:rPr>
            </w:pPr>
            <w:r>
              <w:rPr>
                <w:rFonts w:ascii="Arial" w:cs="Arial" w:eastAsia="Arial" w:hAnsi="Arial"/>
                <w:sz w:val="14"/>
                <w:szCs w:val="14"/>
                <w:color w:val="auto"/>
              </w:rPr>
              <w:t>Term B</w:t>
            </w:r>
          </w:p>
        </w:tc>
        <w:tc>
          <w:tcPr>
            <w:tcW w:w="660" w:type="dxa"/>
            <w:vAlign w:val="bottom"/>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120" w:type="dxa"/>
            <w:vAlign w:val="bottom"/>
          </w:tcPr>
          <w:p>
            <w:pPr>
              <w:ind w:left="180"/>
              <w:spacing w:after="0"/>
              <w:rPr>
                <w:sz w:val="20"/>
                <w:szCs w:val="20"/>
                <w:color w:val="auto"/>
              </w:rPr>
            </w:pPr>
            <w:r>
              <w:rPr>
                <w:rFonts w:ascii="Arial" w:cs="Arial" w:eastAsia="Arial" w:hAnsi="Arial"/>
                <w:sz w:val="14"/>
                <w:szCs w:val="14"/>
                <w:color w:val="auto"/>
              </w:rPr>
              <w:t>Loan</w:t>
            </w:r>
          </w:p>
        </w:tc>
        <w:tc>
          <w:tcPr>
            <w:tcW w:w="660" w:type="dxa"/>
            <w:vAlign w:val="bottom"/>
          </w:tcPr>
          <w:p>
            <w:pPr>
              <w:spacing w:after="0"/>
              <w:rPr>
                <w:sz w:val="14"/>
                <w:szCs w:val="14"/>
                <w:color w:val="auto"/>
              </w:rPr>
            </w:pPr>
          </w:p>
        </w:tc>
        <w:tc>
          <w:tcPr>
            <w:tcW w:w="860" w:type="dxa"/>
            <w:vAlign w:val="bottom"/>
          </w:tcPr>
          <w:p>
            <w:pPr>
              <w:jc w:val="right"/>
              <w:ind w:right="148"/>
              <w:spacing w:after="0"/>
              <w:rPr>
                <w:sz w:val="20"/>
                <w:szCs w:val="20"/>
                <w:color w:val="auto"/>
              </w:rPr>
            </w:pPr>
            <w:r>
              <w:rPr>
                <w:rFonts w:ascii="Arial" w:cs="Arial" w:eastAsia="Arial" w:hAnsi="Arial"/>
                <w:sz w:val="14"/>
                <w:szCs w:val="14"/>
                <w:color w:val="auto"/>
              </w:rPr>
              <w:t>3.25%</w:t>
            </w:r>
          </w:p>
        </w:tc>
        <w:tc>
          <w:tcPr>
            <w:tcW w:w="1120" w:type="dxa"/>
            <w:vAlign w:val="bottom"/>
          </w:tcPr>
          <w:p>
            <w:pPr>
              <w:jc w:val="right"/>
              <w:ind w:right="168"/>
              <w:spacing w:after="0"/>
              <w:rPr>
                <w:sz w:val="20"/>
                <w:szCs w:val="20"/>
                <w:color w:val="auto"/>
              </w:rPr>
            </w:pPr>
            <w:r>
              <w:rPr>
                <w:rFonts w:ascii="Arial" w:cs="Arial" w:eastAsia="Arial" w:hAnsi="Arial"/>
                <w:sz w:val="14"/>
                <w:szCs w:val="14"/>
                <w:color w:val="auto"/>
              </w:rPr>
              <w:t>5/15/2019</w:t>
            </w:r>
          </w:p>
        </w:tc>
        <w:tc>
          <w:tcPr>
            <w:tcW w:w="1280" w:type="dxa"/>
            <w:vAlign w:val="bottom"/>
          </w:tcPr>
          <w:p>
            <w:pPr>
              <w:jc w:val="right"/>
              <w:ind w:right="388"/>
              <w:spacing w:after="0"/>
              <w:rPr>
                <w:sz w:val="20"/>
                <w:szCs w:val="20"/>
                <w:color w:val="auto"/>
              </w:rPr>
            </w:pPr>
            <w:r>
              <w:rPr>
                <w:rFonts w:ascii="Arial" w:cs="Arial" w:eastAsia="Arial" w:hAnsi="Arial"/>
                <w:sz w:val="14"/>
                <w:szCs w:val="14"/>
                <w:color w:val="auto"/>
              </w:rPr>
              <w:t>677,050</w:t>
            </w:r>
          </w:p>
        </w:tc>
        <w:tc>
          <w:tcPr>
            <w:tcW w:w="820" w:type="dxa"/>
            <w:vAlign w:val="bottom"/>
            <w:gridSpan w:val="3"/>
          </w:tcPr>
          <w:p>
            <w:pPr>
              <w:jc w:val="right"/>
              <w:ind w:right="20"/>
              <w:spacing w:after="0"/>
              <w:rPr>
                <w:sz w:val="20"/>
                <w:szCs w:val="20"/>
                <w:color w:val="auto"/>
              </w:rPr>
            </w:pPr>
            <w:r>
              <w:rPr>
                <w:rFonts w:ascii="Arial" w:cs="Arial" w:eastAsia="Arial" w:hAnsi="Arial"/>
                <w:sz w:val="14"/>
                <w:szCs w:val="14"/>
                <w:color w:val="auto"/>
              </w:rPr>
              <w:t>670,886</w:t>
            </w:r>
          </w:p>
        </w:tc>
        <w:tc>
          <w:tcPr>
            <w:tcW w:w="1320" w:type="dxa"/>
            <w:vAlign w:val="bottom"/>
            <w:gridSpan w:val="3"/>
          </w:tcPr>
          <w:p>
            <w:pPr>
              <w:jc w:val="right"/>
              <w:ind w:right="80"/>
              <w:spacing w:after="0"/>
              <w:rPr>
                <w:sz w:val="20"/>
                <w:szCs w:val="20"/>
                <w:color w:val="auto"/>
              </w:rPr>
            </w:pPr>
            <w:r>
              <w:rPr>
                <w:rFonts w:ascii="Arial" w:cs="Arial" w:eastAsia="Arial" w:hAnsi="Arial"/>
                <w:sz w:val="14"/>
                <w:szCs w:val="14"/>
                <w:color w:val="auto"/>
              </w:rPr>
              <w:t>673,184</w:t>
            </w:r>
          </w:p>
        </w:tc>
      </w:tr>
      <w:tr>
        <w:trPr>
          <w:trHeight w:val="130"/>
        </w:trPr>
        <w:tc>
          <w:tcPr>
            <w:tcW w:w="26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West Corporation</w:t>
            </w:r>
          </w:p>
        </w:tc>
        <w:tc>
          <w:tcPr>
            <w:tcW w:w="156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Telecommunications</w:t>
            </w:r>
          </w:p>
        </w:tc>
        <w:tc>
          <w:tcPr>
            <w:tcW w:w="112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Term B-10</w:t>
            </w:r>
          </w:p>
        </w:tc>
        <w:tc>
          <w:tcPr>
            <w:tcW w:w="660" w:type="dxa"/>
            <w:vAlign w:val="bottom"/>
            <w:shd w:val="clear" w:color="auto" w:fill="CCEEFF"/>
          </w:tcPr>
          <w:p>
            <w:pPr>
              <w:ind w:left="180"/>
              <w:spacing w:after="0" w:line="130" w:lineRule="exact"/>
              <w:rPr>
                <w:sz w:val="20"/>
                <w:szCs w:val="20"/>
                <w:color w:val="auto"/>
              </w:rPr>
            </w:pPr>
            <w:r>
              <w:rPr>
                <w:rFonts w:ascii="Arial" w:cs="Arial" w:eastAsia="Arial" w:hAnsi="Arial"/>
                <w:sz w:val="14"/>
                <w:szCs w:val="14"/>
                <w:color w:val="auto"/>
              </w:rPr>
              <w:t>Loan</w:t>
            </w:r>
          </w:p>
        </w:tc>
        <w:tc>
          <w:tcPr>
            <w:tcW w:w="860" w:type="dxa"/>
            <w:vAlign w:val="bottom"/>
            <w:shd w:val="clear" w:color="auto" w:fill="CCEEFF"/>
          </w:tcPr>
          <w:p>
            <w:pPr>
              <w:spacing w:after="0"/>
              <w:rPr>
                <w:sz w:val="11"/>
                <w:szCs w:val="11"/>
                <w:color w:val="auto"/>
              </w:rPr>
            </w:pPr>
          </w:p>
        </w:tc>
        <w:tc>
          <w:tcPr>
            <w:tcW w:w="1120" w:type="dxa"/>
            <w:vAlign w:val="bottom"/>
            <w:shd w:val="clear" w:color="auto" w:fill="CCEEFF"/>
          </w:tcPr>
          <w:p>
            <w:pPr>
              <w:spacing w:after="0"/>
              <w:rPr>
                <w:sz w:val="11"/>
                <w:szCs w:val="11"/>
                <w:color w:val="auto"/>
              </w:rPr>
            </w:pPr>
          </w:p>
        </w:tc>
        <w:tc>
          <w:tcPr>
            <w:tcW w:w="1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80" w:type="dxa"/>
            <w:vAlign w:val="bottom"/>
            <w:shd w:val="clear" w:color="auto" w:fill="CCEEFF"/>
          </w:tcPr>
          <w:p>
            <w:pPr>
              <w:spacing w:after="0"/>
              <w:rPr>
                <w:sz w:val="14"/>
                <w:szCs w:val="14"/>
                <w:color w:val="auto"/>
              </w:rPr>
            </w:pPr>
          </w:p>
        </w:tc>
        <w:tc>
          <w:tcPr>
            <w:tcW w:w="1560" w:type="dxa"/>
            <w:vAlign w:val="bottom"/>
            <w:shd w:val="clear" w:color="auto" w:fill="CCEEFF"/>
          </w:tcPr>
          <w:p>
            <w:pPr>
              <w:spacing w:after="0"/>
              <w:rPr>
                <w:sz w:val="14"/>
                <w:szCs w:val="14"/>
                <w:color w:val="auto"/>
              </w:rPr>
            </w:pPr>
          </w:p>
        </w:tc>
        <w:tc>
          <w:tcPr>
            <w:tcW w:w="11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Loan</w:t>
            </w:r>
          </w:p>
        </w:tc>
        <w:tc>
          <w:tcPr>
            <w:tcW w:w="66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3.25%</w:t>
            </w:r>
          </w:p>
        </w:tc>
        <w:tc>
          <w:tcPr>
            <w:tcW w:w="112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6/30/2018</w:t>
            </w:r>
          </w:p>
        </w:tc>
        <w:tc>
          <w:tcPr>
            <w:tcW w:w="1280" w:type="dxa"/>
            <w:vAlign w:val="bottom"/>
            <w:shd w:val="clear" w:color="auto" w:fill="CCEEFF"/>
          </w:tcPr>
          <w:p>
            <w:pPr>
              <w:jc w:val="right"/>
              <w:ind w:right="388"/>
              <w:spacing w:after="0"/>
              <w:rPr>
                <w:sz w:val="20"/>
                <w:szCs w:val="20"/>
                <w:color w:val="auto"/>
              </w:rPr>
            </w:pPr>
            <w:r>
              <w:rPr>
                <w:rFonts w:ascii="Arial" w:cs="Arial" w:eastAsia="Arial" w:hAnsi="Arial"/>
                <w:sz w:val="14"/>
                <w:szCs w:val="14"/>
                <w:color w:val="auto"/>
              </w:rPr>
              <w:t>2,571,560</w:t>
            </w:r>
          </w:p>
        </w:tc>
        <w:tc>
          <w:tcPr>
            <w:tcW w:w="820" w:type="dxa"/>
            <w:vAlign w:val="bottom"/>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2,610,717</w:t>
            </w:r>
          </w:p>
        </w:tc>
        <w:tc>
          <w:tcPr>
            <w:tcW w:w="132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2,535,738</w:t>
            </w:r>
          </w:p>
        </w:tc>
      </w:tr>
      <w:tr>
        <w:trPr>
          <w:trHeight w:val="156"/>
        </w:trPr>
        <w:tc>
          <w:tcPr>
            <w:tcW w:w="26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4"/>
              </w:rPr>
              <w:t>$</w:t>
            </w:r>
            <w:r>
              <w:rPr>
                <w:rFonts w:ascii="Arial" w:cs="Arial" w:eastAsia="Arial" w:hAnsi="Arial"/>
                <w:sz w:val="14"/>
                <w:szCs w:val="14"/>
                <w:b w:val="1"/>
                <w:bCs w:val="1"/>
                <w:color w:val="auto"/>
                <w:w w:val="84"/>
              </w:rPr>
              <w:t xml:space="preserve"> 302,544,790</w:t>
            </w:r>
          </w:p>
        </w:tc>
        <w:tc>
          <w:tcPr>
            <w:tcW w:w="20" w:type="dxa"/>
            <w:vAlign w:val="bottom"/>
            <w:tcBorders>
              <w:bottom w:val="single" w:sz="8" w:color="auto"/>
            </w:tcBorders>
          </w:tcPr>
          <w:p>
            <w:pPr>
              <w:spacing w:after="0"/>
              <w:rPr>
                <w:sz w:val="13"/>
                <w:szCs w:val="13"/>
                <w:color w:val="auto"/>
              </w:rPr>
            </w:pPr>
          </w:p>
        </w:tc>
        <w:tc>
          <w:tcPr>
            <w:tcW w:w="420" w:type="dxa"/>
            <w:vAlign w:val="bottom"/>
          </w:tcPr>
          <w:p>
            <w:pPr>
              <w:spacing w:after="0"/>
              <w:rPr>
                <w:sz w:val="13"/>
                <w:szCs w:val="13"/>
                <w:color w:val="auto"/>
              </w:rPr>
            </w:pP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 xml:space="preserve"> 301,019,691</w:t>
            </w:r>
          </w:p>
        </w:tc>
        <w:tc>
          <w:tcPr>
            <w:tcW w:w="80" w:type="dxa"/>
            <w:vAlign w:val="bottom"/>
          </w:tcPr>
          <w:p>
            <w:pPr>
              <w:spacing w:after="0"/>
              <w:rPr>
                <w:sz w:val="13"/>
                <w:szCs w:val="13"/>
                <w:color w:val="auto"/>
              </w:rPr>
            </w:pPr>
          </w:p>
        </w:tc>
      </w:tr>
      <w:tr>
        <w:trPr>
          <w:trHeight w:val="20"/>
        </w:trPr>
        <w:tc>
          <w:tcPr>
            <w:tcW w:w="26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27"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Saratoga Investment Corp. CLO 2013-1, Ltd.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of Investments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February 28, 2014</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Issuer Name</w:t>
            </w:r>
          </w:p>
        </w:tc>
        <w:tc>
          <w:tcPr>
            <w:tcW w:w="16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ind w:left="580"/>
              <w:spacing w:after="0"/>
              <w:rPr>
                <w:sz w:val="20"/>
                <w:szCs w:val="20"/>
                <w:color w:val="auto"/>
              </w:rPr>
            </w:pPr>
            <w:r>
              <w:rPr>
                <w:rFonts w:ascii="Arial" w:cs="Arial" w:eastAsia="Arial" w:hAnsi="Arial"/>
                <w:sz w:val="14"/>
                <w:szCs w:val="14"/>
                <w:b w:val="1"/>
                <w:bCs w:val="1"/>
                <w:color w:val="auto"/>
              </w:rPr>
              <w:t>Industry</w:t>
            </w:r>
          </w:p>
        </w:tc>
        <w:tc>
          <w:tcPr>
            <w:tcW w:w="22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Asset Name</w:t>
            </w:r>
          </w:p>
        </w:tc>
        <w:tc>
          <w:tcPr>
            <w:tcW w:w="20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Asset Type</w:t>
            </w:r>
          </w:p>
        </w:tc>
        <w:tc>
          <w:tcPr>
            <w:tcW w:w="22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Current Rate</w:t>
            </w:r>
          </w:p>
        </w:tc>
        <w:tc>
          <w:tcPr>
            <w:tcW w:w="38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6"/>
              </w:rPr>
              <w:t>Maturity Date</w:t>
            </w:r>
          </w:p>
        </w:tc>
        <w:tc>
          <w:tcPr>
            <w:tcW w:w="16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Principal</w:t>
            </w:r>
          </w:p>
        </w:tc>
        <w:tc>
          <w:tcPr>
            <w:tcW w:w="3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ind w:left="200"/>
              <w:spacing w:after="0"/>
              <w:rPr>
                <w:sz w:val="20"/>
                <w:szCs w:val="20"/>
                <w:color w:val="auto"/>
              </w:rPr>
            </w:pPr>
            <w:r>
              <w:rPr>
                <w:rFonts w:ascii="Arial" w:cs="Arial" w:eastAsia="Arial" w:hAnsi="Arial"/>
                <w:sz w:val="14"/>
                <w:szCs w:val="14"/>
                <w:b w:val="1"/>
                <w:bCs w:val="1"/>
                <w:color w:val="auto"/>
              </w:rPr>
              <w:t>Cost</w:t>
            </w:r>
          </w:p>
        </w:tc>
        <w:tc>
          <w:tcPr>
            <w:tcW w:w="32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80" w:type="dxa"/>
            <w:vAlign w:val="bottom"/>
            <w:tcBorders>
              <w:bottom w:val="single" w:sz="8" w:color="CCEEFF"/>
            </w:tcBorders>
          </w:tcPr>
          <w:p>
            <w:pPr>
              <w:spacing w:after="0"/>
              <w:rPr>
                <w:sz w:val="16"/>
                <w:szCs w:val="16"/>
                <w:color w:val="auto"/>
              </w:rPr>
            </w:pPr>
          </w:p>
        </w:tc>
      </w:tr>
      <w:tr>
        <w:trPr>
          <w:trHeight w:val="123"/>
        </w:trPr>
        <w:tc>
          <w:tcPr>
            <w:tcW w:w="242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Academy, LTD.</w:t>
            </w:r>
          </w:p>
        </w:tc>
        <w:tc>
          <w:tcPr>
            <w:tcW w:w="120" w:type="dxa"/>
            <w:vAlign w:val="bottom"/>
            <w:shd w:val="clear" w:color="auto" w:fill="CCEEFF"/>
          </w:tcPr>
          <w:p>
            <w:pPr>
              <w:spacing w:after="0"/>
              <w:rPr>
                <w:sz w:val="10"/>
                <w:szCs w:val="10"/>
                <w:color w:val="auto"/>
              </w:rPr>
            </w:pPr>
          </w:p>
        </w:tc>
        <w:tc>
          <w:tcPr>
            <w:tcW w:w="170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Retailers (Except</w:t>
            </w:r>
          </w:p>
        </w:tc>
        <w:tc>
          <w:tcPr>
            <w:tcW w:w="220" w:type="dxa"/>
            <w:vAlign w:val="bottom"/>
            <w:shd w:val="clear" w:color="auto" w:fill="CCEEFF"/>
          </w:tcPr>
          <w:p>
            <w:pPr>
              <w:spacing w:after="0"/>
              <w:rPr>
                <w:sz w:val="10"/>
                <w:szCs w:val="10"/>
                <w:color w:val="auto"/>
              </w:rPr>
            </w:pPr>
          </w:p>
        </w:tc>
        <w:tc>
          <w:tcPr>
            <w:tcW w:w="76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Initial Term</w:t>
            </w: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38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0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r>
      <w:tr>
        <w:trPr>
          <w:trHeight w:val="167"/>
        </w:trPr>
        <w:tc>
          <w:tcPr>
            <w:tcW w:w="7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Food and Drugs)</w:t>
            </w: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w w:val="97"/>
              </w:rPr>
              <w:t>Loan (2012)</w:t>
            </w: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4.50%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8/3/2018</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$ 1,960,187</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w w:val="86"/>
              </w:rPr>
              <w:t>$ 1,948,853</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86"/>
              </w:rPr>
              <w:t>$ 1,969,969</w:t>
            </w:r>
          </w:p>
        </w:tc>
      </w:tr>
      <w:tr>
        <w:trPr>
          <w:trHeight w:val="130"/>
        </w:trPr>
        <w:tc>
          <w:tcPr>
            <w:tcW w:w="2420" w:type="dxa"/>
            <w:vAlign w:val="bottom"/>
            <w:gridSpan w:val="2"/>
          </w:tcPr>
          <w:p>
            <w:pPr>
              <w:spacing w:after="0" w:line="130" w:lineRule="exact"/>
              <w:rPr>
                <w:sz w:val="20"/>
                <w:szCs w:val="20"/>
                <w:color w:val="auto"/>
              </w:rPr>
            </w:pPr>
            <w:r>
              <w:rPr>
                <w:rFonts w:ascii="Arial" w:cs="Arial" w:eastAsia="Arial" w:hAnsi="Arial"/>
                <w:sz w:val="14"/>
                <w:szCs w:val="14"/>
                <w:color w:val="auto"/>
              </w:rPr>
              <w:t>Acosta, Inc.</w:t>
            </w:r>
          </w:p>
        </w:tc>
        <w:tc>
          <w:tcPr>
            <w:tcW w:w="18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Food Products</w:t>
            </w:r>
          </w:p>
        </w:tc>
        <w:tc>
          <w:tcPr>
            <w:tcW w:w="98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Term B</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color w:val="auto"/>
                <w:w w:val="97"/>
              </w:rPr>
              <w:t>Loan (2013)</w:t>
            </w:r>
          </w:p>
        </w:tc>
        <w:tc>
          <w:tcPr>
            <w:tcW w:w="1100" w:type="dxa"/>
            <w:vAlign w:val="bottom"/>
            <w:gridSpan w:val="3"/>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4.25%</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3/2/2018</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4,162,740</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4,101,035</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4,177,310</w:t>
            </w:r>
          </w:p>
        </w:tc>
      </w:tr>
      <w:tr>
        <w:trPr>
          <w:trHeight w:val="130"/>
        </w:trPr>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Aderant North America, Inc.</w:t>
            </w:r>
          </w:p>
        </w:tc>
        <w:tc>
          <w:tcPr>
            <w:tcW w:w="18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Equipment</w:t>
            </w:r>
          </w:p>
        </w:tc>
        <w:tc>
          <w:tcPr>
            <w:tcW w:w="9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Term Loan</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and Services</w:t>
            </w: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(First Lien)</w:t>
            </w: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6.25%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12/20/2018</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3,473,750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3,470,186</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3,482,434</w:t>
            </w:r>
          </w:p>
        </w:tc>
      </w:tr>
      <w:tr>
        <w:trPr>
          <w:trHeight w:val="130"/>
        </w:trPr>
        <w:tc>
          <w:tcPr>
            <w:tcW w:w="2420" w:type="dxa"/>
            <w:vAlign w:val="bottom"/>
            <w:gridSpan w:val="2"/>
          </w:tcPr>
          <w:p>
            <w:pPr>
              <w:spacing w:after="0" w:line="130" w:lineRule="exact"/>
              <w:rPr>
                <w:sz w:val="20"/>
                <w:szCs w:val="20"/>
                <w:color w:val="auto"/>
              </w:rPr>
            </w:pPr>
            <w:r>
              <w:rPr>
                <w:rFonts w:ascii="Arial" w:cs="Arial" w:eastAsia="Arial" w:hAnsi="Arial"/>
                <w:sz w:val="14"/>
                <w:szCs w:val="14"/>
                <w:color w:val="auto"/>
                <w:w w:val="98"/>
              </w:rPr>
              <w:t>Aegis Toxicology Sciences Corporation</w:t>
            </w:r>
          </w:p>
        </w:tc>
        <w:tc>
          <w:tcPr>
            <w:tcW w:w="18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Healthcare</w:t>
            </w:r>
          </w:p>
        </w:tc>
        <w:tc>
          <w:tcPr>
            <w:tcW w:w="98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Initial Term</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Loan (First</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color w:val="auto"/>
              </w:rPr>
              <w:t>Lien)</w:t>
            </w:r>
          </w:p>
        </w:tc>
        <w:tc>
          <w:tcPr>
            <w:tcW w:w="1100" w:type="dxa"/>
            <w:vAlign w:val="bottom"/>
            <w:gridSpan w:val="3"/>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5.50%</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2/24/2021</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1,000,000</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990,000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990,000</w:t>
            </w:r>
          </w:p>
        </w:tc>
      </w:tr>
      <w:tr>
        <w:trPr>
          <w:trHeight w:val="130"/>
        </w:trPr>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8"/>
              </w:rPr>
              <w:t>Aegis Toxicology Sciences Corporation</w:t>
            </w:r>
          </w:p>
        </w:tc>
        <w:tc>
          <w:tcPr>
            <w:tcW w:w="18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Healthcare</w:t>
            </w:r>
          </w:p>
        </w:tc>
        <w:tc>
          <w:tcPr>
            <w:tcW w:w="9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Initial Term</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7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Loan</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7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(Second</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7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Lien)</w:t>
            </w: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9.50%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8/24/2021</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500,000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492,500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492,500</w:t>
            </w:r>
          </w:p>
        </w:tc>
      </w:tr>
      <w:tr>
        <w:trPr>
          <w:trHeight w:val="130"/>
        </w:trPr>
        <w:tc>
          <w:tcPr>
            <w:tcW w:w="2420" w:type="dxa"/>
            <w:vAlign w:val="bottom"/>
            <w:gridSpan w:val="2"/>
          </w:tcPr>
          <w:p>
            <w:pPr>
              <w:spacing w:after="0" w:line="130" w:lineRule="exact"/>
              <w:rPr>
                <w:sz w:val="20"/>
                <w:szCs w:val="20"/>
                <w:color w:val="auto"/>
              </w:rPr>
            </w:pPr>
            <w:r>
              <w:rPr>
                <w:rFonts w:ascii="Arial" w:cs="Arial" w:eastAsia="Arial" w:hAnsi="Arial"/>
                <w:sz w:val="14"/>
                <w:szCs w:val="14"/>
                <w:color w:val="auto"/>
              </w:rPr>
              <w:t>Aeroflex Incorporated</w:t>
            </w:r>
          </w:p>
        </w:tc>
        <w:tc>
          <w:tcPr>
            <w:tcW w:w="18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Aerospace and</w:t>
            </w:r>
          </w:p>
        </w:tc>
        <w:tc>
          <w:tcPr>
            <w:tcW w:w="980" w:type="dxa"/>
            <w:vAlign w:val="bottom"/>
            <w:gridSpan w:val="2"/>
          </w:tcPr>
          <w:p>
            <w:pPr>
              <w:ind w:left="220"/>
              <w:spacing w:after="0" w:line="130" w:lineRule="exact"/>
              <w:rPr>
                <w:sz w:val="20"/>
                <w:szCs w:val="20"/>
                <w:color w:val="auto"/>
              </w:rPr>
            </w:pPr>
            <w:r>
              <w:rPr>
                <w:rFonts w:ascii="Arial" w:cs="Arial" w:eastAsia="Arial" w:hAnsi="Arial"/>
                <w:sz w:val="14"/>
                <w:szCs w:val="14"/>
                <w:color w:val="auto"/>
                <w:w w:val="96"/>
              </w:rPr>
              <w:t>Tranche B-1</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gridSpan w:val="2"/>
          </w:tcPr>
          <w:p>
            <w:pPr>
              <w:ind w:left="120"/>
              <w:spacing w:after="0"/>
              <w:rPr>
                <w:sz w:val="20"/>
                <w:szCs w:val="20"/>
                <w:color w:val="auto"/>
              </w:rPr>
            </w:pPr>
            <w:r>
              <w:rPr>
                <w:rFonts w:ascii="Arial" w:cs="Arial" w:eastAsia="Arial" w:hAnsi="Arial"/>
                <w:sz w:val="14"/>
                <w:szCs w:val="14"/>
                <w:color w:val="auto"/>
              </w:rPr>
              <w:t>Defense</w:t>
            </w:r>
          </w:p>
        </w:tc>
        <w:tc>
          <w:tcPr>
            <w:tcW w:w="980" w:type="dxa"/>
            <w:vAlign w:val="bottom"/>
            <w:gridSpan w:val="2"/>
          </w:tcPr>
          <w:p>
            <w:pPr>
              <w:ind w:left="220"/>
              <w:spacing w:after="0"/>
              <w:rPr>
                <w:sz w:val="20"/>
                <w:szCs w:val="20"/>
                <w:color w:val="auto"/>
              </w:rPr>
            </w:pPr>
            <w:r>
              <w:rPr>
                <w:rFonts w:ascii="Arial" w:cs="Arial" w:eastAsia="Arial" w:hAnsi="Arial"/>
                <w:sz w:val="14"/>
                <w:szCs w:val="14"/>
                <w:color w:val="auto"/>
              </w:rPr>
              <w:t>Term Loan</w:t>
            </w:r>
          </w:p>
        </w:tc>
        <w:tc>
          <w:tcPr>
            <w:tcW w:w="1100" w:type="dxa"/>
            <w:vAlign w:val="bottom"/>
            <w:gridSpan w:val="3"/>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4.50%</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11/9/2019</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3,208,854</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3,194,690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3,223,550</w:t>
            </w:r>
          </w:p>
        </w:tc>
      </w:tr>
      <w:tr>
        <w:trPr>
          <w:trHeight w:val="130"/>
        </w:trPr>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Akorn, Inc.</w:t>
            </w:r>
          </w:p>
        </w:tc>
        <w:tc>
          <w:tcPr>
            <w:tcW w:w="18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Healthcare</w:t>
            </w:r>
          </w:p>
        </w:tc>
        <w:tc>
          <w:tcPr>
            <w:tcW w:w="9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Term</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Loan B</w:t>
            </w: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4.50%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11/13/2020</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500,000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497,500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503,125</w:t>
            </w:r>
          </w:p>
        </w:tc>
      </w:tr>
      <w:tr>
        <w:trPr>
          <w:trHeight w:val="130"/>
        </w:trPr>
        <w:tc>
          <w:tcPr>
            <w:tcW w:w="2420" w:type="dxa"/>
            <w:vAlign w:val="bottom"/>
            <w:gridSpan w:val="2"/>
          </w:tcPr>
          <w:p>
            <w:pPr>
              <w:spacing w:after="0" w:line="130" w:lineRule="exact"/>
              <w:rPr>
                <w:sz w:val="20"/>
                <w:szCs w:val="20"/>
                <w:color w:val="auto"/>
              </w:rPr>
            </w:pPr>
            <w:r>
              <w:rPr>
                <w:rFonts w:ascii="Arial" w:cs="Arial" w:eastAsia="Arial" w:hAnsi="Arial"/>
                <w:sz w:val="14"/>
                <w:szCs w:val="14"/>
                <w:color w:val="auto"/>
              </w:rPr>
              <w:t>Alere Inc. (fka IM US Holdings, LLC)</w:t>
            </w:r>
          </w:p>
        </w:tc>
        <w:tc>
          <w:tcPr>
            <w:tcW w:w="18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Healthcare</w:t>
            </w:r>
          </w:p>
        </w:tc>
        <w:tc>
          <w:tcPr>
            <w:tcW w:w="98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Incremental</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B-1 Term</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color w:val="auto"/>
              </w:rPr>
              <w:t>Loan</w:t>
            </w:r>
          </w:p>
        </w:tc>
        <w:tc>
          <w:tcPr>
            <w:tcW w:w="1100" w:type="dxa"/>
            <w:vAlign w:val="bottom"/>
            <w:gridSpan w:val="3"/>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4.25%</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6/30/2017</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1,960,000</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1,930,566</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1,968,173</w:t>
            </w:r>
          </w:p>
        </w:tc>
      </w:tr>
      <w:tr>
        <w:trPr>
          <w:trHeight w:val="130"/>
        </w:trPr>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Applied Systems, Inc.</w:t>
            </w:r>
          </w:p>
        </w:tc>
        <w:tc>
          <w:tcPr>
            <w:tcW w:w="18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Business Equipment</w:t>
            </w:r>
          </w:p>
        </w:tc>
        <w:tc>
          <w:tcPr>
            <w:tcW w:w="9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Term Loan</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and Services</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4.25%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12/8/2016</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500,000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498,750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498,750</w:t>
            </w:r>
          </w:p>
        </w:tc>
      </w:tr>
      <w:tr>
        <w:trPr>
          <w:trHeight w:val="130"/>
        </w:trPr>
        <w:tc>
          <w:tcPr>
            <w:tcW w:w="2420" w:type="dxa"/>
            <w:vAlign w:val="bottom"/>
            <w:gridSpan w:val="2"/>
          </w:tcPr>
          <w:p>
            <w:pPr>
              <w:spacing w:after="0" w:line="130" w:lineRule="exact"/>
              <w:rPr>
                <w:sz w:val="20"/>
                <w:szCs w:val="20"/>
                <w:color w:val="auto"/>
              </w:rPr>
            </w:pPr>
            <w:r>
              <w:rPr>
                <w:rFonts w:ascii="Arial" w:cs="Arial" w:eastAsia="Arial" w:hAnsi="Arial"/>
                <w:sz w:val="14"/>
                <w:szCs w:val="14"/>
                <w:color w:val="auto"/>
              </w:rPr>
              <w:t>Aramark Corporation</w:t>
            </w:r>
          </w:p>
        </w:tc>
        <w:tc>
          <w:tcPr>
            <w:tcW w:w="18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Food Products</w:t>
            </w:r>
          </w:p>
        </w:tc>
        <w:tc>
          <w:tcPr>
            <w:tcW w:w="98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LC-2</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color w:val="auto"/>
              </w:rPr>
              <w:t>Facility</w:t>
            </w:r>
          </w:p>
        </w:tc>
        <w:tc>
          <w:tcPr>
            <w:tcW w:w="1100" w:type="dxa"/>
            <w:vAlign w:val="bottom"/>
            <w:gridSpan w:val="3"/>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3.69%</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7/26/2016</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79,187</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79,187</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79,206</w:t>
            </w:r>
          </w:p>
        </w:tc>
      </w:tr>
      <w:tr>
        <w:trPr>
          <w:trHeight w:val="130"/>
        </w:trPr>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Aramark Corporation</w:t>
            </w:r>
          </w:p>
        </w:tc>
        <w:tc>
          <w:tcPr>
            <w:tcW w:w="18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Food Products</w:t>
            </w:r>
          </w:p>
        </w:tc>
        <w:tc>
          <w:tcPr>
            <w:tcW w:w="9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LC-3</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Facility</w:t>
            </w: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3.69%</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7/26/2016</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43,961</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43,961</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43,971</w:t>
            </w:r>
          </w:p>
        </w:tc>
      </w:tr>
      <w:tr>
        <w:trPr>
          <w:trHeight w:val="130"/>
        </w:trPr>
        <w:tc>
          <w:tcPr>
            <w:tcW w:w="2420" w:type="dxa"/>
            <w:vAlign w:val="bottom"/>
            <w:gridSpan w:val="2"/>
          </w:tcPr>
          <w:p>
            <w:pPr>
              <w:spacing w:after="0" w:line="130" w:lineRule="exact"/>
              <w:rPr>
                <w:sz w:val="20"/>
                <w:szCs w:val="20"/>
                <w:color w:val="auto"/>
              </w:rPr>
            </w:pPr>
            <w:r>
              <w:rPr>
                <w:rFonts w:ascii="Arial" w:cs="Arial" w:eastAsia="Arial" w:hAnsi="Arial"/>
                <w:sz w:val="14"/>
                <w:szCs w:val="14"/>
                <w:color w:val="auto"/>
              </w:rPr>
              <w:t>Aramark Corporation</w:t>
            </w:r>
          </w:p>
        </w:tc>
        <w:tc>
          <w:tcPr>
            <w:tcW w:w="18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Food Products</w:t>
            </w:r>
          </w:p>
        </w:tc>
        <w:tc>
          <w:tcPr>
            <w:tcW w:w="980" w:type="dxa"/>
            <w:vAlign w:val="bottom"/>
            <w:gridSpan w:val="2"/>
          </w:tcPr>
          <w:p>
            <w:pPr>
              <w:ind w:left="220"/>
              <w:spacing w:after="0" w:line="130" w:lineRule="exact"/>
              <w:rPr>
                <w:sz w:val="20"/>
                <w:szCs w:val="20"/>
                <w:color w:val="auto"/>
              </w:rPr>
            </w:pPr>
            <w:r>
              <w:rPr>
                <w:rFonts w:ascii="Arial" w:cs="Arial" w:eastAsia="Arial" w:hAnsi="Arial"/>
                <w:sz w:val="14"/>
                <w:szCs w:val="14"/>
                <w:color w:val="auto"/>
                <w:w w:val="97"/>
              </w:rPr>
              <w:t>U.S. Term F</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color w:val="auto"/>
              </w:rPr>
              <w:t>Loan</w:t>
            </w:r>
          </w:p>
        </w:tc>
        <w:tc>
          <w:tcPr>
            <w:tcW w:w="1100" w:type="dxa"/>
            <w:vAlign w:val="bottom"/>
            <w:gridSpan w:val="3"/>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3.25%</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2/24/2021</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3,206,537</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3,206,537</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3,207,307</w:t>
            </w:r>
          </w:p>
        </w:tc>
      </w:tr>
      <w:tr>
        <w:trPr>
          <w:trHeight w:val="130"/>
        </w:trPr>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Ardagh Holdings USA Inc. (Ardagh</w:t>
            </w:r>
          </w:p>
        </w:tc>
        <w:tc>
          <w:tcPr>
            <w:tcW w:w="18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Containers/Glass</w:t>
            </w:r>
          </w:p>
        </w:tc>
        <w:tc>
          <w:tcPr>
            <w:tcW w:w="9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Dollar Term</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Packaging Finance S.A.)</w:t>
            </w:r>
          </w:p>
        </w:tc>
        <w:tc>
          <w:tcPr>
            <w:tcW w:w="1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Products</w:t>
            </w: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Loan</w:t>
            </w: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4.25%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12/17/2019</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1,000,000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995,109</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1,002,500</w:t>
            </w:r>
          </w:p>
        </w:tc>
      </w:tr>
      <w:tr>
        <w:trPr>
          <w:trHeight w:val="149"/>
        </w:trPr>
        <w:tc>
          <w:tcPr>
            <w:tcW w:w="2420" w:type="dxa"/>
            <w:vAlign w:val="bottom"/>
            <w:gridSpan w:val="2"/>
          </w:tcPr>
          <w:p>
            <w:pPr>
              <w:spacing w:after="0" w:line="149" w:lineRule="exact"/>
              <w:rPr>
                <w:sz w:val="20"/>
                <w:szCs w:val="20"/>
                <w:color w:val="auto"/>
              </w:rPr>
            </w:pPr>
            <w:r>
              <w:rPr>
                <w:rFonts w:ascii="Arial" w:cs="Arial" w:eastAsia="Arial" w:hAnsi="Arial"/>
                <w:sz w:val="14"/>
                <w:szCs w:val="14"/>
                <w:color w:val="auto"/>
              </w:rPr>
              <w:t>ARG IH Corporation</w:t>
            </w:r>
          </w:p>
        </w:tc>
        <w:tc>
          <w:tcPr>
            <w:tcW w:w="18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Food Services</w:t>
            </w:r>
          </w:p>
        </w:tc>
        <w:tc>
          <w:tcPr>
            <w:tcW w:w="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Term Loan</w:t>
            </w:r>
          </w:p>
        </w:tc>
        <w:tc>
          <w:tcPr>
            <w:tcW w:w="1100" w:type="dxa"/>
            <w:vAlign w:val="bottom"/>
            <w:gridSpan w:val="3"/>
          </w:tcPr>
          <w:p>
            <w:pPr>
              <w:ind w:left="200"/>
              <w:spacing w:after="0" w:line="149" w:lineRule="exact"/>
              <w:rPr>
                <w:sz w:val="20"/>
                <w:szCs w:val="20"/>
                <w:color w:val="auto"/>
              </w:rPr>
            </w:pPr>
            <w:r>
              <w:rPr>
                <w:rFonts w:ascii="Arial" w:cs="Arial" w:eastAsia="Arial" w:hAnsi="Arial"/>
                <w:sz w:val="14"/>
                <w:szCs w:val="14"/>
                <w:color w:val="auto"/>
              </w:rPr>
              <w:t>Loan</w:t>
            </w:r>
          </w:p>
        </w:tc>
        <w:tc>
          <w:tcPr>
            <w:tcW w:w="12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5.00%</w:t>
            </w:r>
          </w:p>
        </w:tc>
        <w:tc>
          <w:tcPr>
            <w:tcW w:w="104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11/15/2020</w:t>
            </w:r>
          </w:p>
        </w:tc>
        <w:tc>
          <w:tcPr>
            <w:tcW w:w="1120" w:type="dxa"/>
            <w:vAlign w:val="bottom"/>
            <w:gridSpan w:val="3"/>
          </w:tcPr>
          <w:p>
            <w:pPr>
              <w:jc w:val="right"/>
              <w:ind w:right="300"/>
              <w:spacing w:after="0" w:line="149" w:lineRule="exact"/>
              <w:rPr>
                <w:sz w:val="20"/>
                <w:szCs w:val="20"/>
                <w:color w:val="auto"/>
              </w:rPr>
            </w:pPr>
            <w:r>
              <w:rPr>
                <w:rFonts w:ascii="Arial" w:cs="Arial" w:eastAsia="Arial" w:hAnsi="Arial"/>
                <w:sz w:val="14"/>
                <w:szCs w:val="14"/>
                <w:color w:val="auto"/>
              </w:rPr>
              <w:t>500,000</w:t>
            </w:r>
          </w:p>
        </w:tc>
        <w:tc>
          <w:tcPr>
            <w:tcW w:w="98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498,797</w:t>
            </w:r>
          </w:p>
        </w:tc>
        <w:tc>
          <w:tcPr>
            <w:tcW w:w="7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502,500</w:t>
            </w:r>
          </w:p>
        </w:tc>
      </w:tr>
      <w:tr>
        <w:trPr>
          <w:trHeight w:val="130"/>
        </w:trPr>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Asurion, LLC (fka Asurion</w:t>
            </w:r>
          </w:p>
        </w:tc>
        <w:tc>
          <w:tcPr>
            <w:tcW w:w="18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Insurance</w:t>
            </w:r>
          </w:p>
        </w:tc>
        <w:tc>
          <w:tcPr>
            <w:tcW w:w="9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Incremental</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4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Corporation)</w:t>
            </w:r>
          </w:p>
        </w:tc>
        <w:tc>
          <w:tcPr>
            <w:tcW w:w="1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w w:val="96"/>
              </w:rPr>
              <w:t>Tranche B-1</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7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Term Loan</w:t>
            </w: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4.50%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5/24/2019</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5,508,783</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5,462,695</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5,516,660</w:t>
            </w:r>
          </w:p>
        </w:tc>
      </w:tr>
      <w:tr>
        <w:trPr>
          <w:trHeight w:val="130"/>
        </w:trPr>
        <w:tc>
          <w:tcPr>
            <w:tcW w:w="2420" w:type="dxa"/>
            <w:vAlign w:val="bottom"/>
            <w:gridSpan w:val="2"/>
          </w:tcPr>
          <w:p>
            <w:pPr>
              <w:spacing w:after="0" w:line="130" w:lineRule="exact"/>
              <w:rPr>
                <w:sz w:val="20"/>
                <w:szCs w:val="20"/>
                <w:color w:val="auto"/>
              </w:rPr>
            </w:pPr>
            <w:r>
              <w:rPr>
                <w:rFonts w:ascii="Arial" w:cs="Arial" w:eastAsia="Arial" w:hAnsi="Arial"/>
                <w:sz w:val="14"/>
                <w:szCs w:val="14"/>
                <w:color w:val="auto"/>
              </w:rPr>
              <w:t>Auction.Com, LLC</w:t>
            </w:r>
          </w:p>
        </w:tc>
        <w:tc>
          <w:tcPr>
            <w:tcW w:w="18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Business Equipment</w:t>
            </w:r>
          </w:p>
        </w:tc>
        <w:tc>
          <w:tcPr>
            <w:tcW w:w="98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Term Loan</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gridSpan w:val="2"/>
          </w:tcPr>
          <w:p>
            <w:pPr>
              <w:ind w:left="120"/>
              <w:spacing w:after="0"/>
              <w:rPr>
                <w:sz w:val="20"/>
                <w:szCs w:val="20"/>
                <w:color w:val="auto"/>
              </w:rPr>
            </w:pPr>
            <w:r>
              <w:rPr>
                <w:rFonts w:ascii="Arial" w:cs="Arial" w:eastAsia="Arial" w:hAnsi="Arial"/>
                <w:sz w:val="14"/>
                <w:szCs w:val="14"/>
                <w:color w:val="auto"/>
              </w:rPr>
              <w:t>and Services</w:t>
            </w:r>
          </w:p>
        </w:tc>
        <w:tc>
          <w:tcPr>
            <w:tcW w:w="980" w:type="dxa"/>
            <w:vAlign w:val="bottom"/>
            <w:gridSpan w:val="2"/>
          </w:tcPr>
          <w:p>
            <w:pPr>
              <w:ind w:left="220"/>
              <w:spacing w:after="0"/>
              <w:rPr>
                <w:sz w:val="20"/>
                <w:szCs w:val="20"/>
                <w:color w:val="auto"/>
              </w:rPr>
            </w:pPr>
            <w:r>
              <w:rPr>
                <w:rFonts w:ascii="Arial" w:cs="Arial" w:eastAsia="Arial" w:hAnsi="Arial"/>
                <w:sz w:val="14"/>
                <w:szCs w:val="14"/>
                <w:color w:val="auto"/>
              </w:rPr>
              <w:t>A-4</w:t>
            </w:r>
          </w:p>
        </w:tc>
        <w:tc>
          <w:tcPr>
            <w:tcW w:w="1100" w:type="dxa"/>
            <w:vAlign w:val="bottom"/>
            <w:gridSpan w:val="3"/>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4.66%</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2/28/2017</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980,651</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979,812</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970,845</w:t>
            </w:r>
          </w:p>
        </w:tc>
      </w:tr>
      <w:tr>
        <w:trPr>
          <w:trHeight w:val="130"/>
        </w:trPr>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Autotrader.com, Inc.</w:t>
            </w:r>
          </w:p>
        </w:tc>
        <w:tc>
          <w:tcPr>
            <w:tcW w:w="18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Automotive</w:t>
            </w:r>
          </w:p>
        </w:tc>
        <w:tc>
          <w:tcPr>
            <w:tcW w:w="9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w w:val="96"/>
              </w:rPr>
              <w:t>Tranche B-1</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Term Loan</w:t>
            </w: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12/15/2016</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3,791,778</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3,791,778</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3,805,997</w:t>
            </w:r>
          </w:p>
        </w:tc>
      </w:tr>
      <w:tr>
        <w:trPr>
          <w:trHeight w:val="130"/>
        </w:trPr>
        <w:tc>
          <w:tcPr>
            <w:tcW w:w="2420" w:type="dxa"/>
            <w:vAlign w:val="bottom"/>
            <w:gridSpan w:val="2"/>
          </w:tcPr>
          <w:p>
            <w:pPr>
              <w:spacing w:after="0" w:line="130" w:lineRule="exact"/>
              <w:rPr>
                <w:sz w:val="20"/>
                <w:szCs w:val="20"/>
                <w:color w:val="auto"/>
              </w:rPr>
            </w:pPr>
            <w:r>
              <w:rPr>
                <w:rFonts w:ascii="Arial" w:cs="Arial" w:eastAsia="Arial" w:hAnsi="Arial"/>
                <w:sz w:val="14"/>
                <w:szCs w:val="14"/>
                <w:color w:val="auto"/>
              </w:rPr>
              <w:t>Avantor Performance Materials</w:t>
            </w:r>
          </w:p>
        </w:tc>
        <w:tc>
          <w:tcPr>
            <w:tcW w:w="18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Chemicals/Plastics</w:t>
            </w:r>
          </w:p>
        </w:tc>
        <w:tc>
          <w:tcPr>
            <w:tcW w:w="98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Term Loan</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420" w:type="dxa"/>
            <w:vAlign w:val="bottom"/>
            <w:gridSpan w:val="2"/>
          </w:tcPr>
          <w:p>
            <w:pPr>
              <w:ind w:left="160"/>
              <w:spacing w:after="0"/>
              <w:rPr>
                <w:sz w:val="20"/>
                <w:szCs w:val="20"/>
                <w:color w:val="auto"/>
              </w:rPr>
            </w:pPr>
            <w:r>
              <w:rPr>
                <w:rFonts w:ascii="Arial" w:cs="Arial" w:eastAsia="Arial" w:hAnsi="Arial"/>
                <w:sz w:val="14"/>
                <w:szCs w:val="14"/>
                <w:color w:val="auto"/>
              </w:rPr>
              <w:t>Holdings, Inc.</w:t>
            </w: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gridSpan w:val="3"/>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5.25%</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6/24/2017</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4,875,000</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4,861,403</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4,875,000</w:t>
            </w:r>
          </w:p>
        </w:tc>
      </w:tr>
      <w:tr>
        <w:trPr>
          <w:trHeight w:val="149"/>
        </w:trPr>
        <w:tc>
          <w:tcPr>
            <w:tcW w:w="24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AZ Chem US Inc.</w:t>
            </w:r>
          </w:p>
        </w:tc>
        <w:tc>
          <w:tcPr>
            <w:tcW w:w="18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Chemicals/Plastics</w:t>
            </w:r>
          </w:p>
        </w:tc>
        <w:tc>
          <w:tcPr>
            <w:tcW w:w="9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w:t>
            </w:r>
          </w:p>
        </w:tc>
        <w:tc>
          <w:tcPr>
            <w:tcW w:w="1100" w:type="dxa"/>
            <w:vAlign w:val="bottom"/>
            <w:gridSpan w:val="3"/>
            <w:shd w:val="clear" w:color="auto" w:fill="CCEEFF"/>
          </w:tcPr>
          <w:p>
            <w:pPr>
              <w:ind w:left="200"/>
              <w:spacing w:after="0" w:line="149" w:lineRule="exact"/>
              <w:rPr>
                <w:sz w:val="20"/>
                <w:szCs w:val="20"/>
                <w:color w:val="auto"/>
              </w:rPr>
            </w:pPr>
            <w:r>
              <w:rPr>
                <w:rFonts w:ascii="Arial" w:cs="Arial" w:eastAsia="Arial" w:hAnsi="Arial"/>
                <w:sz w:val="14"/>
                <w:szCs w:val="14"/>
                <w:color w:val="auto"/>
              </w:rPr>
              <w:t>Loan</w:t>
            </w:r>
          </w:p>
        </w:tc>
        <w:tc>
          <w:tcPr>
            <w:tcW w:w="12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5.25%</w:t>
            </w:r>
          </w:p>
        </w:tc>
        <w:tc>
          <w:tcPr>
            <w:tcW w:w="104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12/22/2017</w:t>
            </w:r>
          </w:p>
        </w:tc>
        <w:tc>
          <w:tcPr>
            <w:tcW w:w="1120" w:type="dxa"/>
            <w:vAlign w:val="bottom"/>
            <w:gridSpan w:val="3"/>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1,355,941</w:t>
            </w:r>
          </w:p>
        </w:tc>
        <w:tc>
          <w:tcPr>
            <w:tcW w:w="980" w:type="dxa"/>
            <w:vAlign w:val="bottom"/>
            <w:gridSpan w:val="2"/>
            <w:shd w:val="clear" w:color="auto" w:fill="CCEEFF"/>
          </w:tcPr>
          <w:p>
            <w:pPr>
              <w:jc w:val="right"/>
              <w:ind w:right="320"/>
              <w:spacing w:after="0" w:line="149" w:lineRule="exact"/>
              <w:rPr>
                <w:sz w:val="20"/>
                <w:szCs w:val="20"/>
                <w:color w:val="auto"/>
              </w:rPr>
            </w:pPr>
            <w:r>
              <w:rPr>
                <w:rFonts w:ascii="Arial" w:cs="Arial" w:eastAsia="Arial" w:hAnsi="Arial"/>
                <w:sz w:val="14"/>
                <w:szCs w:val="14"/>
                <w:color w:val="auto"/>
              </w:rPr>
              <w:t>1,329,859</w:t>
            </w:r>
          </w:p>
        </w:tc>
        <w:tc>
          <w:tcPr>
            <w:tcW w:w="7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1,362,720</w:t>
            </w:r>
          </w:p>
        </w:tc>
      </w:tr>
      <w:tr>
        <w:trPr>
          <w:trHeight w:val="130"/>
        </w:trPr>
        <w:tc>
          <w:tcPr>
            <w:tcW w:w="2420" w:type="dxa"/>
            <w:vAlign w:val="bottom"/>
            <w:gridSpan w:val="2"/>
          </w:tcPr>
          <w:p>
            <w:pPr>
              <w:spacing w:after="0" w:line="130" w:lineRule="exact"/>
              <w:rPr>
                <w:sz w:val="20"/>
                <w:szCs w:val="20"/>
                <w:color w:val="auto"/>
              </w:rPr>
            </w:pPr>
            <w:r>
              <w:rPr>
                <w:rFonts w:ascii="Arial" w:cs="Arial" w:eastAsia="Arial" w:hAnsi="Arial"/>
                <w:sz w:val="14"/>
                <w:szCs w:val="14"/>
                <w:color w:val="auto"/>
              </w:rPr>
              <w:t>Bass Pro Group, LLC</w:t>
            </w:r>
          </w:p>
        </w:tc>
        <w:tc>
          <w:tcPr>
            <w:tcW w:w="18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Retailers (Except</w:t>
            </w:r>
          </w:p>
        </w:tc>
        <w:tc>
          <w:tcPr>
            <w:tcW w:w="98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New Term</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gridSpan w:val="2"/>
          </w:tcPr>
          <w:p>
            <w:pPr>
              <w:ind w:left="120"/>
              <w:spacing w:after="0"/>
              <w:rPr>
                <w:sz w:val="20"/>
                <w:szCs w:val="20"/>
                <w:color w:val="auto"/>
              </w:rPr>
            </w:pPr>
            <w:r>
              <w:rPr>
                <w:rFonts w:ascii="Arial" w:cs="Arial" w:eastAsia="Arial" w:hAnsi="Arial"/>
                <w:sz w:val="14"/>
                <w:szCs w:val="14"/>
                <w:color w:val="auto"/>
              </w:rPr>
              <w:t>Food and Drugs)</w:t>
            </w:r>
          </w:p>
        </w:tc>
        <w:tc>
          <w:tcPr>
            <w:tcW w:w="980" w:type="dxa"/>
            <w:vAlign w:val="bottom"/>
            <w:gridSpan w:val="2"/>
          </w:tcPr>
          <w:p>
            <w:pPr>
              <w:ind w:left="220"/>
              <w:spacing w:after="0"/>
              <w:rPr>
                <w:sz w:val="20"/>
                <w:szCs w:val="20"/>
                <w:color w:val="auto"/>
              </w:rPr>
            </w:pPr>
            <w:r>
              <w:rPr>
                <w:rFonts w:ascii="Arial" w:cs="Arial" w:eastAsia="Arial" w:hAnsi="Arial"/>
                <w:sz w:val="14"/>
                <w:szCs w:val="14"/>
                <w:color w:val="auto"/>
              </w:rPr>
              <w:t>Loan</w:t>
            </w:r>
          </w:p>
        </w:tc>
        <w:tc>
          <w:tcPr>
            <w:tcW w:w="1100" w:type="dxa"/>
            <w:vAlign w:val="bottom"/>
            <w:gridSpan w:val="3"/>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3.75%</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11/20/2019</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498,725</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498,126</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500,715</w:t>
            </w:r>
          </w:p>
        </w:tc>
      </w:tr>
      <w:tr>
        <w:trPr>
          <w:trHeight w:val="130"/>
        </w:trPr>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Berry Plastics Corporation</w:t>
            </w:r>
          </w:p>
        </w:tc>
        <w:tc>
          <w:tcPr>
            <w:tcW w:w="18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Chemicals/Plastics</w:t>
            </w:r>
          </w:p>
        </w:tc>
        <w:tc>
          <w:tcPr>
            <w:tcW w:w="9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Term E</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Loan</w:t>
            </w: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3.75%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1/6/2021</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1,500,000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1,496,250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1,495,500</w:t>
            </w:r>
          </w:p>
        </w:tc>
      </w:tr>
      <w:tr>
        <w:trPr>
          <w:trHeight w:val="130"/>
        </w:trPr>
        <w:tc>
          <w:tcPr>
            <w:tcW w:w="2420" w:type="dxa"/>
            <w:vAlign w:val="bottom"/>
            <w:gridSpan w:val="2"/>
          </w:tcPr>
          <w:p>
            <w:pPr>
              <w:spacing w:after="0" w:line="130" w:lineRule="exact"/>
              <w:rPr>
                <w:sz w:val="20"/>
                <w:szCs w:val="20"/>
                <w:color w:val="auto"/>
              </w:rPr>
            </w:pPr>
            <w:r>
              <w:rPr>
                <w:rFonts w:ascii="Arial" w:cs="Arial" w:eastAsia="Arial" w:hAnsi="Arial"/>
                <w:sz w:val="14"/>
                <w:szCs w:val="14"/>
                <w:color w:val="auto"/>
              </w:rPr>
              <w:t>Big Heart Pet Brands (fka Del Monte</w:t>
            </w:r>
          </w:p>
        </w:tc>
        <w:tc>
          <w:tcPr>
            <w:tcW w:w="18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Food/Drug Retailers</w:t>
            </w:r>
          </w:p>
        </w:tc>
        <w:tc>
          <w:tcPr>
            <w:tcW w:w="98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Initial Term</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420" w:type="dxa"/>
            <w:vAlign w:val="bottom"/>
            <w:gridSpan w:val="2"/>
          </w:tcPr>
          <w:p>
            <w:pPr>
              <w:ind w:left="160"/>
              <w:spacing w:after="0"/>
              <w:rPr>
                <w:sz w:val="20"/>
                <w:szCs w:val="20"/>
                <w:color w:val="auto"/>
              </w:rPr>
            </w:pPr>
            <w:r>
              <w:rPr>
                <w:rFonts w:ascii="Arial" w:cs="Arial" w:eastAsia="Arial" w:hAnsi="Arial"/>
                <w:sz w:val="14"/>
                <w:szCs w:val="14"/>
                <w:color w:val="auto"/>
              </w:rPr>
              <w:t>Corporation)</w:t>
            </w: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color w:val="auto"/>
              </w:rPr>
              <w:t>Loan</w:t>
            </w:r>
          </w:p>
        </w:tc>
        <w:tc>
          <w:tcPr>
            <w:tcW w:w="1100" w:type="dxa"/>
            <w:vAlign w:val="bottom"/>
            <w:gridSpan w:val="3"/>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3.50%</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3/9/2020</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3,000,000</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3,022,866</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2,999,250</w:t>
            </w:r>
          </w:p>
        </w:tc>
      </w:tr>
      <w:tr>
        <w:trPr>
          <w:trHeight w:val="130"/>
        </w:trPr>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Biomet, Inc.</w:t>
            </w:r>
          </w:p>
        </w:tc>
        <w:tc>
          <w:tcPr>
            <w:tcW w:w="18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Healthcare</w:t>
            </w:r>
          </w:p>
        </w:tc>
        <w:tc>
          <w:tcPr>
            <w:tcW w:w="9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Dollar Term</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B-2 Loan</w:t>
            </w: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3.65%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7/25/2017</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1,970,137</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1,970,137</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1,972,797</w:t>
            </w:r>
          </w:p>
        </w:tc>
      </w:tr>
      <w:tr>
        <w:trPr>
          <w:trHeight w:val="130"/>
        </w:trPr>
        <w:tc>
          <w:tcPr>
            <w:tcW w:w="2420" w:type="dxa"/>
            <w:vAlign w:val="bottom"/>
            <w:gridSpan w:val="2"/>
          </w:tcPr>
          <w:p>
            <w:pPr>
              <w:spacing w:after="0" w:line="130" w:lineRule="exact"/>
              <w:rPr>
                <w:sz w:val="20"/>
                <w:szCs w:val="20"/>
                <w:color w:val="auto"/>
              </w:rPr>
            </w:pPr>
            <w:r>
              <w:rPr>
                <w:rFonts w:ascii="Arial" w:cs="Arial" w:eastAsia="Arial" w:hAnsi="Arial"/>
                <w:sz w:val="14"/>
                <w:szCs w:val="14"/>
                <w:color w:val="auto"/>
              </w:rPr>
              <w:t>BJ’s Wholesale Club, Inc.</w:t>
            </w:r>
          </w:p>
        </w:tc>
        <w:tc>
          <w:tcPr>
            <w:tcW w:w="18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Food/Drug Retailers</w:t>
            </w:r>
          </w:p>
        </w:tc>
        <w:tc>
          <w:tcPr>
            <w:tcW w:w="98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New 2013</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(November)</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8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89"/>
              </w:rPr>
              <w:t>Replacement</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Loan (First</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color w:val="auto"/>
              </w:rPr>
              <w:t>Lien)</w:t>
            </w:r>
          </w:p>
        </w:tc>
        <w:tc>
          <w:tcPr>
            <w:tcW w:w="1100" w:type="dxa"/>
            <w:vAlign w:val="bottom"/>
            <w:gridSpan w:val="3"/>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4.50%</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9/26/2019</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500,000</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497,592</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502,750</w:t>
            </w:r>
          </w:p>
        </w:tc>
      </w:tr>
      <w:tr>
        <w:trPr>
          <w:trHeight w:val="130"/>
        </w:trPr>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w w:val="99"/>
              </w:rPr>
              <w:t>Bombardier Recreational Products Inc.</w:t>
            </w:r>
          </w:p>
        </w:tc>
        <w:tc>
          <w:tcPr>
            <w:tcW w:w="18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Leisure Goods/</w:t>
            </w:r>
          </w:p>
        </w:tc>
        <w:tc>
          <w:tcPr>
            <w:tcW w:w="9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Term B</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Activities/Movies</w:t>
            </w: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Loan</w:t>
            </w: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1/30/2019</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754,286</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748,080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756,647</w:t>
            </w:r>
          </w:p>
        </w:tc>
      </w:tr>
      <w:tr>
        <w:trPr>
          <w:trHeight w:val="130"/>
        </w:trPr>
        <w:tc>
          <w:tcPr>
            <w:tcW w:w="2420" w:type="dxa"/>
            <w:vAlign w:val="bottom"/>
            <w:gridSpan w:val="2"/>
          </w:tcPr>
          <w:p>
            <w:pPr>
              <w:spacing w:after="0" w:line="130" w:lineRule="exact"/>
              <w:rPr>
                <w:sz w:val="20"/>
                <w:szCs w:val="20"/>
                <w:color w:val="auto"/>
              </w:rPr>
            </w:pPr>
            <w:r>
              <w:rPr>
                <w:rFonts w:ascii="Arial" w:cs="Arial" w:eastAsia="Arial" w:hAnsi="Arial"/>
                <w:sz w:val="14"/>
                <w:szCs w:val="14"/>
                <w:color w:val="auto"/>
              </w:rPr>
              <w:t>Brickman Group Ltd. LLC, The</w:t>
            </w:r>
          </w:p>
        </w:tc>
        <w:tc>
          <w:tcPr>
            <w:tcW w:w="18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Brokers/Dealers/</w:t>
            </w:r>
          </w:p>
        </w:tc>
        <w:tc>
          <w:tcPr>
            <w:tcW w:w="98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Initial Term</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Investment Houses</w:t>
            </w:r>
          </w:p>
        </w:tc>
        <w:tc>
          <w:tcPr>
            <w:tcW w:w="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Loan (First</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color w:val="auto"/>
              </w:rPr>
              <w:t>Lien)</w:t>
            </w:r>
          </w:p>
        </w:tc>
        <w:tc>
          <w:tcPr>
            <w:tcW w:w="1100" w:type="dxa"/>
            <w:vAlign w:val="bottom"/>
            <w:gridSpan w:val="3"/>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4.00%</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12/18/2020</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250,000</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248,750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250,937</w:t>
            </w:r>
          </w:p>
        </w:tc>
      </w:tr>
      <w:tr>
        <w:trPr>
          <w:trHeight w:val="130"/>
        </w:trPr>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Brock Holdings III, Inc.</w:t>
            </w:r>
          </w:p>
        </w:tc>
        <w:tc>
          <w:tcPr>
            <w:tcW w:w="18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Industrial</w:t>
            </w:r>
          </w:p>
        </w:tc>
        <w:tc>
          <w:tcPr>
            <w:tcW w:w="9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Term Loan</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Equipment</w:t>
            </w: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(First Lien)</w:t>
            </w: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6.75%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3/16/2017</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1,959,839</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1,976,826</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1,967,188</w:t>
            </w:r>
          </w:p>
        </w:tc>
      </w:tr>
      <w:tr>
        <w:trPr>
          <w:trHeight w:val="130"/>
        </w:trPr>
        <w:tc>
          <w:tcPr>
            <w:tcW w:w="2420" w:type="dxa"/>
            <w:vAlign w:val="bottom"/>
            <w:gridSpan w:val="2"/>
          </w:tcPr>
          <w:p>
            <w:pPr>
              <w:spacing w:after="0" w:line="130" w:lineRule="exact"/>
              <w:rPr>
                <w:sz w:val="20"/>
                <w:szCs w:val="20"/>
                <w:color w:val="auto"/>
              </w:rPr>
            </w:pPr>
            <w:r>
              <w:rPr>
                <w:rFonts w:ascii="Arial" w:cs="Arial" w:eastAsia="Arial" w:hAnsi="Arial"/>
                <w:sz w:val="14"/>
                <w:szCs w:val="14"/>
                <w:color w:val="auto"/>
              </w:rPr>
              <w:t>Burlington Coat Factory Warehouse</w:t>
            </w:r>
          </w:p>
        </w:tc>
        <w:tc>
          <w:tcPr>
            <w:tcW w:w="18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Retailers (Except</w:t>
            </w:r>
          </w:p>
        </w:tc>
        <w:tc>
          <w:tcPr>
            <w:tcW w:w="98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Term B-2</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420" w:type="dxa"/>
            <w:vAlign w:val="bottom"/>
            <w:gridSpan w:val="2"/>
          </w:tcPr>
          <w:p>
            <w:pPr>
              <w:ind w:left="160"/>
              <w:spacing w:after="0"/>
              <w:rPr>
                <w:sz w:val="20"/>
                <w:szCs w:val="20"/>
                <w:color w:val="auto"/>
              </w:rPr>
            </w:pPr>
            <w:r>
              <w:rPr>
                <w:rFonts w:ascii="Arial" w:cs="Arial" w:eastAsia="Arial" w:hAnsi="Arial"/>
                <w:sz w:val="14"/>
                <w:szCs w:val="14"/>
                <w:color w:val="auto"/>
              </w:rPr>
              <w:t>Corporation</w:t>
            </w:r>
          </w:p>
        </w:tc>
        <w:tc>
          <w:tcPr>
            <w:tcW w:w="1820" w:type="dxa"/>
            <w:vAlign w:val="bottom"/>
            <w:gridSpan w:val="2"/>
          </w:tcPr>
          <w:p>
            <w:pPr>
              <w:ind w:left="120"/>
              <w:spacing w:after="0"/>
              <w:rPr>
                <w:sz w:val="20"/>
                <w:szCs w:val="20"/>
                <w:color w:val="auto"/>
              </w:rPr>
            </w:pPr>
            <w:r>
              <w:rPr>
                <w:rFonts w:ascii="Arial" w:cs="Arial" w:eastAsia="Arial" w:hAnsi="Arial"/>
                <w:sz w:val="14"/>
                <w:szCs w:val="14"/>
                <w:color w:val="auto"/>
              </w:rPr>
              <w:t>Food and Drugs)</w:t>
            </w:r>
          </w:p>
        </w:tc>
        <w:tc>
          <w:tcPr>
            <w:tcW w:w="980" w:type="dxa"/>
            <w:vAlign w:val="bottom"/>
            <w:gridSpan w:val="2"/>
          </w:tcPr>
          <w:p>
            <w:pPr>
              <w:ind w:left="220"/>
              <w:spacing w:after="0"/>
              <w:rPr>
                <w:sz w:val="20"/>
                <w:szCs w:val="20"/>
                <w:color w:val="auto"/>
              </w:rPr>
            </w:pPr>
            <w:r>
              <w:rPr>
                <w:rFonts w:ascii="Arial" w:cs="Arial" w:eastAsia="Arial" w:hAnsi="Arial"/>
                <w:sz w:val="14"/>
                <w:szCs w:val="14"/>
                <w:color w:val="auto"/>
              </w:rPr>
              <w:t>Loan</w:t>
            </w:r>
          </w:p>
        </w:tc>
        <w:tc>
          <w:tcPr>
            <w:tcW w:w="1100" w:type="dxa"/>
            <w:vAlign w:val="bottom"/>
            <w:gridSpan w:val="3"/>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4.25%</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2/23/2017</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2,660,377</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2,653,889</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2,675,675</w:t>
            </w:r>
          </w:p>
        </w:tc>
      </w:tr>
      <w:tr>
        <w:trPr>
          <w:trHeight w:val="130"/>
        </w:trPr>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C.H.I. Overhead Doors, Inc.</w:t>
            </w:r>
          </w:p>
        </w:tc>
        <w:tc>
          <w:tcPr>
            <w:tcW w:w="18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Building and</w:t>
            </w:r>
          </w:p>
        </w:tc>
        <w:tc>
          <w:tcPr>
            <w:tcW w:w="9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Term Loan</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Development</w:t>
            </w: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(First Lien)</w:t>
            </w: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5.50%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3/18/2019</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2,739,013</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2,692,934</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2,745,861</w:t>
            </w:r>
          </w:p>
        </w:tc>
      </w:tr>
      <w:tr>
        <w:trPr>
          <w:trHeight w:val="130"/>
        </w:trPr>
        <w:tc>
          <w:tcPr>
            <w:tcW w:w="2420" w:type="dxa"/>
            <w:vAlign w:val="bottom"/>
            <w:gridSpan w:val="2"/>
          </w:tcPr>
          <w:p>
            <w:pPr>
              <w:spacing w:after="0" w:line="130" w:lineRule="exact"/>
              <w:rPr>
                <w:sz w:val="20"/>
                <w:szCs w:val="20"/>
                <w:color w:val="auto"/>
              </w:rPr>
            </w:pPr>
            <w:r>
              <w:rPr>
                <w:rFonts w:ascii="Arial" w:cs="Arial" w:eastAsia="Arial" w:hAnsi="Arial"/>
                <w:sz w:val="14"/>
                <w:szCs w:val="14"/>
                <w:color w:val="auto"/>
              </w:rPr>
              <w:t>Camp International Holding Company</w:t>
            </w:r>
          </w:p>
        </w:tc>
        <w:tc>
          <w:tcPr>
            <w:tcW w:w="18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Aerospace and</w:t>
            </w:r>
          </w:p>
        </w:tc>
        <w:tc>
          <w:tcPr>
            <w:tcW w:w="98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2013</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Defense</w:t>
            </w:r>
          </w:p>
        </w:tc>
        <w:tc>
          <w:tcPr>
            <w:tcW w:w="980" w:type="dxa"/>
            <w:vAlign w:val="bottom"/>
            <w:gridSpan w:val="2"/>
          </w:tcPr>
          <w:p>
            <w:pPr>
              <w:ind w:left="220"/>
              <w:spacing w:after="0" w:line="149" w:lineRule="exact"/>
              <w:rPr>
                <w:sz w:val="20"/>
                <w:szCs w:val="20"/>
                <w:color w:val="auto"/>
              </w:rPr>
            </w:pPr>
            <w:r>
              <w:rPr>
                <w:rFonts w:ascii="Arial" w:cs="Arial" w:eastAsia="Arial" w:hAnsi="Arial"/>
                <w:sz w:val="14"/>
                <w:szCs w:val="14"/>
                <w:color w:val="auto"/>
                <w:w w:val="89"/>
              </w:rPr>
              <w:t>Replacement</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Term Loan</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color w:val="auto"/>
              </w:rPr>
              <w:t>(First Lien)</w:t>
            </w:r>
          </w:p>
        </w:tc>
        <w:tc>
          <w:tcPr>
            <w:tcW w:w="1100" w:type="dxa"/>
            <w:vAlign w:val="bottom"/>
            <w:gridSpan w:val="3"/>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4.75%</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5/31/2019</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990,000</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990,000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999,900</w:t>
            </w:r>
          </w:p>
        </w:tc>
      </w:tr>
      <w:tr>
        <w:trPr>
          <w:trHeight w:val="130"/>
        </w:trPr>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Capital Automotive L.P.</w:t>
            </w:r>
          </w:p>
        </w:tc>
        <w:tc>
          <w:tcPr>
            <w:tcW w:w="18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Conglomerate</w:t>
            </w:r>
          </w:p>
        </w:tc>
        <w:tc>
          <w:tcPr>
            <w:tcW w:w="9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w w:val="96"/>
              </w:rPr>
              <w:t>Tranche B-1</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7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7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Term Loan</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7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Facility</w:t>
            </w: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4/10/2019</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2,137,369</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2,141,920</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2,142,712</w:t>
            </w:r>
          </w:p>
        </w:tc>
      </w:tr>
      <w:tr>
        <w:trPr>
          <w:trHeight w:val="130"/>
        </w:trPr>
        <w:tc>
          <w:tcPr>
            <w:tcW w:w="2420" w:type="dxa"/>
            <w:vAlign w:val="bottom"/>
            <w:gridSpan w:val="2"/>
          </w:tcPr>
          <w:p>
            <w:pPr>
              <w:spacing w:after="0" w:line="130" w:lineRule="exact"/>
              <w:rPr>
                <w:sz w:val="20"/>
                <w:szCs w:val="20"/>
                <w:color w:val="auto"/>
              </w:rPr>
            </w:pPr>
            <w:r>
              <w:rPr>
                <w:rFonts w:ascii="Arial" w:cs="Arial" w:eastAsia="Arial" w:hAnsi="Arial"/>
                <w:sz w:val="14"/>
                <w:szCs w:val="14"/>
                <w:color w:val="auto"/>
              </w:rPr>
              <w:t>Capstone Logistics, LLC</w:t>
            </w:r>
          </w:p>
        </w:tc>
        <w:tc>
          <w:tcPr>
            <w:tcW w:w="18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Business Equipment</w:t>
            </w:r>
          </w:p>
        </w:tc>
        <w:tc>
          <w:tcPr>
            <w:tcW w:w="98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Term</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gridSpan w:val="2"/>
          </w:tcPr>
          <w:p>
            <w:pPr>
              <w:ind w:left="120"/>
              <w:spacing w:after="0"/>
              <w:rPr>
                <w:sz w:val="20"/>
                <w:szCs w:val="20"/>
                <w:color w:val="auto"/>
              </w:rPr>
            </w:pPr>
            <w:r>
              <w:rPr>
                <w:rFonts w:ascii="Arial" w:cs="Arial" w:eastAsia="Arial" w:hAnsi="Arial"/>
                <w:sz w:val="14"/>
                <w:szCs w:val="14"/>
                <w:color w:val="auto"/>
              </w:rPr>
              <w:t>and Services</w:t>
            </w:r>
          </w:p>
        </w:tc>
        <w:tc>
          <w:tcPr>
            <w:tcW w:w="980" w:type="dxa"/>
            <w:vAlign w:val="bottom"/>
            <w:gridSpan w:val="2"/>
          </w:tcPr>
          <w:p>
            <w:pPr>
              <w:ind w:left="220"/>
              <w:spacing w:after="0"/>
              <w:rPr>
                <w:sz w:val="20"/>
                <w:szCs w:val="20"/>
                <w:color w:val="auto"/>
              </w:rPr>
            </w:pPr>
            <w:r>
              <w:rPr>
                <w:rFonts w:ascii="Arial" w:cs="Arial" w:eastAsia="Arial" w:hAnsi="Arial"/>
                <w:sz w:val="14"/>
                <w:szCs w:val="14"/>
                <w:color w:val="auto"/>
              </w:rPr>
              <w:t>Note A</w:t>
            </w:r>
          </w:p>
        </w:tc>
        <w:tc>
          <w:tcPr>
            <w:tcW w:w="1100" w:type="dxa"/>
            <w:vAlign w:val="bottom"/>
            <w:gridSpan w:val="3"/>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6.50%</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9/16/2016</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2,658,626</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2,637,550</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2,618,899</w:t>
            </w:r>
          </w:p>
        </w:tc>
      </w:tr>
      <w:tr>
        <w:trPr>
          <w:trHeight w:val="130"/>
        </w:trPr>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Capsugel Holdings US, Inc.</w:t>
            </w:r>
          </w:p>
        </w:tc>
        <w:tc>
          <w:tcPr>
            <w:tcW w:w="18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Drugs</w:t>
            </w:r>
          </w:p>
        </w:tc>
        <w:tc>
          <w:tcPr>
            <w:tcW w:w="9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Initial Term</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Loan</w:t>
            </w: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3.50%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8/1/2018</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3,145,521</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3,138,959</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3,141,589</w:t>
            </w:r>
          </w:p>
        </w:tc>
      </w:tr>
      <w:tr>
        <w:trPr>
          <w:trHeight w:val="130"/>
        </w:trPr>
        <w:tc>
          <w:tcPr>
            <w:tcW w:w="2420" w:type="dxa"/>
            <w:vAlign w:val="bottom"/>
            <w:gridSpan w:val="2"/>
          </w:tcPr>
          <w:p>
            <w:pPr>
              <w:spacing w:after="0" w:line="130" w:lineRule="exact"/>
              <w:rPr>
                <w:sz w:val="20"/>
                <w:szCs w:val="20"/>
                <w:color w:val="auto"/>
              </w:rPr>
            </w:pPr>
            <w:r>
              <w:rPr>
                <w:rFonts w:ascii="Arial" w:cs="Arial" w:eastAsia="Arial" w:hAnsi="Arial"/>
                <w:sz w:val="14"/>
                <w:szCs w:val="14"/>
                <w:color w:val="auto"/>
              </w:rPr>
              <w:t>Celanese US Holdings LLC</w:t>
            </w:r>
          </w:p>
        </w:tc>
        <w:tc>
          <w:tcPr>
            <w:tcW w:w="18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Chemicals/Plastics</w:t>
            </w:r>
          </w:p>
        </w:tc>
        <w:tc>
          <w:tcPr>
            <w:tcW w:w="98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Dollar Term</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7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8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C-2</w:t>
            </w:r>
          </w:p>
        </w:tc>
        <w:tc>
          <w:tcPr>
            <w:tcW w:w="2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color w:val="auto"/>
                <w:w w:val="93"/>
              </w:rPr>
              <w:t>Commitment</w:t>
            </w:r>
          </w:p>
        </w:tc>
        <w:tc>
          <w:tcPr>
            <w:tcW w:w="1100" w:type="dxa"/>
            <w:vAlign w:val="bottom"/>
            <w:gridSpan w:val="3"/>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2.25%</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10/31/2016</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2,176,323</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2,201,894</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2,192,254</w:t>
            </w:r>
          </w:p>
        </w:tc>
      </w:tr>
      <w:tr>
        <w:trPr>
          <w:trHeight w:val="130"/>
        </w:trPr>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Charter Communications Operating,</w:t>
            </w:r>
          </w:p>
        </w:tc>
        <w:tc>
          <w:tcPr>
            <w:tcW w:w="18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Cable and Satellite</w:t>
            </w:r>
          </w:p>
        </w:tc>
        <w:tc>
          <w:tcPr>
            <w:tcW w:w="9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Term F</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4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LLC</w:t>
            </w:r>
          </w:p>
        </w:tc>
        <w:tc>
          <w:tcPr>
            <w:tcW w:w="1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Television</w:t>
            </w: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Loan</w:t>
            </w: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12/31/2020</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2,682,707</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2,672,727</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2,666,369</w:t>
            </w:r>
          </w:p>
        </w:tc>
      </w:tr>
      <w:tr>
        <w:trPr>
          <w:trHeight w:val="130"/>
        </w:trPr>
        <w:tc>
          <w:tcPr>
            <w:tcW w:w="2420" w:type="dxa"/>
            <w:vAlign w:val="bottom"/>
            <w:gridSpan w:val="2"/>
          </w:tcPr>
          <w:p>
            <w:pPr>
              <w:spacing w:after="0" w:line="130" w:lineRule="exact"/>
              <w:rPr>
                <w:sz w:val="20"/>
                <w:szCs w:val="20"/>
                <w:color w:val="auto"/>
              </w:rPr>
            </w:pPr>
            <w:r>
              <w:rPr>
                <w:rFonts w:ascii="Arial" w:cs="Arial" w:eastAsia="Arial" w:hAnsi="Arial"/>
                <w:sz w:val="14"/>
                <w:szCs w:val="14"/>
                <w:color w:val="auto"/>
              </w:rPr>
              <w:t>CHS/Community Health Systems, Inc.</w:t>
            </w:r>
          </w:p>
        </w:tc>
        <w:tc>
          <w:tcPr>
            <w:tcW w:w="18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Healthcare</w:t>
            </w:r>
          </w:p>
        </w:tc>
        <w:tc>
          <w:tcPr>
            <w:tcW w:w="98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2017 Term</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color w:val="auto"/>
              </w:rPr>
              <w:t>E Loan</w:t>
            </w:r>
          </w:p>
        </w:tc>
        <w:tc>
          <w:tcPr>
            <w:tcW w:w="1100" w:type="dxa"/>
            <w:vAlign w:val="bottom"/>
            <w:gridSpan w:val="3"/>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3.48%</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1/25/2017</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1,108,908</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1,082,718</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1,113,987</w:t>
            </w:r>
          </w:p>
        </w:tc>
      </w:tr>
      <w:tr>
        <w:trPr>
          <w:trHeight w:val="130"/>
        </w:trPr>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CHS/Community Health Systems, Inc.</w:t>
            </w:r>
          </w:p>
        </w:tc>
        <w:tc>
          <w:tcPr>
            <w:tcW w:w="18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Healthcare</w:t>
            </w:r>
          </w:p>
        </w:tc>
        <w:tc>
          <w:tcPr>
            <w:tcW w:w="9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2021 Term</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D Loan</w:t>
            </w: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4.25%</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1/27/2021</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2,955,608</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2,862,024</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2,980,228</w:t>
            </w:r>
          </w:p>
        </w:tc>
      </w:tr>
      <w:tr>
        <w:trPr>
          <w:trHeight w:val="130"/>
        </w:trPr>
        <w:tc>
          <w:tcPr>
            <w:tcW w:w="2420" w:type="dxa"/>
            <w:vAlign w:val="bottom"/>
            <w:gridSpan w:val="2"/>
          </w:tcPr>
          <w:p>
            <w:pPr>
              <w:spacing w:after="0" w:line="130" w:lineRule="exact"/>
              <w:rPr>
                <w:sz w:val="20"/>
                <w:szCs w:val="20"/>
                <w:color w:val="auto"/>
              </w:rPr>
            </w:pPr>
            <w:r>
              <w:rPr>
                <w:rFonts w:ascii="Arial" w:cs="Arial" w:eastAsia="Arial" w:hAnsi="Arial"/>
                <w:sz w:val="14"/>
                <w:szCs w:val="14"/>
                <w:color w:val="auto"/>
              </w:rPr>
              <w:t>Cinedigm Digital Funding I, LLC</w:t>
            </w:r>
          </w:p>
        </w:tc>
        <w:tc>
          <w:tcPr>
            <w:tcW w:w="18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Business Equipment</w:t>
            </w:r>
          </w:p>
        </w:tc>
        <w:tc>
          <w:tcPr>
            <w:tcW w:w="98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Term Loan</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20" w:type="dxa"/>
            <w:vAlign w:val="bottom"/>
            <w:gridSpan w:val="2"/>
          </w:tcPr>
          <w:p>
            <w:pPr>
              <w:ind w:left="120"/>
              <w:spacing w:after="0"/>
              <w:rPr>
                <w:sz w:val="20"/>
                <w:szCs w:val="20"/>
                <w:color w:val="auto"/>
              </w:rPr>
            </w:pPr>
            <w:r>
              <w:rPr>
                <w:rFonts w:ascii="Arial" w:cs="Arial" w:eastAsia="Arial" w:hAnsi="Arial"/>
                <w:sz w:val="14"/>
                <w:szCs w:val="14"/>
                <w:color w:val="auto"/>
              </w:rPr>
              <w:t>and Services</w:t>
            </w: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100" w:type="dxa"/>
            <w:vAlign w:val="bottom"/>
            <w:gridSpan w:val="3"/>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3.75%</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2/28/2018</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825,121</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820,892</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825,121</w:t>
            </w:r>
          </w:p>
        </w:tc>
      </w:tr>
      <w:tr>
        <w:trPr>
          <w:trHeight w:val="130"/>
        </w:trPr>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Covanta Energy Corporation</w:t>
            </w:r>
          </w:p>
        </w:tc>
        <w:tc>
          <w:tcPr>
            <w:tcW w:w="18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Ecological Services</w:t>
            </w:r>
          </w:p>
        </w:tc>
        <w:tc>
          <w:tcPr>
            <w:tcW w:w="9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Term Loan</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and Equipment</w:t>
            </w: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3.50%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3/28/2019</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491,250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489,468</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492,788</w:t>
            </w:r>
          </w:p>
        </w:tc>
      </w:tr>
      <w:tr>
        <w:trPr>
          <w:trHeight w:val="130"/>
        </w:trPr>
        <w:tc>
          <w:tcPr>
            <w:tcW w:w="2420" w:type="dxa"/>
            <w:vAlign w:val="bottom"/>
            <w:gridSpan w:val="2"/>
          </w:tcPr>
          <w:p>
            <w:pPr>
              <w:spacing w:after="0" w:line="130" w:lineRule="exact"/>
              <w:rPr>
                <w:sz w:val="20"/>
                <w:szCs w:val="20"/>
                <w:color w:val="auto"/>
              </w:rPr>
            </w:pPr>
            <w:r>
              <w:rPr>
                <w:rFonts w:ascii="Arial" w:cs="Arial" w:eastAsia="Arial" w:hAnsi="Arial"/>
                <w:sz w:val="14"/>
                <w:szCs w:val="14"/>
                <w:color w:val="auto"/>
              </w:rPr>
              <w:t>CPI International Acquisition, Inc.</w:t>
            </w:r>
          </w:p>
        </w:tc>
        <w:tc>
          <w:tcPr>
            <w:tcW w:w="18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Electronics/Electric</w:t>
            </w:r>
          </w:p>
        </w:tc>
        <w:tc>
          <w:tcPr>
            <w:tcW w:w="980" w:type="dxa"/>
            <w:vAlign w:val="bottom"/>
            <w:gridSpan w:val="2"/>
          </w:tcPr>
          <w:p>
            <w:pPr>
              <w:ind w:left="220"/>
              <w:spacing w:after="0" w:line="130" w:lineRule="exact"/>
              <w:rPr>
                <w:sz w:val="20"/>
                <w:szCs w:val="20"/>
                <w:color w:val="auto"/>
              </w:rPr>
            </w:pPr>
            <w:r>
              <w:rPr>
                <w:rFonts w:ascii="Arial" w:cs="Arial" w:eastAsia="Arial" w:hAnsi="Arial"/>
                <w:sz w:val="14"/>
                <w:szCs w:val="14"/>
                <w:color w:val="auto"/>
              </w:rPr>
              <w:t>Term B</w:t>
            </w: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420" w:type="dxa"/>
            <w:vAlign w:val="bottom"/>
            <w:gridSpan w:val="2"/>
          </w:tcPr>
          <w:p>
            <w:pPr>
              <w:ind w:left="160"/>
              <w:spacing w:after="0"/>
              <w:rPr>
                <w:sz w:val="20"/>
                <w:szCs w:val="20"/>
                <w:color w:val="auto"/>
              </w:rPr>
            </w:pPr>
            <w:r>
              <w:rPr>
                <w:rFonts w:ascii="Arial" w:cs="Arial" w:eastAsia="Arial" w:hAnsi="Arial"/>
                <w:sz w:val="14"/>
                <w:szCs w:val="14"/>
                <w:color w:val="auto"/>
              </w:rPr>
              <w:t>(f/k/a Catalyst Holdings, Inc.)</w:t>
            </w: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80" w:type="dxa"/>
            <w:vAlign w:val="bottom"/>
            <w:gridSpan w:val="2"/>
          </w:tcPr>
          <w:p>
            <w:pPr>
              <w:ind w:left="220"/>
              <w:spacing w:after="0"/>
              <w:rPr>
                <w:sz w:val="20"/>
                <w:szCs w:val="20"/>
                <w:color w:val="auto"/>
              </w:rPr>
            </w:pPr>
            <w:r>
              <w:rPr>
                <w:rFonts w:ascii="Arial" w:cs="Arial" w:eastAsia="Arial" w:hAnsi="Arial"/>
                <w:sz w:val="14"/>
                <w:szCs w:val="14"/>
                <w:color w:val="auto"/>
              </w:rPr>
              <w:t>Loan</w:t>
            </w:r>
          </w:p>
        </w:tc>
        <w:tc>
          <w:tcPr>
            <w:tcW w:w="1100" w:type="dxa"/>
            <w:vAlign w:val="bottom"/>
            <w:gridSpan w:val="3"/>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5.00%</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2/13/2017</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4,622,500</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4,611,092</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4,622,500</w:t>
            </w:r>
          </w:p>
        </w:tc>
      </w:tr>
      <w:tr>
        <w:trPr>
          <w:trHeight w:val="130"/>
        </w:trPr>
        <w:tc>
          <w:tcPr>
            <w:tcW w:w="24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Crosby US Acquisition Corp.</w:t>
            </w:r>
          </w:p>
        </w:tc>
        <w:tc>
          <w:tcPr>
            <w:tcW w:w="18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Industrial</w:t>
            </w:r>
          </w:p>
        </w:tc>
        <w:tc>
          <w:tcPr>
            <w:tcW w:w="980" w:type="dxa"/>
            <w:vAlign w:val="bottom"/>
            <w:gridSpan w:val="2"/>
            <w:shd w:val="clear" w:color="auto" w:fill="CCEEFF"/>
          </w:tcPr>
          <w:p>
            <w:pPr>
              <w:ind w:left="220"/>
              <w:spacing w:after="0" w:line="130" w:lineRule="exact"/>
              <w:rPr>
                <w:sz w:val="20"/>
                <w:szCs w:val="20"/>
                <w:color w:val="auto"/>
              </w:rPr>
            </w:pPr>
            <w:r>
              <w:rPr>
                <w:rFonts w:ascii="Arial" w:cs="Arial" w:eastAsia="Arial" w:hAnsi="Arial"/>
                <w:sz w:val="14"/>
                <w:szCs w:val="14"/>
                <w:color w:val="auto"/>
              </w:rPr>
              <w:t>Initial Term</w:t>
            </w: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78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18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Equipment</w:t>
            </w:r>
          </w:p>
        </w:tc>
        <w:tc>
          <w:tcPr>
            <w:tcW w:w="98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Loan (First</w:t>
            </w:r>
          </w:p>
        </w:tc>
        <w:tc>
          <w:tcPr>
            <w:tcW w:w="2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78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220"/>
              <w:spacing w:after="0"/>
              <w:rPr>
                <w:sz w:val="20"/>
                <w:szCs w:val="20"/>
                <w:color w:val="auto"/>
              </w:rPr>
            </w:pPr>
            <w:r>
              <w:rPr>
                <w:rFonts w:ascii="Arial" w:cs="Arial" w:eastAsia="Arial" w:hAnsi="Arial"/>
                <w:sz w:val="14"/>
                <w:szCs w:val="14"/>
                <w:color w:val="auto"/>
              </w:rPr>
              <w:t>Lien)</w:t>
            </w:r>
          </w:p>
        </w:tc>
        <w:tc>
          <w:tcPr>
            <w:tcW w:w="1100" w:type="dxa"/>
            <w:vAlign w:val="bottom"/>
            <w:gridSpan w:val="3"/>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4.00%</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11/23/2020</w:t>
            </w:r>
          </w:p>
        </w:tc>
        <w:tc>
          <w:tcPr>
            <w:tcW w:w="1120" w:type="dxa"/>
            <w:vAlign w:val="bottom"/>
            <w:gridSpan w:val="3"/>
            <w:shd w:val="clear" w:color="auto" w:fill="CCEEFF"/>
          </w:tcPr>
          <w:p>
            <w:pPr>
              <w:jc w:val="right"/>
              <w:ind w:right="300"/>
              <w:spacing w:after="0"/>
              <w:rPr>
                <w:sz w:val="20"/>
                <w:szCs w:val="20"/>
                <w:color w:val="auto"/>
              </w:rPr>
            </w:pPr>
            <w:r>
              <w:rPr>
                <w:rFonts w:ascii="Arial" w:cs="Arial" w:eastAsia="Arial" w:hAnsi="Arial"/>
                <w:sz w:val="14"/>
                <w:szCs w:val="14"/>
                <w:color w:val="auto"/>
              </w:rPr>
              <w:t>750,000</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color w:val="auto"/>
              </w:rPr>
              <w:t>749,094</w:t>
            </w: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748,312</w:t>
            </w:r>
          </w:p>
        </w:tc>
      </w:tr>
      <w:tr>
        <w:trPr>
          <w:trHeight w:val="182"/>
        </w:trPr>
        <w:tc>
          <w:tcPr>
            <w:tcW w:w="2420" w:type="dxa"/>
            <w:vAlign w:val="bottom"/>
            <w:gridSpan w:val="2"/>
          </w:tcPr>
          <w:p>
            <w:pPr>
              <w:spacing w:after="0"/>
              <w:rPr>
                <w:sz w:val="20"/>
                <w:szCs w:val="20"/>
                <w:color w:val="auto"/>
              </w:rPr>
            </w:pPr>
            <w:r>
              <w:rPr>
                <w:rFonts w:ascii="Arial" w:cs="Arial" w:eastAsia="Arial" w:hAnsi="Arial"/>
                <w:sz w:val="14"/>
                <w:szCs w:val="14"/>
                <w:color w:val="auto"/>
              </w:rPr>
              <w:t>Crown Castle Operating Company</w:t>
            </w:r>
          </w:p>
        </w:tc>
        <w:tc>
          <w:tcPr>
            <w:tcW w:w="1820" w:type="dxa"/>
            <w:vAlign w:val="bottom"/>
            <w:gridSpan w:val="2"/>
          </w:tcPr>
          <w:p>
            <w:pPr>
              <w:ind w:left="120"/>
              <w:spacing w:after="0"/>
              <w:rPr>
                <w:sz w:val="20"/>
                <w:szCs w:val="20"/>
                <w:color w:val="auto"/>
              </w:rPr>
            </w:pPr>
            <w:r>
              <w:rPr>
                <w:rFonts w:ascii="Arial" w:cs="Arial" w:eastAsia="Arial" w:hAnsi="Arial"/>
                <w:sz w:val="14"/>
                <w:szCs w:val="14"/>
                <w:color w:val="auto"/>
                <w:w w:val="93"/>
              </w:rPr>
              <w:t>Telecommunications/Cellular</w:t>
            </w:r>
          </w:p>
        </w:tc>
        <w:tc>
          <w:tcPr>
            <w:tcW w:w="980" w:type="dxa"/>
            <w:vAlign w:val="bottom"/>
            <w:gridSpan w:val="2"/>
          </w:tcPr>
          <w:p>
            <w:pPr>
              <w:ind w:left="220"/>
              <w:spacing w:after="0"/>
              <w:rPr>
                <w:sz w:val="20"/>
                <w:szCs w:val="20"/>
                <w:color w:val="auto"/>
              </w:rPr>
            </w:pPr>
            <w:r>
              <w:rPr>
                <w:rFonts w:ascii="Arial" w:cs="Arial" w:eastAsia="Arial" w:hAnsi="Arial"/>
                <w:sz w:val="14"/>
                <w:szCs w:val="14"/>
                <w:color w:val="auto"/>
              </w:rPr>
              <w:t>Extended</w:t>
            </w:r>
          </w:p>
        </w:tc>
        <w:tc>
          <w:tcPr>
            <w:tcW w:w="1100" w:type="dxa"/>
            <w:vAlign w:val="bottom"/>
            <w:gridSpan w:val="3"/>
          </w:tcPr>
          <w:p>
            <w:pPr>
              <w:ind w:left="200"/>
              <w:spacing w:after="0"/>
              <w:rPr>
                <w:sz w:val="20"/>
                <w:szCs w:val="20"/>
                <w:color w:val="auto"/>
              </w:rPr>
            </w:pPr>
            <w:r>
              <w:rPr>
                <w:rFonts w:ascii="Arial" w:cs="Arial" w:eastAsia="Arial" w:hAnsi="Arial"/>
                <w:sz w:val="14"/>
                <w:szCs w:val="14"/>
                <w:color w:val="auto"/>
              </w:rPr>
              <w:t>Loan</w:t>
            </w:r>
          </w:p>
        </w:tc>
        <w:tc>
          <w:tcPr>
            <w:tcW w:w="1220" w:type="dxa"/>
            <w:vAlign w:val="bottom"/>
            <w:gridSpan w:val="2"/>
          </w:tcPr>
          <w:p>
            <w:pPr>
              <w:jc w:val="right"/>
              <w:ind w:right="260"/>
              <w:spacing w:after="0"/>
              <w:rPr>
                <w:sz w:val="20"/>
                <w:szCs w:val="20"/>
                <w:color w:val="auto"/>
              </w:rPr>
            </w:pPr>
            <w:r>
              <w:rPr>
                <w:rFonts w:ascii="Arial" w:cs="Arial" w:eastAsia="Arial" w:hAnsi="Arial"/>
                <w:sz w:val="14"/>
                <w:szCs w:val="14"/>
                <w:color w:val="auto"/>
              </w:rPr>
              <w:t>3.25%</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1/31/2019</w:t>
            </w:r>
          </w:p>
        </w:tc>
        <w:tc>
          <w:tcPr>
            <w:tcW w:w="1120" w:type="dxa"/>
            <w:vAlign w:val="bottom"/>
            <w:gridSpan w:val="3"/>
          </w:tcPr>
          <w:p>
            <w:pPr>
              <w:jc w:val="right"/>
              <w:ind w:right="300"/>
              <w:spacing w:after="0"/>
              <w:rPr>
                <w:sz w:val="20"/>
                <w:szCs w:val="20"/>
                <w:color w:val="auto"/>
              </w:rPr>
            </w:pPr>
            <w:r>
              <w:rPr>
                <w:rFonts w:ascii="Arial" w:cs="Arial" w:eastAsia="Arial" w:hAnsi="Arial"/>
                <w:sz w:val="14"/>
                <w:szCs w:val="14"/>
                <w:color w:val="auto"/>
              </w:rPr>
              <w:t>2,460,196</w:t>
            </w:r>
          </w:p>
        </w:tc>
        <w:tc>
          <w:tcPr>
            <w:tcW w:w="980" w:type="dxa"/>
            <w:vAlign w:val="bottom"/>
            <w:gridSpan w:val="2"/>
          </w:tcPr>
          <w:p>
            <w:pPr>
              <w:jc w:val="right"/>
              <w:ind w:right="320"/>
              <w:spacing w:after="0"/>
              <w:rPr>
                <w:sz w:val="20"/>
                <w:szCs w:val="20"/>
                <w:color w:val="auto"/>
              </w:rPr>
            </w:pPr>
            <w:r>
              <w:rPr>
                <w:rFonts w:ascii="Arial" w:cs="Arial" w:eastAsia="Arial" w:hAnsi="Arial"/>
                <w:sz w:val="14"/>
                <w:szCs w:val="14"/>
                <w:color w:val="auto"/>
              </w:rPr>
              <w:t>2,441,025</w:t>
            </w:r>
          </w:p>
        </w:tc>
        <w:tc>
          <w:tcPr>
            <w:tcW w:w="740" w:type="dxa"/>
            <w:vAlign w:val="bottom"/>
            <w:gridSpan w:val="2"/>
          </w:tcPr>
          <w:p>
            <w:pPr>
              <w:jc w:val="right"/>
              <w:ind w:right="80"/>
              <w:spacing w:after="0"/>
              <w:rPr>
                <w:sz w:val="20"/>
                <w:szCs w:val="20"/>
                <w:color w:val="auto"/>
              </w:rPr>
            </w:pPr>
            <w:r>
              <w:rPr>
                <w:rFonts w:ascii="Arial" w:cs="Arial" w:eastAsia="Arial" w:hAnsi="Arial"/>
                <w:sz w:val="14"/>
                <w:szCs w:val="14"/>
                <w:color w:val="auto"/>
              </w:rPr>
              <w:t>2,460,316</w:t>
            </w:r>
          </w:p>
        </w:tc>
      </w:tr>
    </w:tbl>
    <w:p>
      <w:pPr>
        <w:sectPr>
          <w:pgSz w:w="11900" w:h="16838" w:orient="portrait"/>
          <w:cols w:equalWidth="0" w:num="1">
            <w:col w:w="11420"/>
          </w:cols>
          <w:pgMar w:left="240" w:top="459" w:right="239" w:bottom="0" w:gutter="0" w:footer="0" w:header="0"/>
        </w:sectPr>
      </w:pPr>
    </w:p>
    <w:bookmarkStart w:id="31" w:name="page32"/>
    <w:bookmarkEnd w:id="3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0" w:type="dxa"/>
            <w:vAlign w:val="bottom"/>
          </w:tcPr>
          <w:p>
            <w:pPr>
              <w:ind w:left="560"/>
              <w:spacing w:after="0"/>
              <w:rPr>
                <w:sz w:val="20"/>
                <w:szCs w:val="20"/>
                <w:color w:val="auto"/>
              </w:rPr>
            </w:pPr>
            <w:r>
              <w:rPr>
                <w:rFonts w:ascii="Arial" w:cs="Arial" w:eastAsia="Arial" w:hAnsi="Arial"/>
                <w:sz w:val="14"/>
                <w:szCs w:val="14"/>
                <w:color w:val="auto"/>
              </w:rPr>
              <w:t>Incremental</w:t>
            </w: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49"/>
        </w:trPr>
        <w:tc>
          <w:tcPr>
            <w:tcW w:w="22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400" w:type="dxa"/>
            <w:vAlign w:val="bottom"/>
          </w:tcPr>
          <w:p>
            <w:pPr>
              <w:ind w:left="560"/>
              <w:spacing w:after="0" w:line="149" w:lineRule="exact"/>
              <w:rPr>
                <w:sz w:val="20"/>
                <w:szCs w:val="20"/>
                <w:color w:val="auto"/>
              </w:rPr>
            </w:pPr>
            <w:r>
              <w:rPr>
                <w:rFonts w:ascii="Arial" w:cs="Arial" w:eastAsia="Arial" w:hAnsi="Arial"/>
                <w:sz w:val="14"/>
                <w:szCs w:val="14"/>
                <w:color w:val="auto"/>
              </w:rPr>
              <w:t>Tranche B-2</w:t>
            </w:r>
          </w:p>
        </w:tc>
        <w:tc>
          <w:tcPr>
            <w:tcW w:w="10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00" w:type="dxa"/>
            <w:vAlign w:val="bottom"/>
          </w:tcPr>
          <w:p>
            <w:pPr>
              <w:spacing w:after="0"/>
              <w:rPr>
                <w:sz w:val="12"/>
                <w:szCs w:val="12"/>
                <w:color w:val="auto"/>
              </w:rPr>
            </w:pPr>
          </w:p>
        </w:tc>
      </w:tr>
      <w:tr>
        <w:trPr>
          <w:trHeight w:val="167"/>
        </w:trPr>
        <w:tc>
          <w:tcPr>
            <w:tcW w:w="2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00" w:type="dxa"/>
            <w:vAlign w:val="bottom"/>
          </w:tcPr>
          <w:p>
            <w:pPr>
              <w:ind w:left="560"/>
              <w:spacing w:after="0"/>
              <w:rPr>
                <w:sz w:val="20"/>
                <w:szCs w:val="20"/>
                <w:color w:val="auto"/>
              </w:rPr>
            </w:pPr>
            <w:r>
              <w:rPr>
                <w:rFonts w:ascii="Arial" w:cs="Arial" w:eastAsia="Arial" w:hAnsi="Arial"/>
                <w:sz w:val="14"/>
                <w:szCs w:val="14"/>
                <w:color w:val="auto"/>
              </w:rPr>
              <w:t>Term Loan</w:t>
            </w: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30"/>
        </w:trPr>
        <w:tc>
          <w:tcPr>
            <w:tcW w:w="220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Culligan International Company</w:t>
            </w:r>
          </w:p>
        </w:tc>
        <w:tc>
          <w:tcPr>
            <w:tcW w:w="1700" w:type="dxa"/>
            <w:vAlign w:val="bottom"/>
            <w:shd w:val="clear" w:color="auto" w:fill="CCEEFF"/>
          </w:tcPr>
          <w:p>
            <w:pPr>
              <w:ind w:left="340"/>
              <w:spacing w:after="0" w:line="130" w:lineRule="exact"/>
              <w:rPr>
                <w:sz w:val="20"/>
                <w:szCs w:val="20"/>
                <w:color w:val="auto"/>
              </w:rPr>
            </w:pPr>
            <w:r>
              <w:rPr>
                <w:rFonts w:ascii="Arial" w:cs="Arial" w:eastAsia="Arial" w:hAnsi="Arial"/>
                <w:sz w:val="14"/>
                <w:szCs w:val="14"/>
                <w:color w:val="auto"/>
              </w:rPr>
              <w:t>Conglomerate</w:t>
            </w:r>
          </w:p>
        </w:tc>
        <w:tc>
          <w:tcPr>
            <w:tcW w:w="1400" w:type="dxa"/>
            <w:vAlign w:val="bottom"/>
            <w:shd w:val="clear" w:color="auto" w:fill="CCEEFF"/>
          </w:tcPr>
          <w:p>
            <w:pPr>
              <w:ind w:left="560"/>
              <w:spacing w:after="0" w:line="130" w:lineRule="exact"/>
              <w:rPr>
                <w:sz w:val="20"/>
                <w:szCs w:val="20"/>
                <w:color w:val="auto"/>
              </w:rPr>
            </w:pPr>
            <w:r>
              <w:rPr>
                <w:rFonts w:ascii="Arial" w:cs="Arial" w:eastAsia="Arial" w:hAnsi="Arial"/>
                <w:sz w:val="14"/>
                <w:szCs w:val="14"/>
                <w:color w:val="auto"/>
              </w:rPr>
              <w:t>Dollar Loan</w:t>
            </w:r>
          </w:p>
        </w:tc>
        <w:tc>
          <w:tcPr>
            <w:tcW w:w="102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1160" w:type="dxa"/>
            <w:vAlign w:val="bottom"/>
            <w:shd w:val="clear" w:color="auto" w:fill="CCEEFF"/>
          </w:tcPr>
          <w:p>
            <w:pPr>
              <w:spacing w:after="0"/>
              <w:rPr>
                <w:sz w:val="11"/>
                <w:szCs w:val="11"/>
                <w:color w:val="auto"/>
              </w:rPr>
            </w:pPr>
          </w:p>
        </w:tc>
        <w:tc>
          <w:tcPr>
            <w:tcW w:w="96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r>
      <w:tr>
        <w:trPr>
          <w:trHeight w:val="167"/>
        </w:trPr>
        <w:tc>
          <w:tcPr>
            <w:tcW w:w="220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400" w:type="dxa"/>
            <w:vAlign w:val="bottom"/>
            <w:shd w:val="clear" w:color="auto" w:fill="CCEEFF"/>
          </w:tcPr>
          <w:p>
            <w:pPr>
              <w:ind w:left="560"/>
              <w:spacing w:after="0"/>
              <w:rPr>
                <w:sz w:val="20"/>
                <w:szCs w:val="20"/>
                <w:color w:val="auto"/>
              </w:rPr>
            </w:pPr>
            <w:r>
              <w:rPr>
                <w:rFonts w:ascii="Arial" w:cs="Arial" w:eastAsia="Arial" w:hAnsi="Arial"/>
                <w:sz w:val="14"/>
                <w:szCs w:val="14"/>
                <w:color w:val="auto"/>
              </w:rPr>
              <w:t>(First Lien)</w:t>
            </w:r>
          </w:p>
        </w:tc>
        <w:tc>
          <w:tcPr>
            <w:tcW w:w="10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Loan</w:t>
            </w:r>
          </w:p>
        </w:tc>
        <w:tc>
          <w:tcPr>
            <w:tcW w:w="120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6.25%</w:t>
            </w:r>
          </w:p>
        </w:tc>
        <w:tc>
          <w:tcPr>
            <w:tcW w:w="116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12/19/2017</w:t>
            </w:r>
          </w:p>
        </w:tc>
        <w:tc>
          <w:tcPr>
            <w:tcW w:w="9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787,658</w:t>
            </w:r>
          </w:p>
        </w:tc>
        <w:tc>
          <w:tcPr>
            <w:tcW w:w="9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738,102</w:t>
            </w:r>
          </w:p>
        </w:tc>
        <w:tc>
          <w:tcPr>
            <w:tcW w:w="8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734,491</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08"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0" w:type="dxa"/>
            <w:vAlign w:val="bottom"/>
          </w:tcPr>
          <w:p>
            <w:pPr>
              <w:spacing w:after="0"/>
              <w:rPr>
                <w:sz w:val="20"/>
                <w:szCs w:val="20"/>
                <w:color w:val="auto"/>
              </w:rPr>
            </w:pPr>
            <w:r>
              <w:rPr>
                <w:rFonts w:ascii="Arial" w:cs="Arial" w:eastAsia="Arial" w:hAnsi="Arial"/>
                <w:sz w:val="14"/>
                <w:szCs w:val="14"/>
                <w:b w:val="1"/>
                <w:bCs w:val="1"/>
                <w:color w:val="auto"/>
                <w:w w:val="91"/>
              </w:rPr>
              <w:t>Issuer Name</w:t>
            </w:r>
          </w:p>
        </w:tc>
        <w:tc>
          <w:tcPr>
            <w:tcW w:w="1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ind w:left="160"/>
              <w:spacing w:after="0"/>
              <w:rPr>
                <w:sz w:val="20"/>
                <w:szCs w:val="20"/>
                <w:color w:val="auto"/>
              </w:rPr>
            </w:pPr>
            <w:r>
              <w:rPr>
                <w:rFonts w:ascii="Arial" w:cs="Arial" w:eastAsia="Arial" w:hAnsi="Arial"/>
                <w:sz w:val="14"/>
                <w:szCs w:val="14"/>
                <w:b w:val="1"/>
                <w:bCs w:val="1"/>
                <w:color w:val="auto"/>
              </w:rPr>
              <w:t>Industry</w:t>
            </w:r>
          </w:p>
        </w:tc>
        <w:tc>
          <w:tcPr>
            <w:tcW w:w="340" w:type="dxa"/>
            <w:vAlign w:val="bottom"/>
          </w:tcPr>
          <w:p>
            <w:pPr>
              <w:spacing w:after="0"/>
              <w:rPr>
                <w:sz w:val="16"/>
                <w:szCs w:val="16"/>
                <w:color w:val="auto"/>
              </w:rPr>
            </w:pPr>
          </w:p>
        </w:tc>
        <w:tc>
          <w:tcPr>
            <w:tcW w:w="780" w:type="dxa"/>
            <w:vAlign w:val="bottom"/>
          </w:tcPr>
          <w:p>
            <w:pPr>
              <w:ind w:left="40"/>
              <w:spacing w:after="0"/>
              <w:rPr>
                <w:sz w:val="20"/>
                <w:szCs w:val="20"/>
                <w:color w:val="auto"/>
              </w:rPr>
            </w:pPr>
            <w:r>
              <w:rPr>
                <w:rFonts w:ascii="Arial" w:cs="Arial" w:eastAsia="Arial" w:hAnsi="Arial"/>
                <w:sz w:val="14"/>
                <w:szCs w:val="14"/>
                <w:b w:val="1"/>
                <w:bCs w:val="1"/>
                <w:color w:val="auto"/>
                <w:w w:val="89"/>
              </w:rPr>
              <w:t>Asset Name</w:t>
            </w:r>
          </w:p>
        </w:tc>
        <w:tc>
          <w:tcPr>
            <w:tcW w:w="340" w:type="dxa"/>
            <w:vAlign w:val="bottom"/>
          </w:tcPr>
          <w:p>
            <w:pPr>
              <w:spacing w:after="0"/>
              <w:rPr>
                <w:sz w:val="16"/>
                <w:szCs w:val="16"/>
                <w:color w:val="auto"/>
              </w:rPr>
            </w:pPr>
          </w:p>
        </w:tc>
        <w:tc>
          <w:tcPr>
            <w:tcW w:w="680" w:type="dxa"/>
            <w:vAlign w:val="bottom"/>
          </w:tcPr>
          <w:p>
            <w:pPr>
              <w:ind w:left="20"/>
              <w:spacing w:after="0"/>
              <w:rPr>
                <w:sz w:val="20"/>
                <w:szCs w:val="20"/>
                <w:color w:val="auto"/>
              </w:rPr>
            </w:pPr>
            <w:r>
              <w:rPr>
                <w:rFonts w:ascii="Arial" w:cs="Arial" w:eastAsia="Arial" w:hAnsi="Arial"/>
                <w:sz w:val="14"/>
                <w:szCs w:val="14"/>
                <w:b w:val="1"/>
                <w:bCs w:val="1"/>
                <w:color w:val="auto"/>
                <w:w w:val="85"/>
              </w:rPr>
              <w:t>Asset Type</w:t>
            </w:r>
          </w:p>
        </w:tc>
        <w:tc>
          <w:tcPr>
            <w:tcW w:w="360" w:type="dxa"/>
            <w:vAlign w:val="bottom"/>
          </w:tcPr>
          <w:p>
            <w:pPr>
              <w:spacing w:after="0"/>
              <w:rPr>
                <w:sz w:val="16"/>
                <w:szCs w:val="16"/>
                <w:color w:val="auto"/>
              </w:rPr>
            </w:pPr>
          </w:p>
        </w:tc>
        <w:tc>
          <w:tcPr>
            <w:tcW w:w="13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6"/>
              </w:rPr>
              <w:t>Current Rate</w:t>
            </w:r>
          </w:p>
        </w:tc>
        <w:tc>
          <w:tcPr>
            <w:tcW w:w="1340" w:type="dxa"/>
            <w:vAlign w:val="bottom"/>
            <w:gridSpan w:val="2"/>
          </w:tcPr>
          <w:p>
            <w:pPr>
              <w:spacing w:after="0"/>
              <w:rPr>
                <w:sz w:val="20"/>
                <w:szCs w:val="20"/>
                <w:color w:val="auto"/>
              </w:rPr>
            </w:pPr>
            <w:r>
              <w:rPr>
                <w:rFonts w:ascii="Arial" w:cs="Arial" w:eastAsia="Arial" w:hAnsi="Arial"/>
                <w:sz w:val="14"/>
                <w:szCs w:val="14"/>
                <w:b w:val="1"/>
                <w:bCs w:val="1"/>
                <w:color w:val="auto"/>
              </w:rPr>
              <w:t>Maturity Date</w:t>
            </w: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Principal</w:t>
            </w:r>
          </w:p>
        </w:tc>
        <w:tc>
          <w:tcPr>
            <w:tcW w:w="108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Cost</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20"/>
        </w:trPr>
        <w:tc>
          <w:tcPr>
            <w:tcW w:w="780" w:type="dxa"/>
            <w:vAlign w:val="bottom"/>
            <w:shd w:val="clear" w:color="auto" w:fill="000000"/>
          </w:tcPr>
          <w:p>
            <w:pPr>
              <w:spacing w:after="0" w:line="20" w:lineRule="exact"/>
              <w:rPr>
                <w:sz w:val="1"/>
                <w:szCs w:val="1"/>
                <w:color w:val="auto"/>
              </w:rPr>
            </w:pPr>
          </w:p>
        </w:tc>
        <w:tc>
          <w:tcPr>
            <w:tcW w:w="1540" w:type="dxa"/>
            <w:vAlign w:val="bottom"/>
            <w:shd w:val="clear" w:color="auto" w:fill="CCEEFF"/>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40" w:type="dxa"/>
            <w:vAlign w:val="bottom"/>
            <w:shd w:val="clear" w:color="auto" w:fill="CCEEFF"/>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2320" w:type="dxa"/>
            <w:vAlign w:val="bottom"/>
            <w:gridSpan w:val="2"/>
            <w:shd w:val="clear" w:color="auto" w:fill="CCEEFF"/>
          </w:tcPr>
          <w:p>
            <w:pPr>
              <w:spacing w:after="0" w:line="123" w:lineRule="exact"/>
              <w:rPr>
                <w:sz w:val="20"/>
                <w:szCs w:val="20"/>
                <w:color w:val="auto"/>
              </w:rPr>
            </w:pPr>
            <w:r>
              <w:rPr>
                <w:rFonts w:ascii="Arial" w:cs="Arial" w:eastAsia="Arial" w:hAnsi="Arial"/>
                <w:sz w:val="14"/>
                <w:szCs w:val="14"/>
                <w:color w:val="auto"/>
              </w:rPr>
              <w:t>Culligan International Company</w:t>
            </w:r>
          </w:p>
        </w:tc>
        <w:tc>
          <w:tcPr>
            <w:tcW w:w="200" w:type="dxa"/>
            <w:vAlign w:val="bottom"/>
            <w:vMerge w:val="continue"/>
            <w:shd w:val="clear" w:color="auto" w:fill="CCEEFF"/>
          </w:tcPr>
          <w:p>
            <w:pPr>
              <w:spacing w:after="0"/>
              <w:rPr>
                <w:sz w:val="10"/>
                <w:szCs w:val="10"/>
                <w:color w:val="auto"/>
              </w:rPr>
            </w:pPr>
          </w:p>
        </w:tc>
        <w:tc>
          <w:tcPr>
            <w:tcW w:w="84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w w:val="93"/>
              </w:rPr>
              <w:t>Conglomerate</w:t>
            </w:r>
          </w:p>
        </w:tc>
        <w:tc>
          <w:tcPr>
            <w:tcW w:w="340" w:type="dxa"/>
            <w:vAlign w:val="bottom"/>
            <w:vMerge w:val="continue"/>
            <w:shd w:val="clear" w:color="auto" w:fill="CCEEFF"/>
          </w:tcPr>
          <w:p>
            <w:pPr>
              <w:spacing w:after="0"/>
              <w:rPr>
                <w:sz w:val="10"/>
                <w:szCs w:val="10"/>
                <w:color w:val="auto"/>
              </w:rPr>
            </w:pPr>
          </w:p>
        </w:tc>
        <w:tc>
          <w:tcPr>
            <w:tcW w:w="780" w:type="dxa"/>
            <w:vAlign w:val="bottom"/>
            <w:shd w:val="clear" w:color="auto" w:fill="CCEEFF"/>
          </w:tcPr>
          <w:p>
            <w:pPr>
              <w:spacing w:after="0" w:line="123" w:lineRule="exact"/>
              <w:rPr>
                <w:sz w:val="20"/>
                <w:szCs w:val="20"/>
                <w:color w:val="auto"/>
              </w:rPr>
            </w:pPr>
            <w:r>
              <w:rPr>
                <w:rFonts w:ascii="Arial" w:cs="Arial" w:eastAsia="Arial" w:hAnsi="Arial"/>
                <w:sz w:val="14"/>
                <w:szCs w:val="14"/>
                <w:color w:val="auto"/>
              </w:rPr>
              <w:t>Dollar Loan</w:t>
            </w:r>
          </w:p>
        </w:tc>
        <w:tc>
          <w:tcPr>
            <w:tcW w:w="34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84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(Second</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Lien)</w:t>
            </w:r>
          </w:p>
        </w:tc>
        <w:tc>
          <w:tcPr>
            <w:tcW w:w="13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9.50%</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6/19/2018</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783,162</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732,061</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657,856</w:t>
            </w:r>
          </w:p>
        </w:tc>
        <w:tc>
          <w:tcPr>
            <w:tcW w:w="0" w:type="dxa"/>
            <w:vAlign w:val="bottom"/>
          </w:tcPr>
          <w:p>
            <w:pPr>
              <w:spacing w:after="0"/>
              <w:rPr>
                <w:sz w:val="1"/>
                <w:szCs w:val="1"/>
                <w:color w:val="auto"/>
              </w:rPr>
            </w:pPr>
          </w:p>
        </w:tc>
      </w:tr>
      <w:tr>
        <w:trPr>
          <w:trHeight w:val="130"/>
        </w:trPr>
        <w:tc>
          <w:tcPr>
            <w:tcW w:w="2320" w:type="dxa"/>
            <w:vAlign w:val="bottom"/>
            <w:gridSpan w:val="2"/>
          </w:tcPr>
          <w:p>
            <w:pPr>
              <w:spacing w:after="0" w:line="130" w:lineRule="exact"/>
              <w:rPr>
                <w:sz w:val="20"/>
                <w:szCs w:val="20"/>
                <w:color w:val="auto"/>
              </w:rPr>
            </w:pPr>
            <w:r>
              <w:rPr>
                <w:rFonts w:ascii="Arial" w:cs="Arial" w:eastAsia="Arial" w:hAnsi="Arial"/>
                <w:sz w:val="14"/>
                <w:szCs w:val="14"/>
                <w:color w:val="auto"/>
              </w:rPr>
              <w:t>Cumulus Media Holdings Inc.</w:t>
            </w:r>
          </w:p>
        </w:tc>
        <w:tc>
          <w:tcPr>
            <w:tcW w:w="10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Broadcast</w:t>
            </w:r>
          </w:p>
        </w:tc>
        <w:tc>
          <w:tcPr>
            <w:tcW w:w="11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Term Loan</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Radio and</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color w:val="auto"/>
              </w:rPr>
              <w:t>Television</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gridSpan w:val="3"/>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tcPr>
          <w:p>
            <w:pPr>
              <w:jc w:val="right"/>
              <w:ind w:right="400"/>
              <w:spacing w:after="0"/>
              <w:rPr>
                <w:sz w:val="20"/>
                <w:szCs w:val="20"/>
                <w:color w:val="auto"/>
              </w:rPr>
            </w:pPr>
            <w:r>
              <w:rPr>
                <w:rFonts w:ascii="Arial" w:cs="Arial" w:eastAsia="Arial" w:hAnsi="Arial"/>
                <w:sz w:val="14"/>
                <w:szCs w:val="14"/>
                <w:color w:val="auto"/>
              </w:rPr>
              <w:t>4.25%</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12/23/2020</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500,000</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color w:val="auto"/>
              </w:rPr>
              <w:t>495,000</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502,815</w:t>
            </w:r>
          </w:p>
        </w:tc>
        <w:tc>
          <w:tcPr>
            <w:tcW w:w="0" w:type="dxa"/>
            <w:vAlign w:val="bottom"/>
          </w:tcPr>
          <w:p>
            <w:pPr>
              <w:spacing w:after="0"/>
              <w:rPr>
                <w:sz w:val="1"/>
                <w:szCs w:val="1"/>
                <w:color w:val="auto"/>
              </w:rPr>
            </w:pPr>
          </w:p>
        </w:tc>
      </w:tr>
      <w:tr>
        <w:trPr>
          <w:trHeight w:val="130"/>
        </w:trPr>
        <w:tc>
          <w:tcPr>
            <w:tcW w:w="2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DaVita HealthCare Partners Inc. (fka</w:t>
            </w:r>
          </w:p>
        </w:tc>
        <w:tc>
          <w:tcPr>
            <w:tcW w:w="104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Healthcare</w:t>
            </w:r>
          </w:p>
        </w:tc>
        <w:tc>
          <w:tcPr>
            <w:tcW w:w="11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Tranche B</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DaVita Inc.)</w:t>
            </w: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Term Loan</w:t>
            </w:r>
          </w:p>
        </w:tc>
        <w:tc>
          <w:tcPr>
            <w:tcW w:w="13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4.50%</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10/20/2016</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w w:val="96"/>
              </w:rPr>
              <w:t>3,909,320</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3,909,320</w:t>
            </w:r>
          </w:p>
        </w:tc>
        <w:tc>
          <w:tcPr>
            <w:tcW w:w="4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3,927,655</w:t>
            </w:r>
          </w:p>
        </w:tc>
        <w:tc>
          <w:tcPr>
            <w:tcW w:w="0" w:type="dxa"/>
            <w:vAlign w:val="bottom"/>
          </w:tcPr>
          <w:p>
            <w:pPr>
              <w:spacing w:after="0"/>
              <w:rPr>
                <w:sz w:val="1"/>
                <w:szCs w:val="1"/>
                <w:color w:val="auto"/>
              </w:rPr>
            </w:pPr>
          </w:p>
        </w:tc>
      </w:tr>
      <w:tr>
        <w:trPr>
          <w:trHeight w:val="130"/>
        </w:trPr>
        <w:tc>
          <w:tcPr>
            <w:tcW w:w="2320" w:type="dxa"/>
            <w:vAlign w:val="bottom"/>
            <w:gridSpan w:val="2"/>
          </w:tcPr>
          <w:p>
            <w:pPr>
              <w:spacing w:after="0" w:line="130" w:lineRule="exact"/>
              <w:rPr>
                <w:sz w:val="20"/>
                <w:szCs w:val="20"/>
                <w:color w:val="auto"/>
              </w:rPr>
            </w:pPr>
            <w:r>
              <w:rPr>
                <w:rFonts w:ascii="Arial" w:cs="Arial" w:eastAsia="Arial" w:hAnsi="Arial"/>
                <w:sz w:val="14"/>
                <w:szCs w:val="14"/>
                <w:color w:val="auto"/>
              </w:rPr>
              <w:t>DCS Business Services, Inc.</w:t>
            </w:r>
          </w:p>
        </w:tc>
        <w:tc>
          <w:tcPr>
            <w:tcW w:w="10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Financial</w:t>
            </w:r>
          </w:p>
        </w:tc>
        <w:tc>
          <w:tcPr>
            <w:tcW w:w="11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Term B</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color w:val="auto"/>
                <w:w w:val="92"/>
              </w:rPr>
              <w:t>Intermediaries</w:t>
            </w:r>
          </w:p>
        </w:tc>
        <w:tc>
          <w:tcPr>
            <w:tcW w:w="1120" w:type="dxa"/>
            <w:vAlign w:val="bottom"/>
            <w:gridSpan w:val="2"/>
          </w:tcPr>
          <w:p>
            <w:pPr>
              <w:ind w:left="340"/>
              <w:spacing w:after="0"/>
              <w:rPr>
                <w:sz w:val="20"/>
                <w:szCs w:val="20"/>
                <w:color w:val="auto"/>
              </w:rPr>
            </w:pPr>
            <w:r>
              <w:rPr>
                <w:rFonts w:ascii="Arial" w:cs="Arial" w:eastAsia="Arial" w:hAnsi="Arial"/>
                <w:sz w:val="14"/>
                <w:szCs w:val="14"/>
                <w:color w:val="auto"/>
              </w:rPr>
              <w:t>Loan</w:t>
            </w:r>
          </w:p>
        </w:tc>
        <w:tc>
          <w:tcPr>
            <w:tcW w:w="1380" w:type="dxa"/>
            <w:vAlign w:val="bottom"/>
            <w:gridSpan w:val="3"/>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tcPr>
          <w:p>
            <w:pPr>
              <w:jc w:val="right"/>
              <w:ind w:right="400"/>
              <w:spacing w:after="0"/>
              <w:rPr>
                <w:sz w:val="20"/>
                <w:szCs w:val="20"/>
                <w:color w:val="auto"/>
              </w:rPr>
            </w:pPr>
            <w:r>
              <w:rPr>
                <w:rFonts w:ascii="Arial" w:cs="Arial" w:eastAsia="Arial" w:hAnsi="Arial"/>
                <w:sz w:val="14"/>
                <w:szCs w:val="14"/>
                <w:color w:val="auto"/>
              </w:rPr>
              <w:t>7.25%</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3/19/2018</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w w:val="96"/>
              </w:rPr>
              <w:t>3,831,595</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3,792,824</w:t>
            </w:r>
          </w:p>
        </w:tc>
        <w:tc>
          <w:tcPr>
            <w:tcW w:w="4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3,735,805</w:t>
            </w:r>
          </w:p>
        </w:tc>
        <w:tc>
          <w:tcPr>
            <w:tcW w:w="0" w:type="dxa"/>
            <w:vAlign w:val="bottom"/>
          </w:tcPr>
          <w:p>
            <w:pPr>
              <w:spacing w:after="0"/>
              <w:rPr>
                <w:sz w:val="1"/>
                <w:szCs w:val="1"/>
                <w:color w:val="auto"/>
              </w:rPr>
            </w:pPr>
          </w:p>
        </w:tc>
      </w:tr>
      <w:tr>
        <w:trPr>
          <w:trHeight w:val="130"/>
        </w:trPr>
        <w:tc>
          <w:tcPr>
            <w:tcW w:w="2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DealerTrack Technologies, Inc.</w:t>
            </w:r>
          </w:p>
        </w:tc>
        <w:tc>
          <w:tcPr>
            <w:tcW w:w="104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Computers &amp;</w:t>
            </w:r>
          </w:p>
        </w:tc>
        <w:tc>
          <w:tcPr>
            <w:tcW w:w="11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Term Loan</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Electronics</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3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3.50%</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2/28/2021</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500,000</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498,750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498,750</w:t>
            </w:r>
          </w:p>
        </w:tc>
        <w:tc>
          <w:tcPr>
            <w:tcW w:w="0" w:type="dxa"/>
            <w:vAlign w:val="bottom"/>
          </w:tcPr>
          <w:p>
            <w:pPr>
              <w:spacing w:after="0"/>
              <w:rPr>
                <w:sz w:val="1"/>
                <w:szCs w:val="1"/>
                <w:color w:val="auto"/>
              </w:rPr>
            </w:pPr>
          </w:p>
        </w:tc>
      </w:tr>
      <w:tr>
        <w:trPr>
          <w:trHeight w:val="130"/>
        </w:trPr>
        <w:tc>
          <w:tcPr>
            <w:tcW w:w="2320" w:type="dxa"/>
            <w:vAlign w:val="bottom"/>
            <w:gridSpan w:val="2"/>
          </w:tcPr>
          <w:p>
            <w:pPr>
              <w:spacing w:after="0" w:line="130" w:lineRule="exact"/>
              <w:rPr>
                <w:sz w:val="20"/>
                <w:szCs w:val="20"/>
                <w:color w:val="auto"/>
              </w:rPr>
            </w:pPr>
            <w:r>
              <w:rPr>
                <w:rFonts w:ascii="Arial" w:cs="Arial" w:eastAsia="Arial" w:hAnsi="Arial"/>
                <w:sz w:val="14"/>
                <w:szCs w:val="14"/>
                <w:color w:val="auto"/>
              </w:rPr>
              <w:t>Dell International LLC</w:t>
            </w:r>
          </w:p>
        </w:tc>
        <w:tc>
          <w:tcPr>
            <w:tcW w:w="10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Retailers</w:t>
            </w:r>
          </w:p>
        </w:tc>
        <w:tc>
          <w:tcPr>
            <w:tcW w:w="11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Term B</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4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8"/>
              </w:rPr>
              <w:t>(Except Food</w:t>
            </w:r>
          </w:p>
        </w:tc>
        <w:tc>
          <w:tcPr>
            <w:tcW w:w="11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Loan</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color w:val="auto"/>
              </w:rPr>
              <w:t>and Drugs)</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gridSpan w:val="3"/>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tcPr>
          <w:p>
            <w:pPr>
              <w:jc w:val="right"/>
              <w:ind w:right="400"/>
              <w:spacing w:after="0"/>
              <w:rPr>
                <w:sz w:val="20"/>
                <w:szCs w:val="20"/>
                <w:color w:val="auto"/>
              </w:rPr>
            </w:pPr>
            <w:r>
              <w:rPr>
                <w:rFonts w:ascii="Arial" w:cs="Arial" w:eastAsia="Arial" w:hAnsi="Arial"/>
                <w:sz w:val="14"/>
                <w:szCs w:val="14"/>
                <w:color w:val="auto"/>
              </w:rPr>
              <w:t>4.50%</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4/29/2020</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w w:val="96"/>
              </w:rPr>
              <w:t>1,995,000</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1,982,818</w:t>
            </w:r>
          </w:p>
        </w:tc>
        <w:tc>
          <w:tcPr>
            <w:tcW w:w="4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1,988,935</w:t>
            </w:r>
          </w:p>
        </w:tc>
        <w:tc>
          <w:tcPr>
            <w:tcW w:w="0" w:type="dxa"/>
            <w:vAlign w:val="bottom"/>
          </w:tcPr>
          <w:p>
            <w:pPr>
              <w:spacing w:after="0"/>
              <w:rPr>
                <w:sz w:val="1"/>
                <w:szCs w:val="1"/>
                <w:color w:val="auto"/>
              </w:rPr>
            </w:pPr>
          </w:p>
        </w:tc>
      </w:tr>
      <w:tr>
        <w:trPr>
          <w:trHeight w:val="149"/>
        </w:trPr>
        <w:tc>
          <w:tcPr>
            <w:tcW w:w="2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Delos Finance S.à r.l.</w:t>
            </w:r>
          </w:p>
        </w:tc>
        <w:tc>
          <w:tcPr>
            <w:tcW w:w="1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Leasing</w:t>
            </w:r>
          </w:p>
        </w:tc>
        <w:tc>
          <w:tcPr>
            <w:tcW w:w="11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Loan</w:t>
            </w:r>
          </w:p>
        </w:tc>
        <w:tc>
          <w:tcPr>
            <w:tcW w:w="138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Loan</w:t>
            </w:r>
          </w:p>
        </w:tc>
        <w:tc>
          <w:tcPr>
            <w:tcW w:w="13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3.50%</w:t>
            </w:r>
          </w:p>
        </w:tc>
        <w:tc>
          <w:tcPr>
            <w:tcW w:w="13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2/26/2021</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500,000</w:t>
            </w: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497,500</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497,500</w:t>
            </w:r>
          </w:p>
        </w:tc>
        <w:tc>
          <w:tcPr>
            <w:tcW w:w="0" w:type="dxa"/>
            <w:vAlign w:val="bottom"/>
          </w:tcPr>
          <w:p>
            <w:pPr>
              <w:spacing w:after="0"/>
              <w:rPr>
                <w:sz w:val="1"/>
                <w:szCs w:val="1"/>
                <w:color w:val="auto"/>
              </w:rPr>
            </w:pPr>
          </w:p>
        </w:tc>
      </w:tr>
      <w:tr>
        <w:trPr>
          <w:trHeight w:val="130"/>
        </w:trPr>
        <w:tc>
          <w:tcPr>
            <w:tcW w:w="2320" w:type="dxa"/>
            <w:vAlign w:val="bottom"/>
            <w:gridSpan w:val="2"/>
          </w:tcPr>
          <w:p>
            <w:pPr>
              <w:spacing w:after="0" w:line="130" w:lineRule="exact"/>
              <w:rPr>
                <w:sz w:val="20"/>
                <w:szCs w:val="20"/>
                <w:color w:val="auto"/>
              </w:rPr>
            </w:pPr>
            <w:r>
              <w:rPr>
                <w:rFonts w:ascii="Arial" w:cs="Arial" w:eastAsia="Arial" w:hAnsi="Arial"/>
                <w:sz w:val="14"/>
                <w:szCs w:val="14"/>
                <w:color w:val="auto"/>
              </w:rPr>
              <w:t>Deluxe Entertainment Services</w:t>
            </w:r>
          </w:p>
        </w:tc>
        <w:tc>
          <w:tcPr>
            <w:tcW w:w="10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Media</w:t>
            </w:r>
          </w:p>
        </w:tc>
        <w:tc>
          <w:tcPr>
            <w:tcW w:w="11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Initial Term</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ind w:left="160"/>
              <w:spacing w:after="0"/>
              <w:rPr>
                <w:sz w:val="20"/>
                <w:szCs w:val="20"/>
                <w:color w:val="auto"/>
              </w:rPr>
            </w:pPr>
            <w:r>
              <w:rPr>
                <w:rFonts w:ascii="Arial" w:cs="Arial" w:eastAsia="Arial" w:hAnsi="Arial"/>
                <w:sz w:val="14"/>
                <w:szCs w:val="14"/>
                <w:color w:val="auto"/>
              </w:rPr>
              <w:t>Group Inc.</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tcPr>
          <w:p>
            <w:pPr>
              <w:ind w:left="340"/>
              <w:spacing w:after="0"/>
              <w:rPr>
                <w:sz w:val="20"/>
                <w:szCs w:val="20"/>
                <w:color w:val="auto"/>
              </w:rPr>
            </w:pPr>
            <w:r>
              <w:rPr>
                <w:rFonts w:ascii="Arial" w:cs="Arial" w:eastAsia="Arial" w:hAnsi="Arial"/>
                <w:sz w:val="14"/>
                <w:szCs w:val="14"/>
                <w:color w:val="auto"/>
              </w:rPr>
              <w:t>Loan</w:t>
            </w:r>
          </w:p>
        </w:tc>
        <w:tc>
          <w:tcPr>
            <w:tcW w:w="1380" w:type="dxa"/>
            <w:vAlign w:val="bottom"/>
            <w:gridSpan w:val="3"/>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tcPr>
          <w:p>
            <w:pPr>
              <w:jc w:val="right"/>
              <w:ind w:right="400"/>
              <w:spacing w:after="0"/>
              <w:rPr>
                <w:sz w:val="20"/>
                <w:szCs w:val="20"/>
                <w:color w:val="auto"/>
              </w:rPr>
            </w:pPr>
            <w:r>
              <w:rPr>
                <w:rFonts w:ascii="Arial" w:cs="Arial" w:eastAsia="Arial" w:hAnsi="Arial"/>
                <w:sz w:val="14"/>
                <w:szCs w:val="14"/>
                <w:color w:val="auto"/>
              </w:rPr>
              <w:t>6.50%</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2/28/2020</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w w:val="96"/>
              </w:rPr>
              <w:t>1,000,000</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1,000,000</w:t>
            </w:r>
          </w:p>
        </w:tc>
        <w:tc>
          <w:tcPr>
            <w:tcW w:w="4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1,000,000</w:t>
            </w:r>
          </w:p>
        </w:tc>
        <w:tc>
          <w:tcPr>
            <w:tcW w:w="0" w:type="dxa"/>
            <w:vAlign w:val="bottom"/>
          </w:tcPr>
          <w:p>
            <w:pPr>
              <w:spacing w:after="0"/>
              <w:rPr>
                <w:sz w:val="1"/>
                <w:szCs w:val="1"/>
                <w:color w:val="auto"/>
              </w:rPr>
            </w:pPr>
          </w:p>
        </w:tc>
      </w:tr>
      <w:tr>
        <w:trPr>
          <w:trHeight w:val="130"/>
        </w:trPr>
        <w:tc>
          <w:tcPr>
            <w:tcW w:w="2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Digitalglobe, Inc.</w:t>
            </w:r>
          </w:p>
        </w:tc>
        <w:tc>
          <w:tcPr>
            <w:tcW w:w="104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Ecological</w:t>
            </w:r>
          </w:p>
        </w:tc>
        <w:tc>
          <w:tcPr>
            <w:tcW w:w="11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Term Loan</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Services and</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Equipment</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3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3.75%</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1/31/2020</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248,125</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248,125</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247,815</w:t>
            </w:r>
          </w:p>
        </w:tc>
        <w:tc>
          <w:tcPr>
            <w:tcW w:w="0" w:type="dxa"/>
            <w:vAlign w:val="bottom"/>
          </w:tcPr>
          <w:p>
            <w:pPr>
              <w:spacing w:after="0"/>
              <w:rPr>
                <w:sz w:val="1"/>
                <w:szCs w:val="1"/>
                <w:color w:val="auto"/>
              </w:rPr>
            </w:pPr>
          </w:p>
        </w:tc>
      </w:tr>
      <w:tr>
        <w:trPr>
          <w:trHeight w:val="130"/>
        </w:trPr>
        <w:tc>
          <w:tcPr>
            <w:tcW w:w="2320" w:type="dxa"/>
            <w:vAlign w:val="bottom"/>
            <w:gridSpan w:val="2"/>
          </w:tcPr>
          <w:p>
            <w:pPr>
              <w:spacing w:after="0" w:line="130" w:lineRule="exact"/>
              <w:rPr>
                <w:sz w:val="20"/>
                <w:szCs w:val="20"/>
                <w:color w:val="auto"/>
              </w:rPr>
            </w:pPr>
            <w:r>
              <w:rPr>
                <w:rFonts w:ascii="Arial" w:cs="Arial" w:eastAsia="Arial" w:hAnsi="Arial"/>
                <w:sz w:val="14"/>
                <w:szCs w:val="14"/>
                <w:color w:val="auto"/>
              </w:rPr>
              <w:t>Drew Marine Group Inc.</w:t>
            </w:r>
          </w:p>
        </w:tc>
        <w:tc>
          <w:tcPr>
            <w:tcW w:w="10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Chemicals/</w:t>
            </w:r>
          </w:p>
        </w:tc>
        <w:tc>
          <w:tcPr>
            <w:tcW w:w="11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Term Loan</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color w:val="auto"/>
              </w:rPr>
              <w:t>Plastics</w:t>
            </w:r>
          </w:p>
        </w:tc>
        <w:tc>
          <w:tcPr>
            <w:tcW w:w="1120" w:type="dxa"/>
            <w:vAlign w:val="bottom"/>
            <w:gridSpan w:val="2"/>
          </w:tcPr>
          <w:p>
            <w:pPr>
              <w:ind w:left="340"/>
              <w:spacing w:after="0"/>
              <w:rPr>
                <w:sz w:val="20"/>
                <w:szCs w:val="20"/>
                <w:color w:val="auto"/>
              </w:rPr>
            </w:pPr>
            <w:r>
              <w:rPr>
                <w:rFonts w:ascii="Arial" w:cs="Arial" w:eastAsia="Arial" w:hAnsi="Arial"/>
                <w:sz w:val="14"/>
                <w:szCs w:val="14"/>
                <w:color w:val="auto"/>
              </w:rPr>
              <w:t>(First Lien)</w:t>
            </w:r>
          </w:p>
        </w:tc>
        <w:tc>
          <w:tcPr>
            <w:tcW w:w="1380" w:type="dxa"/>
            <w:vAlign w:val="bottom"/>
            <w:gridSpan w:val="3"/>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tcPr>
          <w:p>
            <w:pPr>
              <w:jc w:val="right"/>
              <w:ind w:right="400"/>
              <w:spacing w:after="0"/>
              <w:rPr>
                <w:sz w:val="20"/>
                <w:szCs w:val="20"/>
                <w:color w:val="auto"/>
              </w:rPr>
            </w:pPr>
            <w:r>
              <w:rPr>
                <w:rFonts w:ascii="Arial" w:cs="Arial" w:eastAsia="Arial" w:hAnsi="Arial"/>
                <w:sz w:val="14"/>
                <w:szCs w:val="14"/>
                <w:color w:val="auto"/>
              </w:rPr>
              <w:t>4.50%</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11/19/2020</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500,000</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color w:val="auto"/>
              </w:rPr>
              <w:t>499,397</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502,500</w:t>
            </w:r>
          </w:p>
        </w:tc>
        <w:tc>
          <w:tcPr>
            <w:tcW w:w="0" w:type="dxa"/>
            <w:vAlign w:val="bottom"/>
          </w:tcPr>
          <w:p>
            <w:pPr>
              <w:spacing w:after="0"/>
              <w:rPr>
                <w:sz w:val="1"/>
                <w:szCs w:val="1"/>
                <w:color w:val="auto"/>
              </w:rPr>
            </w:pPr>
          </w:p>
        </w:tc>
      </w:tr>
      <w:tr>
        <w:trPr>
          <w:trHeight w:val="130"/>
        </w:trPr>
        <w:tc>
          <w:tcPr>
            <w:tcW w:w="2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Dunkin’ Brands, Inc.</w:t>
            </w:r>
          </w:p>
        </w:tc>
        <w:tc>
          <w:tcPr>
            <w:tcW w:w="104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w w:val="91"/>
              </w:rPr>
              <w:t>Food Services</w:t>
            </w:r>
          </w:p>
        </w:tc>
        <w:tc>
          <w:tcPr>
            <w:tcW w:w="11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Term B-4</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Loan</w:t>
            </w:r>
          </w:p>
        </w:tc>
        <w:tc>
          <w:tcPr>
            <w:tcW w:w="13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3.25%</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2/7/2021</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w w:val="96"/>
              </w:rPr>
              <w:t>3,956,731</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3,946,925</w:t>
            </w:r>
          </w:p>
        </w:tc>
        <w:tc>
          <w:tcPr>
            <w:tcW w:w="4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3,936,948</w:t>
            </w:r>
          </w:p>
        </w:tc>
        <w:tc>
          <w:tcPr>
            <w:tcW w:w="0" w:type="dxa"/>
            <w:vAlign w:val="bottom"/>
          </w:tcPr>
          <w:p>
            <w:pPr>
              <w:spacing w:after="0"/>
              <w:rPr>
                <w:sz w:val="1"/>
                <w:szCs w:val="1"/>
                <w:color w:val="auto"/>
              </w:rPr>
            </w:pPr>
          </w:p>
        </w:tc>
      </w:tr>
      <w:tr>
        <w:trPr>
          <w:trHeight w:val="130"/>
        </w:trPr>
        <w:tc>
          <w:tcPr>
            <w:tcW w:w="2320" w:type="dxa"/>
            <w:vAlign w:val="bottom"/>
            <w:gridSpan w:val="2"/>
          </w:tcPr>
          <w:p>
            <w:pPr>
              <w:spacing w:after="0" w:line="130" w:lineRule="exact"/>
              <w:rPr>
                <w:sz w:val="20"/>
                <w:szCs w:val="20"/>
                <w:color w:val="auto"/>
              </w:rPr>
            </w:pPr>
            <w:r>
              <w:rPr>
                <w:rFonts w:ascii="Arial" w:cs="Arial" w:eastAsia="Arial" w:hAnsi="Arial"/>
                <w:sz w:val="14"/>
                <w:szCs w:val="14"/>
                <w:color w:val="auto"/>
              </w:rPr>
              <w:t>DynCorp International Inc.</w:t>
            </w:r>
          </w:p>
        </w:tc>
        <w:tc>
          <w:tcPr>
            <w:tcW w:w="10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Aerospace</w:t>
            </w:r>
          </w:p>
        </w:tc>
        <w:tc>
          <w:tcPr>
            <w:tcW w:w="11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Term Loan</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color w:val="auto"/>
              </w:rPr>
              <w:t>and Defense</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gridSpan w:val="3"/>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tcPr>
          <w:p>
            <w:pPr>
              <w:jc w:val="right"/>
              <w:ind w:right="400"/>
              <w:spacing w:after="0"/>
              <w:rPr>
                <w:sz w:val="20"/>
                <w:szCs w:val="20"/>
                <w:color w:val="auto"/>
              </w:rPr>
            </w:pPr>
            <w:r>
              <w:rPr>
                <w:rFonts w:ascii="Arial" w:cs="Arial" w:eastAsia="Arial" w:hAnsi="Arial"/>
                <w:sz w:val="14"/>
                <w:szCs w:val="14"/>
                <w:color w:val="auto"/>
              </w:rPr>
              <w:t>6.25%</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7/7/2016</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486,442</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color w:val="auto"/>
              </w:rPr>
              <w:t>482,619</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488,573</w:t>
            </w:r>
          </w:p>
        </w:tc>
        <w:tc>
          <w:tcPr>
            <w:tcW w:w="0" w:type="dxa"/>
            <w:vAlign w:val="bottom"/>
          </w:tcPr>
          <w:p>
            <w:pPr>
              <w:spacing w:after="0"/>
              <w:rPr>
                <w:sz w:val="1"/>
                <w:szCs w:val="1"/>
                <w:color w:val="auto"/>
              </w:rPr>
            </w:pPr>
          </w:p>
        </w:tc>
      </w:tr>
      <w:tr>
        <w:trPr>
          <w:trHeight w:val="130"/>
        </w:trPr>
        <w:tc>
          <w:tcPr>
            <w:tcW w:w="2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Education Management LLC</w:t>
            </w:r>
          </w:p>
        </w:tc>
        <w:tc>
          <w:tcPr>
            <w:tcW w:w="104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Leisure</w:t>
            </w:r>
          </w:p>
        </w:tc>
        <w:tc>
          <w:tcPr>
            <w:tcW w:w="11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w w:val="97"/>
              </w:rPr>
              <w:t>Tranche C-2</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Goods/</w:t>
            </w:r>
          </w:p>
        </w:tc>
        <w:tc>
          <w:tcPr>
            <w:tcW w:w="11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Term Loan</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Activities/</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Movies</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3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4.31%</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6/1/2016</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w w:val="96"/>
              </w:rPr>
              <w:t>3,882,152</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3,746,734</w:t>
            </w:r>
          </w:p>
        </w:tc>
        <w:tc>
          <w:tcPr>
            <w:tcW w:w="4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3,544,405</w:t>
            </w:r>
          </w:p>
        </w:tc>
        <w:tc>
          <w:tcPr>
            <w:tcW w:w="0" w:type="dxa"/>
            <w:vAlign w:val="bottom"/>
          </w:tcPr>
          <w:p>
            <w:pPr>
              <w:spacing w:after="0"/>
              <w:rPr>
                <w:sz w:val="1"/>
                <w:szCs w:val="1"/>
                <w:color w:val="auto"/>
              </w:rPr>
            </w:pPr>
          </w:p>
        </w:tc>
      </w:tr>
      <w:tr>
        <w:trPr>
          <w:trHeight w:val="130"/>
        </w:trPr>
        <w:tc>
          <w:tcPr>
            <w:tcW w:w="2320" w:type="dxa"/>
            <w:vAlign w:val="bottom"/>
            <w:gridSpan w:val="2"/>
          </w:tcPr>
          <w:p>
            <w:pPr>
              <w:spacing w:after="0" w:line="130" w:lineRule="exact"/>
              <w:rPr>
                <w:sz w:val="20"/>
                <w:szCs w:val="20"/>
                <w:color w:val="auto"/>
              </w:rPr>
            </w:pPr>
            <w:r>
              <w:rPr>
                <w:rFonts w:ascii="Arial" w:cs="Arial" w:eastAsia="Arial" w:hAnsi="Arial"/>
                <w:sz w:val="14"/>
                <w:szCs w:val="14"/>
                <w:color w:val="auto"/>
              </w:rPr>
              <w:t>EIG Investors Corp.</w:t>
            </w:r>
          </w:p>
        </w:tc>
        <w:tc>
          <w:tcPr>
            <w:tcW w:w="10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Business</w:t>
            </w:r>
          </w:p>
        </w:tc>
        <w:tc>
          <w:tcPr>
            <w:tcW w:w="11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Term Loan</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Equipment</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color w:val="auto"/>
              </w:rPr>
              <w:t>and Services</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gridSpan w:val="3"/>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tcPr>
          <w:p>
            <w:pPr>
              <w:jc w:val="right"/>
              <w:ind w:right="400"/>
              <w:spacing w:after="0"/>
              <w:rPr>
                <w:sz w:val="20"/>
                <w:szCs w:val="20"/>
                <w:color w:val="auto"/>
              </w:rPr>
            </w:pPr>
            <w:r>
              <w:rPr>
                <w:rFonts w:ascii="Arial" w:cs="Arial" w:eastAsia="Arial" w:hAnsi="Arial"/>
                <w:sz w:val="14"/>
                <w:szCs w:val="14"/>
                <w:color w:val="auto"/>
              </w:rPr>
              <w:t>5.00%</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11/9/2019</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997,500</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color w:val="auto"/>
              </w:rPr>
              <w:t>992,713</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1,003,734</w:t>
            </w:r>
          </w:p>
        </w:tc>
        <w:tc>
          <w:tcPr>
            <w:tcW w:w="0" w:type="dxa"/>
            <w:vAlign w:val="bottom"/>
          </w:tcPr>
          <w:p>
            <w:pPr>
              <w:spacing w:after="0"/>
              <w:rPr>
                <w:sz w:val="1"/>
                <w:szCs w:val="1"/>
                <w:color w:val="auto"/>
              </w:rPr>
            </w:pPr>
          </w:p>
        </w:tc>
      </w:tr>
      <w:tr>
        <w:trPr>
          <w:trHeight w:val="149"/>
        </w:trPr>
        <w:tc>
          <w:tcPr>
            <w:tcW w:w="23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Energy Transfer Equity, L.P.</w:t>
            </w:r>
          </w:p>
        </w:tc>
        <w:tc>
          <w:tcPr>
            <w:tcW w:w="1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Oil &amp; Gas</w:t>
            </w:r>
          </w:p>
        </w:tc>
        <w:tc>
          <w:tcPr>
            <w:tcW w:w="11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Loan</w:t>
            </w:r>
          </w:p>
        </w:tc>
        <w:tc>
          <w:tcPr>
            <w:tcW w:w="1380" w:type="dxa"/>
            <w:vAlign w:val="bottom"/>
            <w:gridSpan w:val="3"/>
            <w:shd w:val="clear" w:color="auto" w:fill="CCEEFF"/>
          </w:tcPr>
          <w:p>
            <w:pPr>
              <w:ind w:left="340"/>
              <w:spacing w:after="0" w:line="149" w:lineRule="exact"/>
              <w:rPr>
                <w:sz w:val="20"/>
                <w:szCs w:val="20"/>
                <w:color w:val="auto"/>
              </w:rPr>
            </w:pPr>
            <w:r>
              <w:rPr>
                <w:rFonts w:ascii="Arial" w:cs="Arial" w:eastAsia="Arial" w:hAnsi="Arial"/>
                <w:sz w:val="14"/>
                <w:szCs w:val="14"/>
                <w:color w:val="auto"/>
              </w:rPr>
              <w:t>Loan</w:t>
            </w:r>
          </w:p>
        </w:tc>
        <w:tc>
          <w:tcPr>
            <w:tcW w:w="1360" w:type="dxa"/>
            <w:vAlign w:val="bottom"/>
            <w:gridSpan w:val="2"/>
            <w:shd w:val="clear" w:color="auto" w:fill="CCEEFF"/>
          </w:tcPr>
          <w:p>
            <w:pPr>
              <w:jc w:val="right"/>
              <w:ind w:right="400"/>
              <w:spacing w:after="0" w:line="149" w:lineRule="exact"/>
              <w:rPr>
                <w:sz w:val="20"/>
                <w:szCs w:val="20"/>
                <w:color w:val="auto"/>
              </w:rPr>
            </w:pPr>
            <w:r>
              <w:rPr>
                <w:rFonts w:ascii="Arial" w:cs="Arial" w:eastAsia="Arial" w:hAnsi="Arial"/>
                <w:sz w:val="14"/>
                <w:szCs w:val="14"/>
                <w:color w:val="auto"/>
              </w:rPr>
              <w:t>3.25%</w:t>
            </w:r>
          </w:p>
        </w:tc>
        <w:tc>
          <w:tcPr>
            <w:tcW w:w="134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12/2/2019</w:t>
            </w:r>
          </w:p>
        </w:tc>
        <w:tc>
          <w:tcPr>
            <w:tcW w:w="106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w w:val="96"/>
              </w:rPr>
              <w:t>1,000,000</w:t>
            </w:r>
          </w:p>
        </w:tc>
        <w:tc>
          <w:tcPr>
            <w:tcW w:w="1080" w:type="dxa"/>
            <w:vAlign w:val="bottom"/>
            <w:gridSpan w:val="2"/>
            <w:shd w:val="clear" w:color="auto" w:fill="CCEEFF"/>
          </w:tcPr>
          <w:p>
            <w:pPr>
              <w:jc w:val="right"/>
              <w:ind w:right="460"/>
              <w:spacing w:after="0" w:line="149" w:lineRule="exact"/>
              <w:rPr>
                <w:sz w:val="20"/>
                <w:szCs w:val="20"/>
                <w:color w:val="auto"/>
              </w:rPr>
            </w:pPr>
            <w:r>
              <w:rPr>
                <w:rFonts w:ascii="Arial" w:cs="Arial" w:eastAsia="Arial" w:hAnsi="Arial"/>
                <w:sz w:val="14"/>
                <w:szCs w:val="14"/>
                <w:color w:val="auto"/>
              </w:rPr>
              <w:t>997,599</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998,750</w:t>
            </w:r>
          </w:p>
        </w:tc>
        <w:tc>
          <w:tcPr>
            <w:tcW w:w="0" w:type="dxa"/>
            <w:vAlign w:val="bottom"/>
          </w:tcPr>
          <w:p>
            <w:pPr>
              <w:spacing w:after="0"/>
              <w:rPr>
                <w:sz w:val="1"/>
                <w:szCs w:val="1"/>
                <w:color w:val="auto"/>
              </w:rPr>
            </w:pPr>
          </w:p>
        </w:tc>
      </w:tr>
      <w:tr>
        <w:trPr>
          <w:trHeight w:val="130"/>
        </w:trPr>
        <w:tc>
          <w:tcPr>
            <w:tcW w:w="2320" w:type="dxa"/>
            <w:vAlign w:val="bottom"/>
            <w:gridSpan w:val="2"/>
          </w:tcPr>
          <w:p>
            <w:pPr>
              <w:spacing w:after="0" w:line="130" w:lineRule="exact"/>
              <w:rPr>
                <w:sz w:val="20"/>
                <w:szCs w:val="20"/>
                <w:color w:val="auto"/>
              </w:rPr>
            </w:pPr>
            <w:r>
              <w:rPr>
                <w:rFonts w:ascii="Arial" w:cs="Arial" w:eastAsia="Arial" w:hAnsi="Arial"/>
                <w:sz w:val="14"/>
                <w:szCs w:val="14"/>
                <w:color w:val="auto"/>
              </w:rPr>
              <w:t>Evergreen Acqco 1 LP</w:t>
            </w:r>
          </w:p>
        </w:tc>
        <w:tc>
          <w:tcPr>
            <w:tcW w:w="10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Retailers</w:t>
            </w:r>
          </w:p>
        </w:tc>
        <w:tc>
          <w:tcPr>
            <w:tcW w:w="11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New Term</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4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8"/>
              </w:rPr>
              <w:t>(Except Food</w:t>
            </w:r>
          </w:p>
        </w:tc>
        <w:tc>
          <w:tcPr>
            <w:tcW w:w="11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Loan</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color w:val="auto"/>
              </w:rPr>
              <w:t>and Drugs)</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gridSpan w:val="3"/>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tcPr>
          <w:p>
            <w:pPr>
              <w:jc w:val="right"/>
              <w:ind w:right="400"/>
              <w:spacing w:after="0"/>
              <w:rPr>
                <w:sz w:val="20"/>
                <w:szCs w:val="20"/>
                <w:color w:val="auto"/>
              </w:rPr>
            </w:pPr>
            <w:r>
              <w:rPr>
                <w:rFonts w:ascii="Arial" w:cs="Arial" w:eastAsia="Arial" w:hAnsi="Arial"/>
                <w:sz w:val="14"/>
                <w:szCs w:val="14"/>
                <w:color w:val="auto"/>
              </w:rPr>
              <w:t>5.00%</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7/9/2019</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492,516</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color w:val="auto"/>
              </w:rPr>
              <w:t>488,615</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493,900</w:t>
            </w:r>
          </w:p>
        </w:tc>
        <w:tc>
          <w:tcPr>
            <w:tcW w:w="0" w:type="dxa"/>
            <w:vAlign w:val="bottom"/>
          </w:tcPr>
          <w:p>
            <w:pPr>
              <w:spacing w:after="0"/>
              <w:rPr>
                <w:sz w:val="1"/>
                <w:szCs w:val="1"/>
                <w:color w:val="auto"/>
              </w:rPr>
            </w:pPr>
          </w:p>
        </w:tc>
      </w:tr>
      <w:tr>
        <w:trPr>
          <w:trHeight w:val="130"/>
        </w:trPr>
        <w:tc>
          <w:tcPr>
            <w:tcW w:w="2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EWT Holdings III Corp. (fka WTG</w:t>
            </w:r>
          </w:p>
        </w:tc>
        <w:tc>
          <w:tcPr>
            <w:tcW w:w="104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Industrial</w:t>
            </w:r>
          </w:p>
        </w:tc>
        <w:tc>
          <w:tcPr>
            <w:tcW w:w="11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Term Loan</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Holdings III Corp.)</w:t>
            </w: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Equipment</w:t>
            </w: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(First Lien)</w:t>
            </w:r>
          </w:p>
        </w:tc>
        <w:tc>
          <w:tcPr>
            <w:tcW w:w="13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4.75%</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1/15/2021</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w w:val="96"/>
              </w:rPr>
              <w:t>1,000,000</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995,084</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1,002,500</w:t>
            </w:r>
          </w:p>
        </w:tc>
        <w:tc>
          <w:tcPr>
            <w:tcW w:w="0" w:type="dxa"/>
            <w:vAlign w:val="bottom"/>
          </w:tcPr>
          <w:p>
            <w:pPr>
              <w:spacing w:after="0"/>
              <w:rPr>
                <w:sz w:val="1"/>
                <w:szCs w:val="1"/>
                <w:color w:val="auto"/>
              </w:rPr>
            </w:pPr>
          </w:p>
        </w:tc>
      </w:tr>
      <w:tr>
        <w:trPr>
          <w:trHeight w:val="130"/>
        </w:trPr>
        <w:tc>
          <w:tcPr>
            <w:tcW w:w="2320" w:type="dxa"/>
            <w:vAlign w:val="bottom"/>
            <w:gridSpan w:val="2"/>
          </w:tcPr>
          <w:p>
            <w:pPr>
              <w:spacing w:after="0" w:line="130" w:lineRule="exact"/>
              <w:rPr>
                <w:sz w:val="20"/>
                <w:szCs w:val="20"/>
                <w:color w:val="auto"/>
              </w:rPr>
            </w:pPr>
            <w:r>
              <w:rPr>
                <w:rFonts w:ascii="Arial" w:cs="Arial" w:eastAsia="Arial" w:hAnsi="Arial"/>
                <w:sz w:val="14"/>
                <w:szCs w:val="14"/>
                <w:color w:val="auto"/>
              </w:rPr>
              <w:t>Federal-Mogul Corporation</w:t>
            </w:r>
          </w:p>
        </w:tc>
        <w:tc>
          <w:tcPr>
            <w:tcW w:w="10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Automotive</w:t>
            </w:r>
          </w:p>
        </w:tc>
        <w:tc>
          <w:tcPr>
            <w:tcW w:w="11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Tranche B</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tcPr>
          <w:p>
            <w:pPr>
              <w:ind w:left="340"/>
              <w:spacing w:after="0"/>
              <w:rPr>
                <w:sz w:val="20"/>
                <w:szCs w:val="20"/>
                <w:color w:val="auto"/>
              </w:rPr>
            </w:pPr>
            <w:r>
              <w:rPr>
                <w:rFonts w:ascii="Arial" w:cs="Arial" w:eastAsia="Arial" w:hAnsi="Arial"/>
                <w:sz w:val="14"/>
                <w:szCs w:val="14"/>
                <w:color w:val="auto"/>
              </w:rPr>
              <w:t>Term Loan</w:t>
            </w:r>
          </w:p>
        </w:tc>
        <w:tc>
          <w:tcPr>
            <w:tcW w:w="1380" w:type="dxa"/>
            <w:vAlign w:val="bottom"/>
            <w:gridSpan w:val="3"/>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tcPr>
          <w:p>
            <w:pPr>
              <w:jc w:val="right"/>
              <w:ind w:right="400"/>
              <w:spacing w:after="0"/>
              <w:rPr>
                <w:sz w:val="20"/>
                <w:szCs w:val="20"/>
                <w:color w:val="auto"/>
              </w:rPr>
            </w:pPr>
            <w:r>
              <w:rPr>
                <w:rFonts w:ascii="Arial" w:cs="Arial" w:eastAsia="Arial" w:hAnsi="Arial"/>
                <w:sz w:val="14"/>
                <w:szCs w:val="14"/>
                <w:color w:val="auto"/>
              </w:rPr>
              <w:t>2.14%</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12/29/2014</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w w:val="96"/>
              </w:rPr>
              <w:t>2,220,981</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2,187,068</w:t>
            </w:r>
          </w:p>
        </w:tc>
        <w:tc>
          <w:tcPr>
            <w:tcW w:w="4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2,202,747</w:t>
            </w:r>
          </w:p>
        </w:tc>
        <w:tc>
          <w:tcPr>
            <w:tcW w:w="0" w:type="dxa"/>
            <w:vAlign w:val="bottom"/>
          </w:tcPr>
          <w:p>
            <w:pPr>
              <w:spacing w:after="0"/>
              <w:rPr>
                <w:sz w:val="1"/>
                <w:szCs w:val="1"/>
                <w:color w:val="auto"/>
              </w:rPr>
            </w:pPr>
          </w:p>
        </w:tc>
      </w:tr>
      <w:tr>
        <w:trPr>
          <w:trHeight w:val="130"/>
        </w:trPr>
        <w:tc>
          <w:tcPr>
            <w:tcW w:w="2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Federal-Mogul Corporation</w:t>
            </w:r>
          </w:p>
        </w:tc>
        <w:tc>
          <w:tcPr>
            <w:tcW w:w="104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Automotive</w:t>
            </w:r>
          </w:p>
        </w:tc>
        <w:tc>
          <w:tcPr>
            <w:tcW w:w="11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Tranche C</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Term Loan</w:t>
            </w:r>
          </w:p>
        </w:tc>
        <w:tc>
          <w:tcPr>
            <w:tcW w:w="13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2.14%</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12/28/2015</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w w:val="96"/>
              </w:rPr>
              <w:t>1,307,032</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1,270,847</w:t>
            </w:r>
          </w:p>
        </w:tc>
        <w:tc>
          <w:tcPr>
            <w:tcW w:w="4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1,296,301</w:t>
            </w:r>
          </w:p>
        </w:tc>
        <w:tc>
          <w:tcPr>
            <w:tcW w:w="0" w:type="dxa"/>
            <w:vAlign w:val="bottom"/>
          </w:tcPr>
          <w:p>
            <w:pPr>
              <w:spacing w:after="0"/>
              <w:rPr>
                <w:sz w:val="1"/>
                <w:szCs w:val="1"/>
                <w:color w:val="auto"/>
              </w:rPr>
            </w:pPr>
          </w:p>
        </w:tc>
      </w:tr>
      <w:tr>
        <w:trPr>
          <w:trHeight w:val="130"/>
        </w:trPr>
        <w:tc>
          <w:tcPr>
            <w:tcW w:w="2320" w:type="dxa"/>
            <w:vAlign w:val="bottom"/>
            <w:gridSpan w:val="2"/>
          </w:tcPr>
          <w:p>
            <w:pPr>
              <w:spacing w:after="0" w:line="130" w:lineRule="exact"/>
              <w:rPr>
                <w:sz w:val="20"/>
                <w:szCs w:val="20"/>
                <w:color w:val="auto"/>
              </w:rPr>
            </w:pPr>
            <w:r>
              <w:rPr>
                <w:rFonts w:ascii="Arial" w:cs="Arial" w:eastAsia="Arial" w:hAnsi="Arial"/>
                <w:sz w:val="14"/>
                <w:szCs w:val="14"/>
                <w:color w:val="auto"/>
              </w:rPr>
              <w:t>First Data Corporation</w:t>
            </w:r>
          </w:p>
        </w:tc>
        <w:tc>
          <w:tcPr>
            <w:tcW w:w="10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Financial</w:t>
            </w:r>
          </w:p>
        </w:tc>
        <w:tc>
          <w:tcPr>
            <w:tcW w:w="1120" w:type="dxa"/>
            <w:vAlign w:val="bottom"/>
            <w:gridSpan w:val="2"/>
          </w:tcPr>
          <w:p>
            <w:pPr>
              <w:ind w:left="340"/>
              <w:spacing w:after="0" w:line="130" w:lineRule="exact"/>
              <w:rPr>
                <w:sz w:val="20"/>
                <w:szCs w:val="20"/>
                <w:color w:val="auto"/>
              </w:rPr>
            </w:pPr>
            <w:r>
              <w:rPr>
                <w:rFonts w:ascii="Arial" w:cs="Arial" w:eastAsia="Arial" w:hAnsi="Arial"/>
                <w:sz w:val="14"/>
                <w:szCs w:val="14"/>
                <w:color w:val="auto"/>
                <w:w w:val="92"/>
              </w:rPr>
              <w:t>2017 Second</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4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2"/>
              </w:rPr>
              <w:t>Intermediaries</w:t>
            </w:r>
          </w:p>
        </w:tc>
        <w:tc>
          <w:tcPr>
            <w:tcW w:w="11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New Dollar</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tcPr>
          <w:p>
            <w:pPr>
              <w:ind w:left="340"/>
              <w:spacing w:after="0"/>
              <w:rPr>
                <w:sz w:val="20"/>
                <w:szCs w:val="20"/>
                <w:color w:val="auto"/>
              </w:rPr>
            </w:pPr>
            <w:r>
              <w:rPr>
                <w:rFonts w:ascii="Arial" w:cs="Arial" w:eastAsia="Arial" w:hAnsi="Arial"/>
                <w:sz w:val="14"/>
                <w:szCs w:val="14"/>
                <w:color w:val="auto"/>
              </w:rPr>
              <w:t>Term Loan</w:t>
            </w:r>
          </w:p>
        </w:tc>
        <w:tc>
          <w:tcPr>
            <w:tcW w:w="1380" w:type="dxa"/>
            <w:vAlign w:val="bottom"/>
            <w:gridSpan w:val="3"/>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tcPr>
          <w:p>
            <w:pPr>
              <w:jc w:val="right"/>
              <w:ind w:right="400"/>
              <w:spacing w:after="0"/>
              <w:rPr>
                <w:sz w:val="20"/>
                <w:szCs w:val="20"/>
                <w:color w:val="auto"/>
              </w:rPr>
            </w:pPr>
            <w:r>
              <w:rPr>
                <w:rFonts w:ascii="Arial" w:cs="Arial" w:eastAsia="Arial" w:hAnsi="Arial"/>
                <w:sz w:val="14"/>
                <w:szCs w:val="14"/>
                <w:color w:val="auto"/>
              </w:rPr>
              <w:t>4.20%</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3/24/2017</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w w:val="96"/>
              </w:rPr>
              <w:t>2,111,028</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2,010,799</w:t>
            </w:r>
          </w:p>
        </w:tc>
        <w:tc>
          <w:tcPr>
            <w:tcW w:w="4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2,109,276</w:t>
            </w:r>
          </w:p>
        </w:tc>
        <w:tc>
          <w:tcPr>
            <w:tcW w:w="0" w:type="dxa"/>
            <w:vAlign w:val="bottom"/>
          </w:tcPr>
          <w:p>
            <w:pPr>
              <w:spacing w:after="0"/>
              <w:rPr>
                <w:sz w:val="1"/>
                <w:szCs w:val="1"/>
                <w:color w:val="auto"/>
              </w:rPr>
            </w:pPr>
          </w:p>
        </w:tc>
      </w:tr>
      <w:tr>
        <w:trPr>
          <w:trHeight w:val="130"/>
        </w:trPr>
        <w:tc>
          <w:tcPr>
            <w:tcW w:w="2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First Data Corporation</w:t>
            </w:r>
          </w:p>
        </w:tc>
        <w:tc>
          <w:tcPr>
            <w:tcW w:w="104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Financial</w:t>
            </w:r>
          </w:p>
        </w:tc>
        <w:tc>
          <w:tcPr>
            <w:tcW w:w="11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2018 Dollar</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w w:val="92"/>
              </w:rPr>
              <w:t>Intermediaries</w:t>
            </w: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Term Loan</w:t>
            </w:r>
          </w:p>
        </w:tc>
        <w:tc>
          <w:tcPr>
            <w:tcW w:w="13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4.20%</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3/23/2018</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w w:val="96"/>
              </w:rPr>
              <w:t>2,290,451</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2,231,370</w:t>
            </w:r>
          </w:p>
        </w:tc>
        <w:tc>
          <w:tcPr>
            <w:tcW w:w="4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2,292,741</w:t>
            </w:r>
          </w:p>
        </w:tc>
        <w:tc>
          <w:tcPr>
            <w:tcW w:w="0" w:type="dxa"/>
            <w:vAlign w:val="bottom"/>
          </w:tcPr>
          <w:p>
            <w:pPr>
              <w:spacing w:after="0"/>
              <w:rPr>
                <w:sz w:val="1"/>
                <w:szCs w:val="1"/>
                <w:color w:val="auto"/>
              </w:rPr>
            </w:pPr>
          </w:p>
        </w:tc>
      </w:tr>
      <w:tr>
        <w:trPr>
          <w:trHeight w:val="130"/>
        </w:trPr>
        <w:tc>
          <w:tcPr>
            <w:tcW w:w="2320" w:type="dxa"/>
            <w:vAlign w:val="bottom"/>
            <w:gridSpan w:val="2"/>
          </w:tcPr>
          <w:p>
            <w:pPr>
              <w:spacing w:after="0" w:line="130" w:lineRule="exact"/>
              <w:rPr>
                <w:sz w:val="20"/>
                <w:szCs w:val="20"/>
                <w:color w:val="auto"/>
              </w:rPr>
            </w:pPr>
            <w:r>
              <w:rPr>
                <w:rFonts w:ascii="Arial" w:cs="Arial" w:eastAsia="Arial" w:hAnsi="Arial"/>
                <w:sz w:val="14"/>
                <w:szCs w:val="14"/>
                <w:color w:val="auto"/>
              </w:rPr>
              <w:t>FMG Resources (August 2006) Pty</w:t>
            </w:r>
          </w:p>
        </w:tc>
        <w:tc>
          <w:tcPr>
            <w:tcW w:w="10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Nonferrous</w:t>
            </w:r>
          </w:p>
        </w:tc>
        <w:tc>
          <w:tcPr>
            <w:tcW w:w="11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Loan</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LTD (FMG America</w:t>
            </w:r>
          </w:p>
        </w:tc>
        <w:tc>
          <w:tcPr>
            <w:tcW w:w="10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Metals/</w:t>
            </w:r>
          </w:p>
        </w:tc>
        <w:tc>
          <w:tcPr>
            <w:tcW w:w="3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ind w:left="160"/>
              <w:spacing w:after="0"/>
              <w:rPr>
                <w:sz w:val="20"/>
                <w:szCs w:val="20"/>
                <w:color w:val="auto"/>
              </w:rPr>
            </w:pPr>
            <w:r>
              <w:rPr>
                <w:rFonts w:ascii="Arial" w:cs="Arial" w:eastAsia="Arial" w:hAnsi="Arial"/>
                <w:sz w:val="14"/>
                <w:szCs w:val="14"/>
                <w:color w:val="auto"/>
              </w:rPr>
              <w:t>Finance, Inc.)</w:t>
            </w:r>
          </w:p>
        </w:tc>
        <w:tc>
          <w:tcPr>
            <w:tcW w:w="1040" w:type="dxa"/>
            <w:vAlign w:val="bottom"/>
            <w:gridSpan w:val="2"/>
          </w:tcPr>
          <w:p>
            <w:pPr>
              <w:ind w:left="200"/>
              <w:spacing w:after="0"/>
              <w:rPr>
                <w:sz w:val="20"/>
                <w:szCs w:val="20"/>
                <w:color w:val="auto"/>
              </w:rPr>
            </w:pPr>
            <w:r>
              <w:rPr>
                <w:rFonts w:ascii="Arial" w:cs="Arial" w:eastAsia="Arial" w:hAnsi="Arial"/>
                <w:sz w:val="14"/>
                <w:szCs w:val="14"/>
                <w:color w:val="auto"/>
              </w:rPr>
              <w:t>Minerals</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gridSpan w:val="3"/>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tcPr>
          <w:p>
            <w:pPr>
              <w:jc w:val="right"/>
              <w:ind w:right="400"/>
              <w:spacing w:after="0"/>
              <w:rPr>
                <w:sz w:val="20"/>
                <w:szCs w:val="20"/>
                <w:color w:val="auto"/>
              </w:rPr>
            </w:pPr>
            <w:r>
              <w:rPr>
                <w:rFonts w:ascii="Arial" w:cs="Arial" w:eastAsia="Arial" w:hAnsi="Arial"/>
                <w:sz w:val="14"/>
                <w:szCs w:val="14"/>
                <w:color w:val="auto"/>
              </w:rPr>
              <w:t>4.25%</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6/28/2019</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997,500</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color w:val="auto"/>
              </w:rPr>
              <w:t>995,122</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1,006,438</w:t>
            </w:r>
          </w:p>
        </w:tc>
        <w:tc>
          <w:tcPr>
            <w:tcW w:w="0" w:type="dxa"/>
            <w:vAlign w:val="bottom"/>
          </w:tcPr>
          <w:p>
            <w:pPr>
              <w:spacing w:after="0"/>
              <w:rPr>
                <w:sz w:val="1"/>
                <w:szCs w:val="1"/>
                <w:color w:val="auto"/>
              </w:rPr>
            </w:pPr>
          </w:p>
        </w:tc>
      </w:tr>
      <w:tr>
        <w:trPr>
          <w:trHeight w:val="130"/>
        </w:trPr>
        <w:tc>
          <w:tcPr>
            <w:tcW w:w="2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Four Seasons Holdings Inc.</w:t>
            </w:r>
          </w:p>
        </w:tc>
        <w:tc>
          <w:tcPr>
            <w:tcW w:w="104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Lodging &amp;</w:t>
            </w:r>
          </w:p>
        </w:tc>
        <w:tc>
          <w:tcPr>
            <w:tcW w:w="11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Term Loan</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Casinos</w:t>
            </w: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(First Lien)</w:t>
            </w:r>
          </w:p>
        </w:tc>
        <w:tc>
          <w:tcPr>
            <w:tcW w:w="13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3.50%</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6/27/2020</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498,750</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498,750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498,750</w:t>
            </w:r>
          </w:p>
        </w:tc>
        <w:tc>
          <w:tcPr>
            <w:tcW w:w="0" w:type="dxa"/>
            <w:vAlign w:val="bottom"/>
          </w:tcPr>
          <w:p>
            <w:pPr>
              <w:spacing w:after="0"/>
              <w:rPr>
                <w:sz w:val="1"/>
                <w:szCs w:val="1"/>
                <w:color w:val="auto"/>
              </w:rPr>
            </w:pPr>
          </w:p>
        </w:tc>
      </w:tr>
      <w:tr>
        <w:trPr>
          <w:trHeight w:val="130"/>
        </w:trPr>
        <w:tc>
          <w:tcPr>
            <w:tcW w:w="2320" w:type="dxa"/>
            <w:vAlign w:val="bottom"/>
            <w:gridSpan w:val="2"/>
          </w:tcPr>
          <w:p>
            <w:pPr>
              <w:spacing w:after="0" w:line="130" w:lineRule="exact"/>
              <w:rPr>
                <w:sz w:val="20"/>
                <w:szCs w:val="20"/>
                <w:color w:val="auto"/>
              </w:rPr>
            </w:pPr>
            <w:r>
              <w:rPr>
                <w:rFonts w:ascii="Arial" w:cs="Arial" w:eastAsia="Arial" w:hAnsi="Arial"/>
                <w:sz w:val="14"/>
                <w:szCs w:val="14"/>
                <w:color w:val="auto"/>
              </w:rPr>
              <w:t>Garda World Security Corporation</w:t>
            </w:r>
          </w:p>
        </w:tc>
        <w:tc>
          <w:tcPr>
            <w:tcW w:w="10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Business</w:t>
            </w:r>
          </w:p>
        </w:tc>
        <w:tc>
          <w:tcPr>
            <w:tcW w:w="11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Term B</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Equipment</w:t>
            </w:r>
          </w:p>
        </w:tc>
        <w:tc>
          <w:tcPr>
            <w:tcW w:w="11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Delayed</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color w:val="auto"/>
              </w:rPr>
              <w:t>and Services</w:t>
            </w:r>
          </w:p>
        </w:tc>
        <w:tc>
          <w:tcPr>
            <w:tcW w:w="1120" w:type="dxa"/>
            <w:vAlign w:val="bottom"/>
            <w:gridSpan w:val="2"/>
          </w:tcPr>
          <w:p>
            <w:pPr>
              <w:ind w:left="340"/>
              <w:spacing w:after="0"/>
              <w:rPr>
                <w:sz w:val="20"/>
                <w:szCs w:val="20"/>
                <w:color w:val="auto"/>
              </w:rPr>
            </w:pPr>
            <w:r>
              <w:rPr>
                <w:rFonts w:ascii="Arial" w:cs="Arial" w:eastAsia="Arial" w:hAnsi="Arial"/>
                <w:sz w:val="14"/>
                <w:szCs w:val="14"/>
                <w:color w:val="auto"/>
              </w:rPr>
              <w:t>Draw Loan</w:t>
            </w:r>
          </w:p>
        </w:tc>
        <w:tc>
          <w:tcPr>
            <w:tcW w:w="1380" w:type="dxa"/>
            <w:vAlign w:val="bottom"/>
            <w:gridSpan w:val="3"/>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tcPr>
          <w:p>
            <w:pPr>
              <w:jc w:val="right"/>
              <w:ind w:right="400"/>
              <w:spacing w:after="0"/>
              <w:rPr>
                <w:sz w:val="20"/>
                <w:szCs w:val="20"/>
                <w:color w:val="auto"/>
              </w:rPr>
            </w:pPr>
            <w:r>
              <w:rPr>
                <w:rFonts w:ascii="Arial" w:cs="Arial" w:eastAsia="Arial" w:hAnsi="Arial"/>
                <w:sz w:val="14"/>
                <w:szCs w:val="14"/>
                <w:color w:val="auto"/>
              </w:rPr>
              <w:t>4.00%</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11/6/2020</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203,194</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color w:val="auto"/>
              </w:rPr>
              <w:t>202,218</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203,363</w:t>
            </w:r>
          </w:p>
        </w:tc>
        <w:tc>
          <w:tcPr>
            <w:tcW w:w="0" w:type="dxa"/>
            <w:vAlign w:val="bottom"/>
          </w:tcPr>
          <w:p>
            <w:pPr>
              <w:spacing w:after="0"/>
              <w:rPr>
                <w:sz w:val="1"/>
                <w:szCs w:val="1"/>
                <w:color w:val="auto"/>
              </w:rPr>
            </w:pPr>
          </w:p>
        </w:tc>
      </w:tr>
      <w:tr>
        <w:trPr>
          <w:trHeight w:val="130"/>
        </w:trPr>
        <w:tc>
          <w:tcPr>
            <w:tcW w:w="2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Garda World Security Corporation</w:t>
            </w:r>
          </w:p>
        </w:tc>
        <w:tc>
          <w:tcPr>
            <w:tcW w:w="104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Business</w:t>
            </w:r>
          </w:p>
        </w:tc>
        <w:tc>
          <w:tcPr>
            <w:tcW w:w="11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Term B</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Equipment</w:t>
            </w:r>
          </w:p>
        </w:tc>
        <w:tc>
          <w:tcPr>
            <w:tcW w:w="11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Loan</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and Services</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3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4.00%</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11/6/2020</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794,306</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790,489</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794,965</w:t>
            </w:r>
          </w:p>
        </w:tc>
        <w:tc>
          <w:tcPr>
            <w:tcW w:w="0" w:type="dxa"/>
            <w:vAlign w:val="bottom"/>
          </w:tcPr>
          <w:p>
            <w:pPr>
              <w:spacing w:after="0"/>
              <w:rPr>
                <w:sz w:val="1"/>
                <w:szCs w:val="1"/>
                <w:color w:val="auto"/>
              </w:rPr>
            </w:pPr>
          </w:p>
        </w:tc>
      </w:tr>
      <w:tr>
        <w:trPr>
          <w:trHeight w:val="130"/>
        </w:trPr>
        <w:tc>
          <w:tcPr>
            <w:tcW w:w="2320" w:type="dxa"/>
            <w:vAlign w:val="bottom"/>
            <w:gridSpan w:val="2"/>
          </w:tcPr>
          <w:p>
            <w:pPr>
              <w:spacing w:after="0" w:line="130" w:lineRule="exact"/>
              <w:rPr>
                <w:sz w:val="20"/>
                <w:szCs w:val="20"/>
                <w:color w:val="auto"/>
              </w:rPr>
            </w:pPr>
            <w:r>
              <w:rPr>
                <w:rFonts w:ascii="Arial" w:cs="Arial" w:eastAsia="Arial" w:hAnsi="Arial"/>
                <w:sz w:val="14"/>
                <w:szCs w:val="14"/>
                <w:color w:val="auto"/>
              </w:rPr>
              <w:t>Gardner Denver, Inc.</w:t>
            </w:r>
          </w:p>
        </w:tc>
        <w:tc>
          <w:tcPr>
            <w:tcW w:w="10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Oil &amp; Gas</w:t>
            </w:r>
          </w:p>
        </w:tc>
        <w:tc>
          <w:tcPr>
            <w:tcW w:w="11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Initial Dollar</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tcPr>
          <w:p>
            <w:pPr>
              <w:ind w:left="340"/>
              <w:spacing w:after="0"/>
              <w:rPr>
                <w:sz w:val="20"/>
                <w:szCs w:val="20"/>
                <w:color w:val="auto"/>
              </w:rPr>
            </w:pPr>
            <w:r>
              <w:rPr>
                <w:rFonts w:ascii="Arial" w:cs="Arial" w:eastAsia="Arial" w:hAnsi="Arial"/>
                <w:sz w:val="14"/>
                <w:szCs w:val="14"/>
                <w:color w:val="auto"/>
              </w:rPr>
              <w:t>Term Loan</w:t>
            </w:r>
          </w:p>
        </w:tc>
        <w:tc>
          <w:tcPr>
            <w:tcW w:w="1380" w:type="dxa"/>
            <w:vAlign w:val="bottom"/>
            <w:gridSpan w:val="3"/>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tcPr>
          <w:p>
            <w:pPr>
              <w:jc w:val="right"/>
              <w:ind w:right="400"/>
              <w:spacing w:after="0"/>
              <w:rPr>
                <w:sz w:val="20"/>
                <w:szCs w:val="20"/>
                <w:color w:val="auto"/>
              </w:rPr>
            </w:pPr>
            <w:r>
              <w:rPr>
                <w:rFonts w:ascii="Arial" w:cs="Arial" w:eastAsia="Arial" w:hAnsi="Arial"/>
                <w:sz w:val="14"/>
                <w:szCs w:val="14"/>
                <w:color w:val="auto"/>
              </w:rPr>
              <w:t>4.25%</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7/30/2020</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w w:val="96"/>
              </w:rPr>
              <w:t>1,496,250</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1,485,394</w:t>
            </w:r>
          </w:p>
        </w:tc>
        <w:tc>
          <w:tcPr>
            <w:tcW w:w="4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1,489,337</w:t>
            </w:r>
          </w:p>
        </w:tc>
        <w:tc>
          <w:tcPr>
            <w:tcW w:w="0" w:type="dxa"/>
            <w:vAlign w:val="bottom"/>
          </w:tcPr>
          <w:p>
            <w:pPr>
              <w:spacing w:after="0"/>
              <w:rPr>
                <w:sz w:val="1"/>
                <w:szCs w:val="1"/>
                <w:color w:val="auto"/>
              </w:rPr>
            </w:pPr>
          </w:p>
        </w:tc>
      </w:tr>
      <w:tr>
        <w:trPr>
          <w:trHeight w:val="130"/>
        </w:trPr>
        <w:tc>
          <w:tcPr>
            <w:tcW w:w="2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Generac Power Systems, Inc.</w:t>
            </w:r>
          </w:p>
        </w:tc>
        <w:tc>
          <w:tcPr>
            <w:tcW w:w="104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Industrial</w:t>
            </w:r>
          </w:p>
        </w:tc>
        <w:tc>
          <w:tcPr>
            <w:tcW w:w="11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Term</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Equipment</w:t>
            </w: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Loan B</w:t>
            </w:r>
          </w:p>
        </w:tc>
        <w:tc>
          <w:tcPr>
            <w:tcW w:w="13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3.50%</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5/31/2020</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868,414</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852,908</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868,258</w:t>
            </w:r>
          </w:p>
        </w:tc>
        <w:tc>
          <w:tcPr>
            <w:tcW w:w="0" w:type="dxa"/>
            <w:vAlign w:val="bottom"/>
          </w:tcPr>
          <w:p>
            <w:pPr>
              <w:spacing w:after="0"/>
              <w:rPr>
                <w:sz w:val="1"/>
                <w:szCs w:val="1"/>
                <w:color w:val="auto"/>
              </w:rPr>
            </w:pPr>
          </w:p>
        </w:tc>
      </w:tr>
      <w:tr>
        <w:trPr>
          <w:trHeight w:val="130"/>
        </w:trPr>
        <w:tc>
          <w:tcPr>
            <w:tcW w:w="2320" w:type="dxa"/>
            <w:vAlign w:val="bottom"/>
            <w:gridSpan w:val="2"/>
          </w:tcPr>
          <w:p>
            <w:pPr>
              <w:spacing w:after="0" w:line="130" w:lineRule="exact"/>
              <w:rPr>
                <w:sz w:val="20"/>
                <w:szCs w:val="20"/>
                <w:color w:val="auto"/>
              </w:rPr>
            </w:pPr>
            <w:r>
              <w:rPr>
                <w:rFonts w:ascii="Arial" w:cs="Arial" w:eastAsia="Arial" w:hAnsi="Arial"/>
                <w:sz w:val="14"/>
                <w:szCs w:val="14"/>
                <w:color w:val="auto"/>
              </w:rPr>
              <w:t>General Nutrition Centers, Inc.</w:t>
            </w:r>
          </w:p>
        </w:tc>
        <w:tc>
          <w:tcPr>
            <w:tcW w:w="10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Retailers</w:t>
            </w:r>
          </w:p>
        </w:tc>
        <w:tc>
          <w:tcPr>
            <w:tcW w:w="11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Amended</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040" w:type="dxa"/>
            <w:vAlign w:val="bottom"/>
            <w:gridSpan w:val="2"/>
          </w:tcPr>
          <w:p>
            <w:pPr>
              <w:ind w:left="200"/>
              <w:spacing w:after="0" w:line="149" w:lineRule="exact"/>
              <w:rPr>
                <w:sz w:val="20"/>
                <w:szCs w:val="20"/>
                <w:color w:val="auto"/>
              </w:rPr>
            </w:pPr>
            <w:r>
              <w:rPr>
                <w:rFonts w:ascii="Arial" w:cs="Arial" w:eastAsia="Arial" w:hAnsi="Arial"/>
                <w:sz w:val="14"/>
                <w:szCs w:val="14"/>
                <w:color w:val="auto"/>
                <w:w w:val="98"/>
              </w:rPr>
              <w:t>(Except Food</w:t>
            </w:r>
          </w:p>
        </w:tc>
        <w:tc>
          <w:tcPr>
            <w:tcW w:w="11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Tranche B</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color w:val="auto"/>
              </w:rPr>
              <w:t>and Drugs)</w:t>
            </w:r>
          </w:p>
        </w:tc>
        <w:tc>
          <w:tcPr>
            <w:tcW w:w="1120" w:type="dxa"/>
            <w:vAlign w:val="bottom"/>
            <w:gridSpan w:val="2"/>
          </w:tcPr>
          <w:p>
            <w:pPr>
              <w:ind w:left="340"/>
              <w:spacing w:after="0"/>
              <w:rPr>
                <w:sz w:val="20"/>
                <w:szCs w:val="20"/>
                <w:color w:val="auto"/>
              </w:rPr>
            </w:pPr>
            <w:r>
              <w:rPr>
                <w:rFonts w:ascii="Arial" w:cs="Arial" w:eastAsia="Arial" w:hAnsi="Arial"/>
                <w:sz w:val="14"/>
                <w:szCs w:val="14"/>
                <w:color w:val="auto"/>
              </w:rPr>
              <w:t>Term Loan</w:t>
            </w:r>
          </w:p>
        </w:tc>
        <w:tc>
          <w:tcPr>
            <w:tcW w:w="1380" w:type="dxa"/>
            <w:vAlign w:val="bottom"/>
            <w:gridSpan w:val="3"/>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tcPr>
          <w:p>
            <w:pPr>
              <w:jc w:val="right"/>
              <w:ind w:right="400"/>
              <w:spacing w:after="0"/>
              <w:rPr>
                <w:sz w:val="20"/>
                <w:szCs w:val="20"/>
                <w:color w:val="auto"/>
              </w:rPr>
            </w:pPr>
            <w:r>
              <w:rPr>
                <w:rFonts w:ascii="Arial" w:cs="Arial" w:eastAsia="Arial" w:hAnsi="Arial"/>
                <w:sz w:val="14"/>
                <w:szCs w:val="14"/>
                <w:color w:val="auto"/>
              </w:rPr>
              <w:t>3.25%</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3/4/2019</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w w:val="96"/>
              </w:rPr>
              <w:t>4,740,112</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4,722,664</w:t>
            </w:r>
          </w:p>
        </w:tc>
        <w:tc>
          <w:tcPr>
            <w:tcW w:w="4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4,725,892</w:t>
            </w:r>
          </w:p>
        </w:tc>
        <w:tc>
          <w:tcPr>
            <w:tcW w:w="0" w:type="dxa"/>
            <w:vAlign w:val="bottom"/>
          </w:tcPr>
          <w:p>
            <w:pPr>
              <w:spacing w:after="0"/>
              <w:rPr>
                <w:sz w:val="1"/>
                <w:szCs w:val="1"/>
                <w:color w:val="auto"/>
              </w:rPr>
            </w:pPr>
          </w:p>
        </w:tc>
      </w:tr>
      <w:tr>
        <w:trPr>
          <w:trHeight w:val="130"/>
        </w:trPr>
        <w:tc>
          <w:tcPr>
            <w:tcW w:w="2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Global Tel*Link Corporation</w:t>
            </w:r>
          </w:p>
        </w:tc>
        <w:tc>
          <w:tcPr>
            <w:tcW w:w="104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Business</w:t>
            </w:r>
          </w:p>
        </w:tc>
        <w:tc>
          <w:tcPr>
            <w:tcW w:w="11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Term Loan</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Equipment</w:t>
            </w:r>
          </w:p>
        </w:tc>
        <w:tc>
          <w:tcPr>
            <w:tcW w:w="11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(First Lien)</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and Services</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3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5.00%</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5/23/2020</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w w:val="96"/>
              </w:rPr>
              <w:t>1,920,175</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1,915,905</w:t>
            </w:r>
          </w:p>
        </w:tc>
        <w:tc>
          <w:tcPr>
            <w:tcW w:w="4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1,900,014</w:t>
            </w:r>
          </w:p>
        </w:tc>
        <w:tc>
          <w:tcPr>
            <w:tcW w:w="0" w:type="dxa"/>
            <w:vAlign w:val="bottom"/>
          </w:tcPr>
          <w:p>
            <w:pPr>
              <w:spacing w:after="0"/>
              <w:rPr>
                <w:sz w:val="1"/>
                <w:szCs w:val="1"/>
                <w:color w:val="auto"/>
              </w:rPr>
            </w:pPr>
          </w:p>
        </w:tc>
      </w:tr>
      <w:tr>
        <w:trPr>
          <w:trHeight w:val="130"/>
        </w:trPr>
        <w:tc>
          <w:tcPr>
            <w:tcW w:w="2320" w:type="dxa"/>
            <w:vAlign w:val="bottom"/>
            <w:gridSpan w:val="2"/>
          </w:tcPr>
          <w:p>
            <w:pPr>
              <w:spacing w:after="0" w:line="130" w:lineRule="exact"/>
              <w:rPr>
                <w:sz w:val="20"/>
                <w:szCs w:val="20"/>
                <w:color w:val="auto"/>
              </w:rPr>
            </w:pPr>
            <w:r>
              <w:rPr>
                <w:rFonts w:ascii="Arial" w:cs="Arial" w:eastAsia="Arial" w:hAnsi="Arial"/>
                <w:sz w:val="14"/>
                <w:szCs w:val="14"/>
                <w:color w:val="auto"/>
              </w:rPr>
              <w:t>Goodyear Tire &amp; Rubber Company,</w:t>
            </w:r>
          </w:p>
        </w:tc>
        <w:tc>
          <w:tcPr>
            <w:tcW w:w="10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Chemicals/</w:t>
            </w:r>
          </w:p>
        </w:tc>
        <w:tc>
          <w:tcPr>
            <w:tcW w:w="11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Loan</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The</w:t>
            </w:r>
          </w:p>
        </w:tc>
        <w:tc>
          <w:tcPr>
            <w:tcW w:w="1040" w:type="dxa"/>
            <w:vAlign w:val="bottom"/>
            <w:gridSpan w:val="2"/>
          </w:tcPr>
          <w:p>
            <w:pPr>
              <w:ind w:left="200"/>
              <w:spacing w:after="0" w:line="149" w:lineRule="exact"/>
              <w:rPr>
                <w:sz w:val="20"/>
                <w:szCs w:val="20"/>
                <w:color w:val="auto"/>
              </w:rPr>
            </w:pPr>
            <w:r>
              <w:rPr>
                <w:rFonts w:ascii="Arial" w:cs="Arial" w:eastAsia="Arial" w:hAnsi="Arial"/>
                <w:sz w:val="14"/>
                <w:szCs w:val="14"/>
                <w:color w:val="auto"/>
              </w:rPr>
              <w:t>Plastics</w:t>
            </w:r>
          </w:p>
        </w:tc>
        <w:tc>
          <w:tcPr>
            <w:tcW w:w="11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(Second</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tcPr>
          <w:p>
            <w:pPr>
              <w:ind w:left="340"/>
              <w:spacing w:after="0"/>
              <w:rPr>
                <w:sz w:val="20"/>
                <w:szCs w:val="20"/>
                <w:color w:val="auto"/>
              </w:rPr>
            </w:pPr>
            <w:r>
              <w:rPr>
                <w:rFonts w:ascii="Arial" w:cs="Arial" w:eastAsia="Arial" w:hAnsi="Arial"/>
                <w:sz w:val="14"/>
                <w:szCs w:val="14"/>
                <w:color w:val="auto"/>
              </w:rPr>
              <w:t>Lien)</w:t>
            </w:r>
          </w:p>
        </w:tc>
        <w:tc>
          <w:tcPr>
            <w:tcW w:w="1380" w:type="dxa"/>
            <w:vAlign w:val="bottom"/>
            <w:gridSpan w:val="3"/>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tcPr>
          <w:p>
            <w:pPr>
              <w:jc w:val="right"/>
              <w:ind w:right="400"/>
              <w:spacing w:after="0"/>
              <w:rPr>
                <w:sz w:val="20"/>
                <w:szCs w:val="20"/>
                <w:color w:val="auto"/>
              </w:rPr>
            </w:pPr>
            <w:r>
              <w:rPr>
                <w:rFonts w:ascii="Arial" w:cs="Arial" w:eastAsia="Arial" w:hAnsi="Arial"/>
                <w:sz w:val="14"/>
                <w:szCs w:val="14"/>
                <w:color w:val="auto"/>
              </w:rPr>
              <w:t>4.75%</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4/30/2019</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w w:val="96"/>
              </w:rPr>
              <w:t>4,000,000</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3,941,039</w:t>
            </w:r>
          </w:p>
        </w:tc>
        <w:tc>
          <w:tcPr>
            <w:tcW w:w="4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4,037,000</w:t>
            </w:r>
          </w:p>
        </w:tc>
        <w:tc>
          <w:tcPr>
            <w:tcW w:w="0" w:type="dxa"/>
            <w:vAlign w:val="bottom"/>
          </w:tcPr>
          <w:p>
            <w:pPr>
              <w:spacing w:after="0"/>
              <w:rPr>
                <w:sz w:val="1"/>
                <w:szCs w:val="1"/>
                <w:color w:val="auto"/>
              </w:rPr>
            </w:pPr>
          </w:p>
        </w:tc>
      </w:tr>
      <w:tr>
        <w:trPr>
          <w:trHeight w:val="130"/>
        </w:trPr>
        <w:tc>
          <w:tcPr>
            <w:tcW w:w="2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Grosvenor Capital Management</w:t>
            </w:r>
          </w:p>
        </w:tc>
        <w:tc>
          <w:tcPr>
            <w:tcW w:w="104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Brokers/</w:t>
            </w:r>
          </w:p>
        </w:tc>
        <w:tc>
          <w:tcPr>
            <w:tcW w:w="11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Initial Term</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Holdings, LP</w:t>
            </w:r>
          </w:p>
        </w:tc>
        <w:tc>
          <w:tcPr>
            <w:tcW w:w="1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Dealers/</w:t>
            </w:r>
          </w:p>
        </w:tc>
        <w:tc>
          <w:tcPr>
            <w:tcW w:w="11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Loan</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Investment</w:t>
            </w:r>
          </w:p>
        </w:tc>
        <w:tc>
          <w:tcPr>
            <w:tcW w:w="34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Houses</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3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3.75%</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1/4/2021</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w w:val="96"/>
              </w:rPr>
              <w:t>3,500,000</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3,482,803</w:t>
            </w:r>
          </w:p>
        </w:tc>
        <w:tc>
          <w:tcPr>
            <w:tcW w:w="4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3,489,080</w:t>
            </w:r>
          </w:p>
        </w:tc>
        <w:tc>
          <w:tcPr>
            <w:tcW w:w="0" w:type="dxa"/>
            <w:vAlign w:val="bottom"/>
          </w:tcPr>
          <w:p>
            <w:pPr>
              <w:spacing w:after="0"/>
              <w:rPr>
                <w:sz w:val="1"/>
                <w:szCs w:val="1"/>
                <w:color w:val="auto"/>
              </w:rPr>
            </w:pPr>
          </w:p>
        </w:tc>
      </w:tr>
      <w:tr>
        <w:trPr>
          <w:trHeight w:val="130"/>
        </w:trPr>
        <w:tc>
          <w:tcPr>
            <w:tcW w:w="2320" w:type="dxa"/>
            <w:vAlign w:val="bottom"/>
            <w:gridSpan w:val="2"/>
          </w:tcPr>
          <w:p>
            <w:pPr>
              <w:spacing w:after="0" w:line="130" w:lineRule="exact"/>
              <w:rPr>
                <w:sz w:val="20"/>
                <w:szCs w:val="20"/>
                <w:color w:val="auto"/>
              </w:rPr>
            </w:pPr>
            <w:r>
              <w:rPr>
                <w:rFonts w:ascii="Arial" w:cs="Arial" w:eastAsia="Arial" w:hAnsi="Arial"/>
                <w:sz w:val="14"/>
                <w:szCs w:val="14"/>
                <w:color w:val="auto"/>
              </w:rPr>
              <w:t>Harland Clarke Holdings Corp. (fka</w:t>
            </w:r>
          </w:p>
        </w:tc>
        <w:tc>
          <w:tcPr>
            <w:tcW w:w="10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Publishing</w:t>
            </w:r>
          </w:p>
        </w:tc>
        <w:tc>
          <w:tcPr>
            <w:tcW w:w="1120" w:type="dxa"/>
            <w:vAlign w:val="bottom"/>
            <w:gridSpan w:val="2"/>
          </w:tcPr>
          <w:p>
            <w:pPr>
              <w:ind w:left="340"/>
              <w:spacing w:after="0" w:line="130" w:lineRule="exact"/>
              <w:rPr>
                <w:sz w:val="20"/>
                <w:szCs w:val="20"/>
                <w:color w:val="auto"/>
              </w:rPr>
            </w:pPr>
            <w:r>
              <w:rPr>
                <w:rFonts w:ascii="Arial" w:cs="Arial" w:eastAsia="Arial" w:hAnsi="Arial"/>
                <w:sz w:val="14"/>
                <w:szCs w:val="14"/>
                <w:color w:val="auto"/>
                <w:w w:val="98"/>
              </w:rPr>
              <w:t>Tranche B-4</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ind w:left="160"/>
              <w:spacing w:after="0"/>
              <w:rPr>
                <w:sz w:val="20"/>
                <w:szCs w:val="20"/>
                <w:color w:val="auto"/>
              </w:rPr>
            </w:pPr>
            <w:r>
              <w:rPr>
                <w:rFonts w:ascii="Arial" w:cs="Arial" w:eastAsia="Arial" w:hAnsi="Arial"/>
                <w:sz w:val="14"/>
                <w:szCs w:val="14"/>
                <w:color w:val="auto"/>
              </w:rPr>
              <w:t>Clarke American Corp.)</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tcPr>
          <w:p>
            <w:pPr>
              <w:ind w:left="340"/>
              <w:spacing w:after="0"/>
              <w:rPr>
                <w:sz w:val="20"/>
                <w:szCs w:val="20"/>
                <w:color w:val="auto"/>
              </w:rPr>
            </w:pPr>
            <w:r>
              <w:rPr>
                <w:rFonts w:ascii="Arial" w:cs="Arial" w:eastAsia="Arial" w:hAnsi="Arial"/>
                <w:sz w:val="14"/>
                <w:szCs w:val="14"/>
                <w:color w:val="auto"/>
              </w:rPr>
              <w:t>Term Loan</w:t>
            </w:r>
          </w:p>
        </w:tc>
        <w:tc>
          <w:tcPr>
            <w:tcW w:w="1380" w:type="dxa"/>
            <w:vAlign w:val="bottom"/>
            <w:gridSpan w:val="3"/>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tcPr>
          <w:p>
            <w:pPr>
              <w:jc w:val="right"/>
              <w:ind w:right="400"/>
              <w:spacing w:after="0"/>
              <w:rPr>
                <w:sz w:val="20"/>
                <w:szCs w:val="20"/>
                <w:color w:val="auto"/>
              </w:rPr>
            </w:pPr>
            <w:r>
              <w:rPr>
                <w:rFonts w:ascii="Arial" w:cs="Arial" w:eastAsia="Arial" w:hAnsi="Arial"/>
                <w:sz w:val="14"/>
                <w:szCs w:val="14"/>
                <w:color w:val="auto"/>
              </w:rPr>
              <w:t>6.00%</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8/4/2019</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500,000</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color w:val="auto"/>
              </w:rPr>
              <w:t>497,500</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500,780</w:t>
            </w:r>
          </w:p>
        </w:tc>
        <w:tc>
          <w:tcPr>
            <w:tcW w:w="0" w:type="dxa"/>
            <w:vAlign w:val="bottom"/>
          </w:tcPr>
          <w:p>
            <w:pPr>
              <w:spacing w:after="0"/>
              <w:rPr>
                <w:sz w:val="1"/>
                <w:szCs w:val="1"/>
                <w:color w:val="auto"/>
              </w:rPr>
            </w:pPr>
          </w:p>
        </w:tc>
      </w:tr>
      <w:tr>
        <w:trPr>
          <w:trHeight w:val="130"/>
        </w:trPr>
        <w:tc>
          <w:tcPr>
            <w:tcW w:w="2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HCA Inc.</w:t>
            </w:r>
          </w:p>
        </w:tc>
        <w:tc>
          <w:tcPr>
            <w:tcW w:w="104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Healthcare</w:t>
            </w:r>
          </w:p>
        </w:tc>
        <w:tc>
          <w:tcPr>
            <w:tcW w:w="11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w w:val="98"/>
              </w:rPr>
              <w:t>Tranche B-4</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Term Loan</w:t>
            </w:r>
          </w:p>
        </w:tc>
        <w:tc>
          <w:tcPr>
            <w:tcW w:w="13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2.94%</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5/1/2018</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w w:val="96"/>
              </w:rPr>
              <w:t>5,720,353</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5,390,148</w:t>
            </w:r>
          </w:p>
        </w:tc>
        <w:tc>
          <w:tcPr>
            <w:tcW w:w="4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5,713,947</w:t>
            </w:r>
          </w:p>
        </w:tc>
        <w:tc>
          <w:tcPr>
            <w:tcW w:w="0" w:type="dxa"/>
            <w:vAlign w:val="bottom"/>
          </w:tcPr>
          <w:p>
            <w:pPr>
              <w:spacing w:after="0"/>
              <w:rPr>
                <w:sz w:val="1"/>
                <w:szCs w:val="1"/>
                <w:color w:val="auto"/>
              </w:rPr>
            </w:pPr>
          </w:p>
        </w:tc>
      </w:tr>
      <w:tr>
        <w:trPr>
          <w:trHeight w:val="130"/>
        </w:trPr>
        <w:tc>
          <w:tcPr>
            <w:tcW w:w="2320" w:type="dxa"/>
            <w:vAlign w:val="bottom"/>
            <w:gridSpan w:val="2"/>
          </w:tcPr>
          <w:p>
            <w:pPr>
              <w:spacing w:after="0" w:line="130" w:lineRule="exact"/>
              <w:rPr>
                <w:sz w:val="20"/>
                <w:szCs w:val="20"/>
                <w:color w:val="auto"/>
              </w:rPr>
            </w:pPr>
            <w:r>
              <w:rPr>
                <w:rFonts w:ascii="Arial" w:cs="Arial" w:eastAsia="Arial" w:hAnsi="Arial"/>
                <w:sz w:val="14"/>
                <w:szCs w:val="14"/>
                <w:color w:val="auto"/>
              </w:rPr>
              <w:t>Hertz Corporation, The</w:t>
            </w:r>
          </w:p>
        </w:tc>
        <w:tc>
          <w:tcPr>
            <w:tcW w:w="10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Automotive</w:t>
            </w:r>
          </w:p>
        </w:tc>
        <w:tc>
          <w:tcPr>
            <w:tcW w:w="1120" w:type="dxa"/>
            <w:vAlign w:val="bottom"/>
            <w:gridSpan w:val="2"/>
          </w:tcPr>
          <w:p>
            <w:pPr>
              <w:ind w:left="340"/>
              <w:spacing w:after="0" w:line="130" w:lineRule="exact"/>
              <w:rPr>
                <w:sz w:val="20"/>
                <w:szCs w:val="20"/>
                <w:color w:val="auto"/>
              </w:rPr>
            </w:pPr>
            <w:r>
              <w:rPr>
                <w:rFonts w:ascii="Arial" w:cs="Arial" w:eastAsia="Arial" w:hAnsi="Arial"/>
                <w:sz w:val="14"/>
                <w:szCs w:val="14"/>
                <w:color w:val="auto"/>
                <w:w w:val="98"/>
              </w:rPr>
              <w:t>Tranche B-1</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tcPr>
          <w:p>
            <w:pPr>
              <w:ind w:left="340"/>
              <w:spacing w:after="0"/>
              <w:rPr>
                <w:sz w:val="20"/>
                <w:szCs w:val="20"/>
                <w:color w:val="auto"/>
              </w:rPr>
            </w:pPr>
            <w:r>
              <w:rPr>
                <w:rFonts w:ascii="Arial" w:cs="Arial" w:eastAsia="Arial" w:hAnsi="Arial"/>
                <w:sz w:val="14"/>
                <w:szCs w:val="14"/>
                <w:color w:val="auto"/>
              </w:rPr>
              <w:t>Term Loan</w:t>
            </w:r>
          </w:p>
        </w:tc>
        <w:tc>
          <w:tcPr>
            <w:tcW w:w="1380" w:type="dxa"/>
            <w:vAlign w:val="bottom"/>
            <w:gridSpan w:val="3"/>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tcPr>
          <w:p>
            <w:pPr>
              <w:jc w:val="right"/>
              <w:ind w:right="400"/>
              <w:spacing w:after="0"/>
              <w:rPr>
                <w:sz w:val="20"/>
                <w:szCs w:val="20"/>
                <w:color w:val="auto"/>
              </w:rPr>
            </w:pPr>
            <w:r>
              <w:rPr>
                <w:rFonts w:ascii="Arial" w:cs="Arial" w:eastAsia="Arial" w:hAnsi="Arial"/>
                <w:sz w:val="14"/>
                <w:szCs w:val="14"/>
                <w:color w:val="auto"/>
              </w:rPr>
              <w:t>3.75%</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3/11/2018</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w w:val="96"/>
              </w:rPr>
              <w:t>2,970,000</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3,005,791</w:t>
            </w:r>
          </w:p>
        </w:tc>
        <w:tc>
          <w:tcPr>
            <w:tcW w:w="4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2,973,683</w:t>
            </w:r>
          </w:p>
        </w:tc>
        <w:tc>
          <w:tcPr>
            <w:tcW w:w="0" w:type="dxa"/>
            <w:vAlign w:val="bottom"/>
          </w:tcPr>
          <w:p>
            <w:pPr>
              <w:spacing w:after="0"/>
              <w:rPr>
                <w:sz w:val="1"/>
                <w:szCs w:val="1"/>
                <w:color w:val="auto"/>
              </w:rPr>
            </w:pPr>
          </w:p>
        </w:tc>
      </w:tr>
      <w:tr>
        <w:trPr>
          <w:trHeight w:val="130"/>
        </w:trPr>
        <w:tc>
          <w:tcPr>
            <w:tcW w:w="2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Hologic, Inc.</w:t>
            </w:r>
          </w:p>
        </w:tc>
        <w:tc>
          <w:tcPr>
            <w:tcW w:w="104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Healthcare</w:t>
            </w:r>
          </w:p>
        </w:tc>
        <w:tc>
          <w:tcPr>
            <w:tcW w:w="11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Refinancing</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Tranche A</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Term Loan</w:t>
            </w:r>
          </w:p>
        </w:tc>
        <w:tc>
          <w:tcPr>
            <w:tcW w:w="13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2.19%</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8/1/2017</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w w:val="96"/>
              </w:rPr>
              <w:t>2,312,500</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2,307,973</w:t>
            </w:r>
          </w:p>
        </w:tc>
        <w:tc>
          <w:tcPr>
            <w:tcW w:w="4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2,313,425</w:t>
            </w:r>
          </w:p>
        </w:tc>
        <w:tc>
          <w:tcPr>
            <w:tcW w:w="0" w:type="dxa"/>
            <w:vAlign w:val="bottom"/>
          </w:tcPr>
          <w:p>
            <w:pPr>
              <w:spacing w:after="0"/>
              <w:rPr>
                <w:sz w:val="1"/>
                <w:szCs w:val="1"/>
                <w:color w:val="auto"/>
              </w:rPr>
            </w:pPr>
          </w:p>
        </w:tc>
      </w:tr>
      <w:tr>
        <w:trPr>
          <w:trHeight w:val="130"/>
        </w:trPr>
        <w:tc>
          <w:tcPr>
            <w:tcW w:w="2320" w:type="dxa"/>
            <w:vAlign w:val="bottom"/>
            <w:gridSpan w:val="2"/>
          </w:tcPr>
          <w:p>
            <w:pPr>
              <w:spacing w:after="0" w:line="130" w:lineRule="exact"/>
              <w:rPr>
                <w:sz w:val="20"/>
                <w:szCs w:val="20"/>
                <w:color w:val="auto"/>
              </w:rPr>
            </w:pPr>
            <w:r>
              <w:rPr>
                <w:rFonts w:ascii="Arial" w:cs="Arial" w:eastAsia="Arial" w:hAnsi="Arial"/>
                <w:sz w:val="14"/>
                <w:szCs w:val="14"/>
                <w:color w:val="auto"/>
              </w:rPr>
              <w:t>Hunter Defense Technologies, Inc.</w:t>
            </w:r>
          </w:p>
        </w:tc>
        <w:tc>
          <w:tcPr>
            <w:tcW w:w="10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Aerospace</w:t>
            </w:r>
          </w:p>
        </w:tc>
        <w:tc>
          <w:tcPr>
            <w:tcW w:w="11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Term Loan</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color w:val="auto"/>
              </w:rPr>
              <w:t>and Defense</w:t>
            </w:r>
          </w:p>
        </w:tc>
        <w:tc>
          <w:tcPr>
            <w:tcW w:w="3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80" w:type="dxa"/>
            <w:vAlign w:val="bottom"/>
            <w:gridSpan w:val="3"/>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tcPr>
          <w:p>
            <w:pPr>
              <w:jc w:val="right"/>
              <w:ind w:right="400"/>
              <w:spacing w:after="0"/>
              <w:rPr>
                <w:sz w:val="20"/>
                <w:szCs w:val="20"/>
                <w:color w:val="auto"/>
              </w:rPr>
            </w:pPr>
            <w:r>
              <w:rPr>
                <w:rFonts w:ascii="Arial" w:cs="Arial" w:eastAsia="Arial" w:hAnsi="Arial"/>
                <w:sz w:val="14"/>
                <w:szCs w:val="14"/>
                <w:color w:val="auto"/>
              </w:rPr>
              <w:t>3.45%</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8/22/2014</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w w:val="96"/>
              </w:rPr>
              <w:t>3,470,285</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3,460,723</w:t>
            </w:r>
          </w:p>
        </w:tc>
        <w:tc>
          <w:tcPr>
            <w:tcW w:w="46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3,262,068</w:t>
            </w:r>
          </w:p>
        </w:tc>
        <w:tc>
          <w:tcPr>
            <w:tcW w:w="0" w:type="dxa"/>
            <w:vAlign w:val="bottom"/>
          </w:tcPr>
          <w:p>
            <w:pPr>
              <w:spacing w:after="0"/>
              <w:rPr>
                <w:sz w:val="1"/>
                <w:szCs w:val="1"/>
                <w:color w:val="auto"/>
              </w:rPr>
            </w:pPr>
          </w:p>
        </w:tc>
      </w:tr>
      <w:tr>
        <w:trPr>
          <w:trHeight w:val="130"/>
        </w:trPr>
        <w:tc>
          <w:tcPr>
            <w:tcW w:w="2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Huntsman International LLC</w:t>
            </w:r>
          </w:p>
        </w:tc>
        <w:tc>
          <w:tcPr>
            <w:tcW w:w="104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Chemicals/</w:t>
            </w:r>
          </w:p>
        </w:tc>
        <w:tc>
          <w:tcPr>
            <w:tcW w:w="11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Extended</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Plastics</w:t>
            </w:r>
          </w:p>
        </w:tc>
        <w:tc>
          <w:tcPr>
            <w:tcW w:w="11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Term B</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Loan</w:t>
            </w:r>
          </w:p>
        </w:tc>
        <w:tc>
          <w:tcPr>
            <w:tcW w:w="13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2.73%</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4/19/2017</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w w:val="96"/>
              </w:rPr>
              <w:t>3,920,000</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3,892,467</w:t>
            </w:r>
          </w:p>
        </w:tc>
        <w:tc>
          <w:tcPr>
            <w:tcW w:w="4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3,919,020</w:t>
            </w:r>
          </w:p>
        </w:tc>
        <w:tc>
          <w:tcPr>
            <w:tcW w:w="0" w:type="dxa"/>
            <w:vAlign w:val="bottom"/>
          </w:tcPr>
          <w:p>
            <w:pPr>
              <w:spacing w:after="0"/>
              <w:rPr>
                <w:sz w:val="1"/>
                <w:szCs w:val="1"/>
                <w:color w:val="auto"/>
              </w:rPr>
            </w:pPr>
          </w:p>
        </w:tc>
      </w:tr>
      <w:tr>
        <w:trPr>
          <w:trHeight w:val="130"/>
        </w:trPr>
        <w:tc>
          <w:tcPr>
            <w:tcW w:w="2320" w:type="dxa"/>
            <w:vAlign w:val="bottom"/>
            <w:gridSpan w:val="2"/>
          </w:tcPr>
          <w:p>
            <w:pPr>
              <w:spacing w:after="0" w:line="130" w:lineRule="exact"/>
              <w:rPr>
                <w:sz w:val="20"/>
                <w:szCs w:val="20"/>
                <w:color w:val="auto"/>
              </w:rPr>
            </w:pPr>
            <w:r>
              <w:rPr>
                <w:rFonts w:ascii="Arial" w:cs="Arial" w:eastAsia="Arial" w:hAnsi="Arial"/>
                <w:sz w:val="14"/>
                <w:szCs w:val="14"/>
                <w:color w:val="auto"/>
              </w:rPr>
              <w:t>Ikaria, Inc.</w:t>
            </w:r>
          </w:p>
        </w:tc>
        <w:tc>
          <w:tcPr>
            <w:tcW w:w="10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Healthcare</w:t>
            </w:r>
          </w:p>
        </w:tc>
        <w:tc>
          <w:tcPr>
            <w:tcW w:w="11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Initial Term</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120" w:type="dxa"/>
            <w:vAlign w:val="bottom"/>
            <w:gridSpan w:val="2"/>
          </w:tcPr>
          <w:p>
            <w:pPr>
              <w:ind w:left="340"/>
              <w:spacing w:after="0" w:line="149" w:lineRule="exact"/>
              <w:rPr>
                <w:sz w:val="20"/>
                <w:szCs w:val="20"/>
                <w:color w:val="auto"/>
              </w:rPr>
            </w:pPr>
            <w:r>
              <w:rPr>
                <w:rFonts w:ascii="Arial" w:cs="Arial" w:eastAsia="Arial" w:hAnsi="Arial"/>
                <w:sz w:val="14"/>
                <w:szCs w:val="14"/>
                <w:color w:val="auto"/>
              </w:rPr>
              <w:t>Loan (First</w:t>
            </w:r>
          </w:p>
        </w:tc>
        <w:tc>
          <w:tcPr>
            <w:tcW w:w="3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tcPr>
          <w:p>
            <w:pPr>
              <w:ind w:left="340"/>
              <w:spacing w:after="0"/>
              <w:rPr>
                <w:sz w:val="20"/>
                <w:szCs w:val="20"/>
                <w:color w:val="auto"/>
              </w:rPr>
            </w:pPr>
            <w:r>
              <w:rPr>
                <w:rFonts w:ascii="Arial" w:cs="Arial" w:eastAsia="Arial" w:hAnsi="Arial"/>
                <w:sz w:val="14"/>
                <w:szCs w:val="14"/>
                <w:color w:val="auto"/>
              </w:rPr>
              <w:t>Lien)</w:t>
            </w:r>
          </w:p>
        </w:tc>
        <w:tc>
          <w:tcPr>
            <w:tcW w:w="1380" w:type="dxa"/>
            <w:vAlign w:val="bottom"/>
            <w:gridSpan w:val="3"/>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tcPr>
          <w:p>
            <w:pPr>
              <w:jc w:val="right"/>
              <w:ind w:right="400"/>
              <w:spacing w:after="0"/>
              <w:rPr>
                <w:sz w:val="20"/>
                <w:szCs w:val="20"/>
                <w:color w:val="auto"/>
              </w:rPr>
            </w:pPr>
            <w:r>
              <w:rPr>
                <w:rFonts w:ascii="Arial" w:cs="Arial" w:eastAsia="Arial" w:hAnsi="Arial"/>
                <w:sz w:val="14"/>
                <w:szCs w:val="14"/>
                <w:color w:val="auto"/>
              </w:rPr>
              <w:t>5.00%</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2/12/2021</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500,000</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color w:val="auto"/>
              </w:rPr>
              <w:t>497,515</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502,815</w:t>
            </w:r>
          </w:p>
        </w:tc>
        <w:tc>
          <w:tcPr>
            <w:tcW w:w="0" w:type="dxa"/>
            <w:vAlign w:val="bottom"/>
          </w:tcPr>
          <w:p>
            <w:pPr>
              <w:spacing w:after="0"/>
              <w:rPr>
                <w:sz w:val="1"/>
                <w:szCs w:val="1"/>
                <w:color w:val="auto"/>
              </w:rPr>
            </w:pPr>
          </w:p>
        </w:tc>
      </w:tr>
      <w:tr>
        <w:trPr>
          <w:trHeight w:val="130"/>
        </w:trPr>
        <w:tc>
          <w:tcPr>
            <w:tcW w:w="2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Infor (US), Inc. (fka Lawson</w:t>
            </w:r>
          </w:p>
        </w:tc>
        <w:tc>
          <w:tcPr>
            <w:tcW w:w="104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Business</w:t>
            </w:r>
          </w:p>
        </w:tc>
        <w:tc>
          <w:tcPr>
            <w:tcW w:w="11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w w:val="98"/>
              </w:rPr>
              <w:t>Tranche B-5</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3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Software Inc.)</w:t>
            </w:r>
          </w:p>
        </w:tc>
        <w:tc>
          <w:tcPr>
            <w:tcW w:w="1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rPr>
              <w:t>Equipment</w:t>
            </w:r>
          </w:p>
        </w:tc>
        <w:tc>
          <w:tcPr>
            <w:tcW w:w="11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rPr>
              <w:t>Term Loan</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and Services</w:t>
            </w: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3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3.75%</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6/3/2020</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w w:val="96"/>
              </w:rPr>
              <w:t>1,776,183</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1,758,861</w:t>
            </w:r>
          </w:p>
        </w:tc>
        <w:tc>
          <w:tcPr>
            <w:tcW w:w="46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1,772,488</w:t>
            </w:r>
          </w:p>
        </w:tc>
        <w:tc>
          <w:tcPr>
            <w:tcW w:w="0" w:type="dxa"/>
            <w:vAlign w:val="bottom"/>
          </w:tcPr>
          <w:p>
            <w:pPr>
              <w:spacing w:after="0"/>
              <w:rPr>
                <w:sz w:val="1"/>
                <w:szCs w:val="1"/>
                <w:color w:val="auto"/>
              </w:rPr>
            </w:pPr>
          </w:p>
        </w:tc>
      </w:tr>
      <w:tr>
        <w:trPr>
          <w:trHeight w:val="130"/>
        </w:trPr>
        <w:tc>
          <w:tcPr>
            <w:tcW w:w="2320" w:type="dxa"/>
            <w:vAlign w:val="bottom"/>
            <w:gridSpan w:val="2"/>
          </w:tcPr>
          <w:p>
            <w:pPr>
              <w:spacing w:after="0" w:line="130" w:lineRule="exact"/>
              <w:rPr>
                <w:sz w:val="20"/>
                <w:szCs w:val="20"/>
                <w:color w:val="auto"/>
              </w:rPr>
            </w:pPr>
            <w:r>
              <w:rPr>
                <w:rFonts w:ascii="Arial" w:cs="Arial" w:eastAsia="Arial" w:hAnsi="Arial"/>
                <w:sz w:val="14"/>
                <w:szCs w:val="14"/>
                <w:color w:val="auto"/>
              </w:rPr>
              <w:t>Inventiv Health, Inc. (fka Ventive</w:t>
            </w:r>
          </w:p>
        </w:tc>
        <w:tc>
          <w:tcPr>
            <w:tcW w:w="1040" w:type="dxa"/>
            <w:vAlign w:val="bottom"/>
            <w:gridSpan w:val="2"/>
          </w:tcPr>
          <w:p>
            <w:pPr>
              <w:ind w:left="200"/>
              <w:spacing w:after="0" w:line="130" w:lineRule="exact"/>
              <w:rPr>
                <w:sz w:val="20"/>
                <w:szCs w:val="20"/>
                <w:color w:val="auto"/>
              </w:rPr>
            </w:pPr>
            <w:r>
              <w:rPr>
                <w:rFonts w:ascii="Arial" w:cs="Arial" w:eastAsia="Arial" w:hAnsi="Arial"/>
                <w:sz w:val="14"/>
                <w:szCs w:val="14"/>
                <w:color w:val="auto"/>
                <w:w w:val="93"/>
              </w:rPr>
              <w:t>Conglomerate</w:t>
            </w:r>
          </w:p>
        </w:tc>
        <w:tc>
          <w:tcPr>
            <w:tcW w:w="1120" w:type="dxa"/>
            <w:vAlign w:val="bottom"/>
            <w:gridSpan w:val="2"/>
          </w:tcPr>
          <w:p>
            <w:pPr>
              <w:ind w:left="340"/>
              <w:spacing w:after="0" w:line="130" w:lineRule="exact"/>
              <w:rPr>
                <w:sz w:val="20"/>
                <w:szCs w:val="20"/>
                <w:color w:val="auto"/>
              </w:rPr>
            </w:pPr>
            <w:r>
              <w:rPr>
                <w:rFonts w:ascii="Arial" w:cs="Arial" w:eastAsia="Arial" w:hAnsi="Arial"/>
                <w:sz w:val="14"/>
                <w:szCs w:val="14"/>
                <w:color w:val="auto"/>
                <w:w w:val="92"/>
              </w:rPr>
              <w:t>Consolidated</w:t>
            </w:r>
          </w:p>
        </w:tc>
        <w:tc>
          <w:tcPr>
            <w:tcW w:w="3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320" w:type="dxa"/>
            <w:vAlign w:val="bottom"/>
            <w:gridSpan w:val="2"/>
          </w:tcPr>
          <w:p>
            <w:pPr>
              <w:ind w:left="160"/>
              <w:spacing w:after="0"/>
              <w:rPr>
                <w:sz w:val="20"/>
                <w:szCs w:val="20"/>
                <w:color w:val="auto"/>
              </w:rPr>
            </w:pPr>
            <w:r>
              <w:rPr>
                <w:rFonts w:ascii="Arial" w:cs="Arial" w:eastAsia="Arial" w:hAnsi="Arial"/>
                <w:sz w:val="14"/>
                <w:szCs w:val="14"/>
                <w:color w:val="auto"/>
              </w:rPr>
              <w:t>Health, Inc)</w:t>
            </w: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20" w:type="dxa"/>
            <w:vAlign w:val="bottom"/>
            <w:gridSpan w:val="2"/>
          </w:tcPr>
          <w:p>
            <w:pPr>
              <w:ind w:left="340"/>
              <w:spacing w:after="0"/>
              <w:rPr>
                <w:sz w:val="20"/>
                <w:szCs w:val="20"/>
                <w:color w:val="auto"/>
              </w:rPr>
            </w:pPr>
            <w:r>
              <w:rPr>
                <w:rFonts w:ascii="Arial" w:cs="Arial" w:eastAsia="Arial" w:hAnsi="Arial"/>
                <w:sz w:val="14"/>
                <w:szCs w:val="14"/>
                <w:color w:val="auto"/>
              </w:rPr>
              <w:t>Term Loan</w:t>
            </w:r>
          </w:p>
        </w:tc>
        <w:tc>
          <w:tcPr>
            <w:tcW w:w="1380" w:type="dxa"/>
            <w:vAlign w:val="bottom"/>
            <w:gridSpan w:val="3"/>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tcPr>
          <w:p>
            <w:pPr>
              <w:jc w:val="right"/>
              <w:ind w:right="400"/>
              <w:spacing w:after="0"/>
              <w:rPr>
                <w:sz w:val="20"/>
                <w:szCs w:val="20"/>
                <w:color w:val="auto"/>
              </w:rPr>
            </w:pPr>
            <w:r>
              <w:rPr>
                <w:rFonts w:ascii="Arial" w:cs="Arial" w:eastAsia="Arial" w:hAnsi="Arial"/>
                <w:sz w:val="14"/>
                <w:szCs w:val="14"/>
                <w:color w:val="auto"/>
              </w:rPr>
              <w:t>7.50%</w:t>
            </w:r>
          </w:p>
        </w:tc>
        <w:tc>
          <w:tcPr>
            <w:tcW w:w="1340" w:type="dxa"/>
            <w:vAlign w:val="bottom"/>
            <w:gridSpan w:val="2"/>
          </w:tcPr>
          <w:p>
            <w:pPr>
              <w:jc w:val="right"/>
              <w:ind w:right="440"/>
              <w:spacing w:after="0"/>
              <w:rPr>
                <w:sz w:val="20"/>
                <w:szCs w:val="20"/>
                <w:color w:val="auto"/>
              </w:rPr>
            </w:pPr>
            <w:r>
              <w:rPr>
                <w:rFonts w:ascii="Arial" w:cs="Arial" w:eastAsia="Arial" w:hAnsi="Arial"/>
                <w:sz w:val="14"/>
                <w:szCs w:val="14"/>
                <w:color w:val="auto"/>
              </w:rPr>
              <w:t>8/4/2016</w:t>
            </w:r>
          </w:p>
        </w:tc>
        <w:tc>
          <w:tcPr>
            <w:tcW w:w="1060" w:type="dxa"/>
            <w:vAlign w:val="bottom"/>
            <w:gridSpan w:val="2"/>
          </w:tcPr>
          <w:p>
            <w:pPr>
              <w:jc w:val="right"/>
              <w:ind w:right="440"/>
              <w:spacing w:after="0"/>
              <w:rPr>
                <w:sz w:val="20"/>
                <w:szCs w:val="20"/>
                <w:color w:val="auto"/>
              </w:rPr>
            </w:pPr>
            <w:r>
              <w:rPr>
                <w:rFonts w:ascii="Arial" w:cs="Arial" w:eastAsia="Arial" w:hAnsi="Arial"/>
                <w:sz w:val="14"/>
                <w:szCs w:val="14"/>
                <w:color w:val="auto"/>
              </w:rPr>
              <w:t>492,090</w:t>
            </w:r>
          </w:p>
        </w:tc>
        <w:tc>
          <w:tcPr>
            <w:tcW w:w="1080" w:type="dxa"/>
            <w:vAlign w:val="bottom"/>
            <w:gridSpan w:val="2"/>
          </w:tcPr>
          <w:p>
            <w:pPr>
              <w:jc w:val="right"/>
              <w:ind w:right="460"/>
              <w:spacing w:after="0"/>
              <w:rPr>
                <w:sz w:val="20"/>
                <w:szCs w:val="20"/>
                <w:color w:val="auto"/>
              </w:rPr>
            </w:pPr>
            <w:r>
              <w:rPr>
                <w:rFonts w:ascii="Arial" w:cs="Arial" w:eastAsia="Arial" w:hAnsi="Arial"/>
                <w:sz w:val="14"/>
                <w:szCs w:val="14"/>
                <w:color w:val="auto"/>
              </w:rPr>
              <w:t>492,090</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491,105</w:t>
            </w:r>
          </w:p>
        </w:tc>
        <w:tc>
          <w:tcPr>
            <w:tcW w:w="0" w:type="dxa"/>
            <w:vAlign w:val="bottom"/>
          </w:tcPr>
          <w:p>
            <w:pPr>
              <w:spacing w:after="0"/>
              <w:rPr>
                <w:sz w:val="1"/>
                <w:szCs w:val="1"/>
                <w:color w:val="auto"/>
              </w:rPr>
            </w:pPr>
          </w:p>
        </w:tc>
      </w:tr>
      <w:tr>
        <w:trPr>
          <w:trHeight w:val="130"/>
        </w:trPr>
        <w:tc>
          <w:tcPr>
            <w:tcW w:w="23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J. Crew Group, Inc.</w:t>
            </w:r>
          </w:p>
        </w:tc>
        <w:tc>
          <w:tcPr>
            <w:tcW w:w="1040" w:type="dxa"/>
            <w:vAlign w:val="bottom"/>
            <w:gridSpan w:val="2"/>
            <w:shd w:val="clear" w:color="auto" w:fill="CCEEFF"/>
          </w:tcPr>
          <w:p>
            <w:pPr>
              <w:ind w:left="200"/>
              <w:spacing w:after="0" w:line="130" w:lineRule="exact"/>
              <w:rPr>
                <w:sz w:val="20"/>
                <w:szCs w:val="20"/>
                <w:color w:val="auto"/>
              </w:rPr>
            </w:pPr>
            <w:r>
              <w:rPr>
                <w:rFonts w:ascii="Arial" w:cs="Arial" w:eastAsia="Arial" w:hAnsi="Arial"/>
                <w:sz w:val="14"/>
                <w:szCs w:val="14"/>
                <w:color w:val="auto"/>
              </w:rPr>
              <w:t>Retailers</w:t>
            </w:r>
          </w:p>
        </w:tc>
        <w:tc>
          <w:tcPr>
            <w:tcW w:w="1120" w:type="dxa"/>
            <w:vAlign w:val="bottom"/>
            <w:gridSpan w:val="2"/>
            <w:shd w:val="clear" w:color="auto" w:fill="CCEEFF"/>
          </w:tcPr>
          <w:p>
            <w:pPr>
              <w:ind w:left="340"/>
              <w:spacing w:after="0" w:line="130" w:lineRule="exact"/>
              <w:rPr>
                <w:sz w:val="20"/>
                <w:szCs w:val="20"/>
                <w:color w:val="auto"/>
              </w:rPr>
            </w:pPr>
            <w:r>
              <w:rPr>
                <w:rFonts w:ascii="Arial" w:cs="Arial" w:eastAsia="Arial" w:hAnsi="Arial"/>
                <w:sz w:val="14"/>
                <w:szCs w:val="14"/>
                <w:color w:val="auto"/>
              </w:rPr>
              <w:t>Term B-1</w:t>
            </w:r>
          </w:p>
        </w:tc>
        <w:tc>
          <w:tcPr>
            <w:tcW w:w="3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4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780" w:type="dxa"/>
            <w:vAlign w:val="bottom"/>
            <w:shd w:val="clear" w:color="auto" w:fill="CCEEFF"/>
          </w:tcPr>
          <w:p>
            <w:pPr>
              <w:spacing w:after="0"/>
              <w:rPr>
                <w:sz w:val="12"/>
                <w:szCs w:val="12"/>
                <w:color w:val="auto"/>
              </w:rPr>
            </w:pPr>
          </w:p>
        </w:tc>
        <w:tc>
          <w:tcPr>
            <w:tcW w:w="1540" w:type="dxa"/>
            <w:vAlign w:val="bottom"/>
            <w:shd w:val="clear" w:color="auto" w:fill="CCEEFF"/>
          </w:tcPr>
          <w:p>
            <w:pPr>
              <w:spacing w:after="0"/>
              <w:rPr>
                <w:sz w:val="12"/>
                <w:szCs w:val="12"/>
                <w:color w:val="auto"/>
              </w:rPr>
            </w:pPr>
          </w:p>
        </w:tc>
        <w:tc>
          <w:tcPr>
            <w:tcW w:w="1040" w:type="dxa"/>
            <w:vAlign w:val="bottom"/>
            <w:gridSpan w:val="2"/>
            <w:shd w:val="clear" w:color="auto" w:fill="CCEEFF"/>
          </w:tcPr>
          <w:p>
            <w:pPr>
              <w:ind w:left="200"/>
              <w:spacing w:after="0" w:line="149" w:lineRule="exact"/>
              <w:rPr>
                <w:sz w:val="20"/>
                <w:szCs w:val="20"/>
                <w:color w:val="auto"/>
              </w:rPr>
            </w:pPr>
            <w:r>
              <w:rPr>
                <w:rFonts w:ascii="Arial" w:cs="Arial" w:eastAsia="Arial" w:hAnsi="Arial"/>
                <w:sz w:val="14"/>
                <w:szCs w:val="14"/>
                <w:color w:val="auto"/>
                <w:w w:val="98"/>
              </w:rPr>
              <w:t>(Except Food</w:t>
            </w:r>
          </w:p>
        </w:tc>
        <w:tc>
          <w:tcPr>
            <w:tcW w:w="1120" w:type="dxa"/>
            <w:vAlign w:val="bottom"/>
            <w:gridSpan w:val="2"/>
            <w:shd w:val="clear" w:color="auto" w:fill="CCEEFF"/>
          </w:tcPr>
          <w:p>
            <w:pPr>
              <w:ind w:left="340"/>
              <w:spacing w:after="0" w:line="149" w:lineRule="exact"/>
              <w:rPr>
                <w:sz w:val="20"/>
                <w:szCs w:val="20"/>
                <w:color w:val="auto"/>
              </w:rPr>
            </w:pPr>
            <w:r>
              <w:rPr>
                <w:rFonts w:ascii="Arial" w:cs="Arial" w:eastAsia="Arial" w:hAnsi="Arial"/>
                <w:sz w:val="14"/>
                <w:szCs w:val="14"/>
                <w:color w:val="auto"/>
                <w:w w:val="94"/>
              </w:rPr>
              <w:t>Loan Retired</w:t>
            </w:r>
          </w:p>
        </w:tc>
        <w:tc>
          <w:tcPr>
            <w:tcW w:w="3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780" w:type="dxa"/>
            <w:vAlign w:val="bottom"/>
            <w:shd w:val="clear" w:color="auto" w:fill="CCEEFF"/>
          </w:tcPr>
          <w:p>
            <w:pPr>
              <w:spacing w:after="0"/>
              <w:rPr>
                <w:sz w:val="14"/>
                <w:szCs w:val="14"/>
                <w:color w:val="auto"/>
              </w:rPr>
            </w:pPr>
          </w:p>
        </w:tc>
        <w:tc>
          <w:tcPr>
            <w:tcW w:w="15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ind w:left="200"/>
              <w:spacing w:after="0"/>
              <w:rPr>
                <w:sz w:val="20"/>
                <w:szCs w:val="20"/>
                <w:color w:val="auto"/>
              </w:rPr>
            </w:pPr>
            <w:r>
              <w:rPr>
                <w:rFonts w:ascii="Arial" w:cs="Arial" w:eastAsia="Arial" w:hAnsi="Arial"/>
                <w:sz w:val="14"/>
                <w:szCs w:val="14"/>
                <w:color w:val="auto"/>
              </w:rPr>
              <w:t>and Drugs)</w:t>
            </w:r>
          </w:p>
        </w:tc>
        <w:tc>
          <w:tcPr>
            <w:tcW w:w="1120" w:type="dxa"/>
            <w:vAlign w:val="bottom"/>
            <w:gridSpan w:val="2"/>
            <w:shd w:val="clear" w:color="auto" w:fill="CCEEFF"/>
          </w:tcPr>
          <w:p>
            <w:pPr>
              <w:ind w:left="340"/>
              <w:spacing w:after="0"/>
              <w:rPr>
                <w:sz w:val="20"/>
                <w:szCs w:val="20"/>
                <w:color w:val="auto"/>
              </w:rPr>
            </w:pPr>
            <w:r>
              <w:rPr>
                <w:rFonts w:ascii="Arial" w:cs="Arial" w:eastAsia="Arial" w:hAnsi="Arial"/>
                <w:sz w:val="14"/>
                <w:szCs w:val="14"/>
                <w:color w:val="auto"/>
              </w:rPr>
              <w:t>03/05/2014</w:t>
            </w:r>
          </w:p>
        </w:tc>
        <w:tc>
          <w:tcPr>
            <w:tcW w:w="1380" w:type="dxa"/>
            <w:vAlign w:val="bottom"/>
            <w:gridSpan w:val="3"/>
            <w:shd w:val="clear" w:color="auto" w:fill="CCEEFF"/>
          </w:tcPr>
          <w:p>
            <w:pPr>
              <w:ind w:left="340"/>
              <w:spacing w:after="0"/>
              <w:rPr>
                <w:sz w:val="20"/>
                <w:szCs w:val="20"/>
                <w:color w:val="auto"/>
              </w:rPr>
            </w:pPr>
            <w:r>
              <w:rPr>
                <w:rFonts w:ascii="Arial" w:cs="Arial" w:eastAsia="Arial" w:hAnsi="Arial"/>
                <w:sz w:val="14"/>
                <w:szCs w:val="14"/>
                <w:color w:val="auto"/>
              </w:rPr>
              <w:t>Loan</w:t>
            </w:r>
          </w:p>
        </w:tc>
        <w:tc>
          <w:tcPr>
            <w:tcW w:w="1360" w:type="dxa"/>
            <w:vAlign w:val="bottom"/>
            <w:gridSpan w:val="2"/>
            <w:shd w:val="clear" w:color="auto" w:fill="CCEEFF"/>
          </w:tcPr>
          <w:p>
            <w:pPr>
              <w:jc w:val="right"/>
              <w:ind w:right="400"/>
              <w:spacing w:after="0"/>
              <w:rPr>
                <w:sz w:val="20"/>
                <w:szCs w:val="20"/>
                <w:color w:val="auto"/>
              </w:rPr>
            </w:pPr>
            <w:r>
              <w:rPr>
                <w:rFonts w:ascii="Arial" w:cs="Arial" w:eastAsia="Arial" w:hAnsi="Arial"/>
                <w:sz w:val="14"/>
                <w:szCs w:val="14"/>
                <w:color w:val="auto"/>
              </w:rPr>
              <w:t>4.00%</w:t>
            </w:r>
          </w:p>
        </w:tc>
        <w:tc>
          <w:tcPr>
            <w:tcW w:w="134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3/7/2018</w:t>
            </w: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4"/>
                <w:szCs w:val="14"/>
                <w:color w:val="auto"/>
              </w:rPr>
              <w:t>972,500</w:t>
            </w:r>
          </w:p>
        </w:tc>
        <w:tc>
          <w:tcPr>
            <w:tcW w:w="1080" w:type="dxa"/>
            <w:vAlign w:val="bottom"/>
            <w:gridSpan w:val="2"/>
            <w:shd w:val="clear" w:color="auto" w:fill="CCEEFF"/>
          </w:tcPr>
          <w:p>
            <w:pPr>
              <w:jc w:val="right"/>
              <w:ind w:right="460"/>
              <w:spacing w:after="0"/>
              <w:rPr>
                <w:sz w:val="20"/>
                <w:szCs w:val="20"/>
                <w:color w:val="auto"/>
              </w:rPr>
            </w:pPr>
            <w:r>
              <w:rPr>
                <w:rFonts w:ascii="Arial" w:cs="Arial" w:eastAsia="Arial" w:hAnsi="Arial"/>
                <w:sz w:val="14"/>
                <w:szCs w:val="14"/>
                <w:color w:val="auto"/>
              </w:rPr>
              <w:t>972,500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972,656</w:t>
            </w:r>
          </w:p>
        </w:tc>
        <w:tc>
          <w:tcPr>
            <w:tcW w:w="0" w:type="dxa"/>
            <w:vAlign w:val="bottom"/>
          </w:tcPr>
          <w:p>
            <w:pPr>
              <w:spacing w:after="0"/>
              <w:rPr>
                <w:sz w:val="1"/>
                <w:szCs w:val="1"/>
                <w:color w:val="auto"/>
              </w:rPr>
            </w:pPr>
          </w:p>
        </w:tc>
      </w:tr>
      <w:tr>
        <w:trPr>
          <w:trHeight w:val="130"/>
        </w:trPr>
        <w:tc>
          <w:tcPr>
            <w:tcW w:w="2320" w:type="dxa"/>
            <w:vAlign w:val="bottom"/>
            <w:gridSpan w:val="2"/>
          </w:tcPr>
          <w:p>
            <w:pPr>
              <w:spacing w:after="0" w:line="130" w:lineRule="exact"/>
              <w:rPr>
                <w:sz w:val="20"/>
                <w:szCs w:val="20"/>
                <w:color w:val="auto"/>
              </w:rPr>
            </w:pPr>
            <w:r>
              <w:rPr>
                <w:rFonts w:ascii="Arial" w:cs="Arial" w:eastAsia="Arial" w:hAnsi="Arial"/>
                <w:sz w:val="14"/>
                <w:szCs w:val="14"/>
                <w:color w:val="auto"/>
              </w:rPr>
              <w:t>JFB Firth Rixson Inc.</w:t>
            </w:r>
          </w:p>
        </w:tc>
        <w:tc>
          <w:tcPr>
            <w:tcW w:w="1040" w:type="dxa"/>
            <w:vAlign w:val="bottom"/>
            <w:gridSpan w:val="2"/>
          </w:tcPr>
          <w:p>
            <w:pPr>
              <w:ind w:left="200"/>
              <w:spacing w:after="0" w:line="130" w:lineRule="exact"/>
              <w:rPr>
                <w:sz w:val="20"/>
                <w:szCs w:val="20"/>
                <w:color w:val="auto"/>
              </w:rPr>
            </w:pPr>
            <w:r>
              <w:rPr>
                <w:rFonts w:ascii="Arial" w:cs="Arial" w:eastAsia="Arial" w:hAnsi="Arial"/>
                <w:sz w:val="14"/>
                <w:szCs w:val="14"/>
                <w:color w:val="auto"/>
              </w:rPr>
              <w:t>Industrial</w:t>
            </w:r>
          </w:p>
        </w:tc>
        <w:tc>
          <w:tcPr>
            <w:tcW w:w="1120" w:type="dxa"/>
            <w:vAlign w:val="bottom"/>
            <w:gridSpan w:val="2"/>
          </w:tcPr>
          <w:p>
            <w:pPr>
              <w:ind w:left="340"/>
              <w:spacing w:after="0" w:line="130" w:lineRule="exact"/>
              <w:rPr>
                <w:sz w:val="20"/>
                <w:szCs w:val="20"/>
                <w:color w:val="auto"/>
              </w:rPr>
            </w:pPr>
            <w:r>
              <w:rPr>
                <w:rFonts w:ascii="Arial" w:cs="Arial" w:eastAsia="Arial" w:hAnsi="Arial"/>
                <w:sz w:val="14"/>
                <w:szCs w:val="14"/>
                <w:color w:val="auto"/>
              </w:rPr>
              <w:t>2013</w:t>
            </w:r>
          </w:p>
        </w:tc>
        <w:tc>
          <w:tcPr>
            <w:tcW w:w="1380" w:type="dxa"/>
            <w:vAlign w:val="bottom"/>
            <w:gridSpan w:val="3"/>
          </w:tcPr>
          <w:p>
            <w:pPr>
              <w:ind w:left="340"/>
              <w:spacing w:after="0" w:line="130" w:lineRule="exact"/>
              <w:rPr>
                <w:sz w:val="20"/>
                <w:szCs w:val="20"/>
                <w:color w:val="auto"/>
              </w:rPr>
            </w:pPr>
            <w:r>
              <w:rPr>
                <w:rFonts w:ascii="Arial" w:cs="Arial" w:eastAsia="Arial" w:hAnsi="Arial"/>
                <w:sz w:val="14"/>
                <w:szCs w:val="14"/>
                <w:color w:val="auto"/>
              </w:rPr>
              <w:t>Loan</w:t>
            </w:r>
          </w:p>
        </w:tc>
        <w:tc>
          <w:tcPr>
            <w:tcW w:w="1360" w:type="dxa"/>
            <w:vAlign w:val="bottom"/>
            <w:gridSpan w:val="2"/>
          </w:tcPr>
          <w:p>
            <w:pPr>
              <w:jc w:val="right"/>
              <w:ind w:right="400"/>
              <w:spacing w:after="0" w:line="130" w:lineRule="exact"/>
              <w:rPr>
                <w:sz w:val="20"/>
                <w:szCs w:val="20"/>
                <w:color w:val="auto"/>
              </w:rPr>
            </w:pPr>
            <w:r>
              <w:rPr>
                <w:rFonts w:ascii="Arial" w:cs="Arial" w:eastAsia="Arial" w:hAnsi="Arial"/>
                <w:sz w:val="14"/>
                <w:szCs w:val="14"/>
                <w:color w:val="auto"/>
              </w:rPr>
              <w:t>4.25%</w:t>
            </w:r>
          </w:p>
        </w:tc>
        <w:tc>
          <w:tcPr>
            <w:tcW w:w="1340" w:type="dxa"/>
            <w:vAlign w:val="bottom"/>
            <w:gridSpan w:val="2"/>
          </w:tcPr>
          <w:p>
            <w:pPr>
              <w:jc w:val="right"/>
              <w:ind w:right="440"/>
              <w:spacing w:after="0" w:line="130" w:lineRule="exact"/>
              <w:rPr>
                <w:sz w:val="20"/>
                <w:szCs w:val="20"/>
                <w:color w:val="auto"/>
              </w:rPr>
            </w:pPr>
            <w:r>
              <w:rPr>
                <w:rFonts w:ascii="Arial" w:cs="Arial" w:eastAsia="Arial" w:hAnsi="Arial"/>
                <w:sz w:val="14"/>
                <w:szCs w:val="14"/>
                <w:color w:val="auto"/>
              </w:rPr>
              <w:t>6/30/2017</w:t>
            </w:r>
          </w:p>
        </w:tc>
        <w:tc>
          <w:tcPr>
            <w:tcW w:w="1060" w:type="dxa"/>
            <w:vAlign w:val="bottom"/>
            <w:gridSpan w:val="2"/>
          </w:tcPr>
          <w:p>
            <w:pPr>
              <w:jc w:val="right"/>
              <w:ind w:right="440"/>
              <w:spacing w:after="0" w:line="130" w:lineRule="exact"/>
              <w:rPr>
                <w:sz w:val="20"/>
                <w:szCs w:val="20"/>
                <w:color w:val="auto"/>
              </w:rPr>
            </w:pPr>
            <w:r>
              <w:rPr>
                <w:rFonts w:ascii="Arial" w:cs="Arial" w:eastAsia="Arial" w:hAnsi="Arial"/>
                <w:sz w:val="14"/>
                <w:szCs w:val="14"/>
                <w:color w:val="auto"/>
                <w:w w:val="96"/>
              </w:rPr>
              <w:t>2,564,311</w:t>
            </w:r>
          </w:p>
        </w:tc>
        <w:tc>
          <w:tcPr>
            <w:tcW w:w="620" w:type="dxa"/>
            <w:vAlign w:val="bottom"/>
          </w:tcPr>
          <w:p>
            <w:pPr>
              <w:jc w:val="right"/>
              <w:spacing w:after="0" w:line="130" w:lineRule="exact"/>
              <w:rPr>
                <w:sz w:val="20"/>
                <w:szCs w:val="20"/>
                <w:color w:val="auto"/>
              </w:rPr>
            </w:pPr>
            <w:r>
              <w:rPr>
                <w:rFonts w:ascii="Arial" w:cs="Arial" w:eastAsia="Arial" w:hAnsi="Arial"/>
                <w:sz w:val="14"/>
                <w:szCs w:val="14"/>
                <w:color w:val="auto"/>
                <w:w w:val="96"/>
              </w:rPr>
              <w:t>2,554,534</w:t>
            </w:r>
          </w:p>
        </w:tc>
        <w:tc>
          <w:tcPr>
            <w:tcW w:w="460" w:type="dxa"/>
            <w:vAlign w:val="bottom"/>
          </w:tcPr>
          <w:p>
            <w:pPr>
              <w:spacing w:after="0"/>
              <w:rPr>
                <w:sz w:val="11"/>
                <w:szCs w:val="11"/>
                <w:color w:val="auto"/>
              </w:rPr>
            </w:pPr>
          </w:p>
        </w:tc>
        <w:tc>
          <w:tcPr>
            <w:tcW w:w="720" w:type="dxa"/>
            <w:vAlign w:val="bottom"/>
            <w:gridSpan w:val="2"/>
          </w:tcPr>
          <w:p>
            <w:pPr>
              <w:jc w:val="right"/>
              <w:ind w:right="80"/>
              <w:spacing w:after="0" w:line="130" w:lineRule="exact"/>
              <w:rPr>
                <w:sz w:val="20"/>
                <w:szCs w:val="20"/>
                <w:color w:val="auto"/>
              </w:rPr>
            </w:pPr>
            <w:r>
              <w:rPr>
                <w:rFonts w:ascii="Arial" w:cs="Arial" w:eastAsia="Arial" w:hAnsi="Arial"/>
                <w:sz w:val="14"/>
                <w:szCs w:val="14"/>
                <w:color w:val="auto"/>
                <w:w w:val="99"/>
              </w:rPr>
              <w:t>2,568,054</w:t>
            </w:r>
          </w:p>
        </w:tc>
        <w:tc>
          <w:tcPr>
            <w:tcW w:w="0" w:type="dxa"/>
            <w:vAlign w:val="bottom"/>
          </w:tcPr>
          <w:p>
            <w:pPr>
              <w:spacing w:after="0"/>
              <w:rPr>
                <w:sz w:val="1"/>
                <w:szCs w:val="1"/>
                <w:color w:val="auto"/>
              </w:rPr>
            </w:pPr>
          </w:p>
        </w:tc>
      </w:tr>
      <w:tr>
        <w:trPr>
          <w:trHeight w:val="182"/>
        </w:trPr>
        <w:tc>
          <w:tcPr>
            <w:tcW w:w="7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040" w:type="dxa"/>
            <w:vAlign w:val="bottom"/>
            <w:gridSpan w:val="2"/>
          </w:tcPr>
          <w:p>
            <w:pPr>
              <w:ind w:left="200"/>
              <w:spacing w:after="0"/>
              <w:rPr>
                <w:sz w:val="20"/>
                <w:szCs w:val="20"/>
                <w:color w:val="auto"/>
              </w:rPr>
            </w:pPr>
            <w:r>
              <w:rPr>
                <w:rFonts w:ascii="Arial" w:cs="Arial" w:eastAsia="Arial" w:hAnsi="Arial"/>
                <w:sz w:val="14"/>
                <w:szCs w:val="14"/>
                <w:color w:val="auto"/>
              </w:rPr>
              <w:t>Equipment</w:t>
            </w:r>
          </w:p>
        </w:tc>
        <w:tc>
          <w:tcPr>
            <w:tcW w:w="1120" w:type="dxa"/>
            <w:vAlign w:val="bottom"/>
            <w:gridSpan w:val="2"/>
          </w:tcPr>
          <w:p>
            <w:pPr>
              <w:ind w:left="340"/>
              <w:spacing w:after="0"/>
              <w:rPr>
                <w:sz w:val="20"/>
                <w:szCs w:val="20"/>
                <w:color w:val="auto"/>
              </w:rPr>
            </w:pPr>
            <w:r>
              <w:rPr>
                <w:rFonts w:ascii="Arial" w:cs="Arial" w:eastAsia="Arial" w:hAnsi="Arial"/>
                <w:sz w:val="14"/>
                <w:szCs w:val="14"/>
                <w:color w:val="auto"/>
                <w:w w:val="92"/>
              </w:rPr>
              <w:t>Replacement</w:t>
            </w:r>
          </w:p>
        </w:tc>
        <w:tc>
          <w:tcPr>
            <w:tcW w:w="3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0" w:gutter="0" w:footer="0" w:header="0"/>
        </w:sectPr>
      </w:pPr>
    </w:p>
    <w:bookmarkStart w:id="33" w:name="page34"/>
    <w:bookmarkEnd w:id="3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ind w:left="200"/>
              <w:spacing w:after="0"/>
              <w:rPr>
                <w:sz w:val="20"/>
                <w:szCs w:val="20"/>
                <w:color w:val="auto"/>
              </w:rPr>
            </w:pPr>
            <w:r>
              <w:rPr>
                <w:rFonts w:ascii="Arial" w:cs="Arial" w:eastAsia="Arial" w:hAnsi="Arial"/>
                <w:sz w:val="14"/>
                <w:szCs w:val="14"/>
                <w:color w:val="auto"/>
              </w:rPr>
              <w:t>Dollar Term</w:t>
            </w: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49"/>
        </w:trPr>
        <w:tc>
          <w:tcPr>
            <w:tcW w:w="22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120" w:type="dxa"/>
            <w:vAlign w:val="bottom"/>
          </w:tcPr>
          <w:p>
            <w:pPr>
              <w:ind w:left="200"/>
              <w:spacing w:after="0" w:line="149" w:lineRule="exact"/>
              <w:rPr>
                <w:sz w:val="20"/>
                <w:szCs w:val="20"/>
                <w:color w:val="auto"/>
              </w:rPr>
            </w:pPr>
            <w:r>
              <w:rPr>
                <w:rFonts w:ascii="Arial" w:cs="Arial" w:eastAsia="Arial" w:hAnsi="Arial"/>
                <w:sz w:val="14"/>
                <w:szCs w:val="14"/>
                <w:color w:val="auto"/>
              </w:rPr>
              <w:t>Facility</w:t>
            </w:r>
          </w:p>
        </w:tc>
        <w:tc>
          <w:tcPr>
            <w:tcW w:w="118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920" w:type="dxa"/>
            <w:vAlign w:val="bottom"/>
          </w:tcPr>
          <w:p>
            <w:pPr>
              <w:spacing w:after="0"/>
              <w:rPr>
                <w:sz w:val="12"/>
                <w:szCs w:val="12"/>
                <w:color w:val="auto"/>
              </w:rPr>
            </w:pPr>
          </w:p>
        </w:tc>
      </w:tr>
      <w:tr>
        <w:trPr>
          <w:trHeight w:val="167"/>
        </w:trPr>
        <w:tc>
          <w:tcPr>
            <w:tcW w:w="2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ind w:left="200"/>
              <w:spacing w:after="0"/>
              <w:rPr>
                <w:sz w:val="20"/>
                <w:szCs w:val="20"/>
                <w:color w:val="auto"/>
              </w:rPr>
            </w:pPr>
            <w:r>
              <w:rPr>
                <w:rFonts w:ascii="Arial" w:cs="Arial" w:eastAsia="Arial" w:hAnsi="Arial"/>
                <w:sz w:val="14"/>
                <w:szCs w:val="14"/>
                <w:color w:val="auto"/>
              </w:rPr>
              <w:t>Loan</w:t>
            </w:r>
          </w:p>
        </w:tc>
        <w:tc>
          <w:tcPr>
            <w:tcW w:w="11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30"/>
        </w:trPr>
        <w:tc>
          <w:tcPr>
            <w:tcW w:w="2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Kinetic Concepts, Inc.</w:t>
            </w:r>
          </w:p>
        </w:tc>
        <w:tc>
          <w:tcPr>
            <w:tcW w:w="128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Healthcare</w:t>
            </w:r>
          </w:p>
        </w:tc>
        <w:tc>
          <w:tcPr>
            <w:tcW w:w="11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Dollar Term</w:t>
            </w:r>
          </w:p>
        </w:tc>
        <w:tc>
          <w:tcPr>
            <w:tcW w:w="11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67"/>
        </w:trPr>
        <w:tc>
          <w:tcPr>
            <w:tcW w:w="22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1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D-1 Loan</w:t>
            </w:r>
          </w:p>
        </w:tc>
        <w:tc>
          <w:tcPr>
            <w:tcW w:w="11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13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4.00%</w:t>
            </w:r>
          </w:p>
        </w:tc>
        <w:tc>
          <w:tcPr>
            <w:tcW w:w="11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5/4/2018</w:t>
            </w:r>
          </w:p>
        </w:tc>
        <w:tc>
          <w:tcPr>
            <w:tcW w:w="10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490,057</w:t>
            </w:r>
          </w:p>
        </w:tc>
        <w:tc>
          <w:tcPr>
            <w:tcW w:w="10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475,404</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492,508</w:t>
            </w:r>
          </w:p>
        </w:tc>
      </w:tr>
      <w:tr>
        <w:trPr>
          <w:trHeight w:val="130"/>
        </w:trPr>
        <w:tc>
          <w:tcPr>
            <w:tcW w:w="2220" w:type="dxa"/>
            <w:vAlign w:val="bottom"/>
          </w:tcPr>
          <w:p>
            <w:pPr>
              <w:spacing w:after="0" w:line="130" w:lineRule="exact"/>
              <w:rPr>
                <w:sz w:val="20"/>
                <w:szCs w:val="20"/>
                <w:color w:val="auto"/>
              </w:rPr>
            </w:pPr>
            <w:r>
              <w:rPr>
                <w:rFonts w:ascii="Arial" w:cs="Arial" w:eastAsia="Arial" w:hAnsi="Arial"/>
                <w:sz w:val="14"/>
                <w:szCs w:val="14"/>
                <w:color w:val="auto"/>
              </w:rPr>
              <w:t>La Quinta Intermediate Holdings</w:t>
            </w:r>
          </w:p>
        </w:tc>
        <w:tc>
          <w:tcPr>
            <w:tcW w:w="1280" w:type="dxa"/>
            <w:vAlign w:val="bottom"/>
          </w:tcPr>
          <w:p>
            <w:pPr>
              <w:ind w:left="300"/>
              <w:spacing w:after="0" w:line="130" w:lineRule="exact"/>
              <w:rPr>
                <w:sz w:val="20"/>
                <w:szCs w:val="20"/>
                <w:color w:val="auto"/>
              </w:rPr>
            </w:pPr>
            <w:r>
              <w:rPr>
                <w:rFonts w:ascii="Arial" w:cs="Arial" w:eastAsia="Arial" w:hAnsi="Arial"/>
                <w:sz w:val="14"/>
                <w:szCs w:val="14"/>
                <w:color w:val="auto"/>
              </w:rPr>
              <w:t>Gaming And</w:t>
            </w:r>
          </w:p>
        </w:tc>
        <w:tc>
          <w:tcPr>
            <w:tcW w:w="1120" w:type="dxa"/>
            <w:vAlign w:val="bottom"/>
          </w:tcPr>
          <w:p>
            <w:pPr>
              <w:ind w:left="200"/>
              <w:spacing w:after="0" w:line="130" w:lineRule="exact"/>
              <w:rPr>
                <w:sz w:val="20"/>
                <w:szCs w:val="20"/>
                <w:color w:val="auto"/>
              </w:rPr>
            </w:pPr>
            <w:r>
              <w:rPr>
                <w:rFonts w:ascii="Arial" w:cs="Arial" w:eastAsia="Arial" w:hAnsi="Arial"/>
                <w:sz w:val="14"/>
                <w:szCs w:val="14"/>
                <w:color w:val="auto"/>
              </w:rPr>
              <w:t>Initial Term</w:t>
            </w:r>
          </w:p>
        </w:tc>
        <w:tc>
          <w:tcPr>
            <w:tcW w:w="1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67"/>
        </w:trPr>
        <w:tc>
          <w:tcPr>
            <w:tcW w:w="2220" w:type="dxa"/>
            <w:vAlign w:val="bottom"/>
          </w:tcPr>
          <w:p>
            <w:pPr>
              <w:ind w:left="160"/>
              <w:spacing w:after="0"/>
              <w:rPr>
                <w:sz w:val="20"/>
                <w:szCs w:val="20"/>
                <w:color w:val="auto"/>
              </w:rPr>
            </w:pPr>
            <w:r>
              <w:rPr>
                <w:rFonts w:ascii="Arial" w:cs="Arial" w:eastAsia="Arial" w:hAnsi="Arial"/>
                <w:sz w:val="14"/>
                <w:szCs w:val="14"/>
                <w:color w:val="auto"/>
              </w:rPr>
              <w:t>L.L.C.</w:t>
            </w:r>
          </w:p>
        </w:tc>
        <w:tc>
          <w:tcPr>
            <w:tcW w:w="1280" w:type="dxa"/>
            <w:vAlign w:val="bottom"/>
          </w:tcPr>
          <w:p>
            <w:pPr>
              <w:ind w:left="300"/>
              <w:spacing w:after="0"/>
              <w:rPr>
                <w:sz w:val="20"/>
                <w:szCs w:val="20"/>
                <w:color w:val="auto"/>
              </w:rPr>
            </w:pPr>
            <w:r>
              <w:rPr>
                <w:rFonts w:ascii="Arial" w:cs="Arial" w:eastAsia="Arial" w:hAnsi="Arial"/>
                <w:sz w:val="14"/>
                <w:szCs w:val="14"/>
                <w:color w:val="auto"/>
              </w:rPr>
              <w:t>Hotels</w:t>
            </w:r>
          </w:p>
        </w:tc>
        <w:tc>
          <w:tcPr>
            <w:tcW w:w="1120" w:type="dxa"/>
            <w:vAlign w:val="bottom"/>
          </w:tcPr>
          <w:p>
            <w:pPr>
              <w:ind w:left="200"/>
              <w:spacing w:after="0"/>
              <w:rPr>
                <w:sz w:val="20"/>
                <w:szCs w:val="20"/>
                <w:color w:val="auto"/>
              </w:rPr>
            </w:pPr>
            <w:r>
              <w:rPr>
                <w:rFonts w:ascii="Arial" w:cs="Arial" w:eastAsia="Arial" w:hAnsi="Arial"/>
                <w:sz w:val="14"/>
                <w:szCs w:val="14"/>
                <w:color w:val="auto"/>
              </w:rPr>
              <w:t>Loan</w:t>
            </w:r>
          </w:p>
        </w:tc>
        <w:tc>
          <w:tcPr>
            <w:tcW w:w="1180" w:type="dxa"/>
            <w:vAlign w:val="bottom"/>
          </w:tcPr>
          <w:p>
            <w:pPr>
              <w:ind w:left="200"/>
              <w:spacing w:after="0"/>
              <w:rPr>
                <w:sz w:val="20"/>
                <w:szCs w:val="20"/>
                <w:color w:val="auto"/>
              </w:rPr>
            </w:pPr>
            <w:r>
              <w:rPr>
                <w:rFonts w:ascii="Arial" w:cs="Arial" w:eastAsia="Arial" w:hAnsi="Arial"/>
                <w:sz w:val="14"/>
                <w:szCs w:val="14"/>
                <w:color w:val="auto"/>
              </w:rPr>
              <w:t>Loan</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4.00%</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2/19/2021</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500,000</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500,000</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500,000</w:t>
            </w:r>
          </w:p>
        </w:tc>
      </w:tr>
      <w:tr>
        <w:trPr>
          <w:trHeight w:val="130"/>
        </w:trPr>
        <w:tc>
          <w:tcPr>
            <w:tcW w:w="2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Michaels Stores, Inc.</w:t>
            </w:r>
          </w:p>
        </w:tc>
        <w:tc>
          <w:tcPr>
            <w:tcW w:w="128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Retailers</w:t>
            </w:r>
          </w:p>
        </w:tc>
        <w:tc>
          <w:tcPr>
            <w:tcW w:w="11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Term B</w:t>
            </w:r>
          </w:p>
        </w:tc>
        <w:tc>
          <w:tcPr>
            <w:tcW w:w="11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49"/>
        </w:trPr>
        <w:tc>
          <w:tcPr>
            <w:tcW w:w="2220" w:type="dxa"/>
            <w:vAlign w:val="bottom"/>
            <w:shd w:val="clear" w:color="auto" w:fill="CCEEFF"/>
          </w:tcPr>
          <w:p>
            <w:pPr>
              <w:spacing w:after="0"/>
              <w:rPr>
                <w:sz w:val="12"/>
                <w:szCs w:val="12"/>
                <w:color w:val="auto"/>
              </w:rPr>
            </w:pPr>
          </w:p>
        </w:tc>
        <w:tc>
          <w:tcPr>
            <w:tcW w:w="128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(Except Food</w:t>
            </w:r>
          </w:p>
        </w:tc>
        <w:tc>
          <w:tcPr>
            <w:tcW w:w="1120" w:type="dxa"/>
            <w:vAlign w:val="bottom"/>
            <w:shd w:val="clear" w:color="auto" w:fill="CCEEFF"/>
          </w:tcPr>
          <w:p>
            <w:pPr>
              <w:ind w:left="200"/>
              <w:spacing w:after="0" w:line="149" w:lineRule="exact"/>
              <w:rPr>
                <w:sz w:val="20"/>
                <w:szCs w:val="20"/>
                <w:color w:val="auto"/>
              </w:rPr>
            </w:pPr>
            <w:r>
              <w:rPr>
                <w:rFonts w:ascii="Arial" w:cs="Arial" w:eastAsia="Arial" w:hAnsi="Arial"/>
                <w:sz w:val="14"/>
                <w:szCs w:val="14"/>
                <w:color w:val="auto"/>
              </w:rPr>
              <w:t>Loan</w:t>
            </w:r>
          </w:p>
        </w:tc>
        <w:tc>
          <w:tcPr>
            <w:tcW w:w="118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r>
      <w:tr>
        <w:trPr>
          <w:trHeight w:val="167"/>
        </w:trPr>
        <w:tc>
          <w:tcPr>
            <w:tcW w:w="2220" w:type="dxa"/>
            <w:vAlign w:val="bottom"/>
            <w:shd w:val="clear" w:color="auto" w:fill="CCEEFF"/>
          </w:tcPr>
          <w:p>
            <w:pPr>
              <w:spacing w:after="0"/>
              <w:rPr>
                <w:sz w:val="14"/>
                <w:szCs w:val="14"/>
                <w:color w:val="auto"/>
              </w:rPr>
            </w:pPr>
          </w:p>
        </w:tc>
        <w:tc>
          <w:tcPr>
            <w:tcW w:w="1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and Drugs)</w:t>
            </w:r>
          </w:p>
        </w:tc>
        <w:tc>
          <w:tcPr>
            <w:tcW w:w="1120" w:type="dxa"/>
            <w:vAlign w:val="bottom"/>
            <w:shd w:val="clear" w:color="auto" w:fill="CCEEFF"/>
          </w:tcPr>
          <w:p>
            <w:pPr>
              <w:spacing w:after="0"/>
              <w:rPr>
                <w:sz w:val="14"/>
                <w:szCs w:val="14"/>
                <w:color w:val="auto"/>
              </w:rPr>
            </w:pPr>
          </w:p>
        </w:tc>
        <w:tc>
          <w:tcPr>
            <w:tcW w:w="11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13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3.75%</w:t>
            </w:r>
          </w:p>
        </w:tc>
        <w:tc>
          <w:tcPr>
            <w:tcW w:w="11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1/28/2020</w:t>
            </w:r>
          </w:p>
        </w:tc>
        <w:tc>
          <w:tcPr>
            <w:tcW w:w="10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496,250</w:t>
            </w:r>
          </w:p>
        </w:tc>
        <w:tc>
          <w:tcPr>
            <w:tcW w:w="10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496,250</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497,302</w:t>
            </w:r>
          </w:p>
        </w:tc>
      </w:tr>
      <w:tr>
        <w:trPr>
          <w:trHeight w:val="130"/>
        </w:trPr>
        <w:tc>
          <w:tcPr>
            <w:tcW w:w="2220" w:type="dxa"/>
            <w:vAlign w:val="bottom"/>
          </w:tcPr>
          <w:p>
            <w:pPr>
              <w:spacing w:after="0" w:line="130" w:lineRule="exact"/>
              <w:rPr>
                <w:sz w:val="20"/>
                <w:szCs w:val="20"/>
                <w:color w:val="auto"/>
              </w:rPr>
            </w:pPr>
            <w:r>
              <w:rPr>
                <w:rFonts w:ascii="Arial" w:cs="Arial" w:eastAsia="Arial" w:hAnsi="Arial"/>
                <w:sz w:val="14"/>
                <w:szCs w:val="14"/>
                <w:color w:val="auto"/>
              </w:rPr>
              <w:t>Microsemi Corporation</w:t>
            </w:r>
          </w:p>
        </w:tc>
        <w:tc>
          <w:tcPr>
            <w:tcW w:w="1280" w:type="dxa"/>
            <w:vAlign w:val="bottom"/>
          </w:tcPr>
          <w:p>
            <w:pPr>
              <w:ind w:left="300"/>
              <w:spacing w:after="0" w:line="130" w:lineRule="exact"/>
              <w:rPr>
                <w:sz w:val="20"/>
                <w:szCs w:val="20"/>
                <w:color w:val="auto"/>
              </w:rPr>
            </w:pPr>
            <w:r>
              <w:rPr>
                <w:rFonts w:ascii="Arial" w:cs="Arial" w:eastAsia="Arial" w:hAnsi="Arial"/>
                <w:sz w:val="14"/>
                <w:szCs w:val="14"/>
                <w:color w:val="auto"/>
              </w:rPr>
              <w:t>Electronics/</w:t>
            </w:r>
          </w:p>
        </w:tc>
        <w:tc>
          <w:tcPr>
            <w:tcW w:w="1120" w:type="dxa"/>
            <w:vAlign w:val="bottom"/>
          </w:tcPr>
          <w:p>
            <w:pPr>
              <w:ind w:left="200"/>
              <w:spacing w:after="0" w:line="130" w:lineRule="exact"/>
              <w:rPr>
                <w:sz w:val="20"/>
                <w:szCs w:val="20"/>
                <w:color w:val="auto"/>
              </w:rPr>
            </w:pPr>
            <w:r>
              <w:rPr>
                <w:rFonts w:ascii="Arial" w:cs="Arial" w:eastAsia="Arial" w:hAnsi="Arial"/>
                <w:sz w:val="14"/>
                <w:szCs w:val="14"/>
                <w:color w:val="auto"/>
              </w:rPr>
              <w:t>Incremental</w:t>
            </w:r>
          </w:p>
        </w:tc>
        <w:tc>
          <w:tcPr>
            <w:tcW w:w="118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920" w:type="dxa"/>
            <w:vAlign w:val="bottom"/>
          </w:tcPr>
          <w:p>
            <w:pPr>
              <w:spacing w:after="0"/>
              <w:rPr>
                <w:sz w:val="11"/>
                <w:szCs w:val="11"/>
                <w:color w:val="auto"/>
              </w:rPr>
            </w:pPr>
          </w:p>
        </w:tc>
      </w:tr>
      <w:tr>
        <w:trPr>
          <w:trHeight w:val="167"/>
        </w:trPr>
        <w:tc>
          <w:tcPr>
            <w:tcW w:w="2220" w:type="dxa"/>
            <w:vAlign w:val="bottom"/>
          </w:tcPr>
          <w:p>
            <w:pPr>
              <w:spacing w:after="0"/>
              <w:rPr>
                <w:sz w:val="14"/>
                <w:szCs w:val="14"/>
                <w:color w:val="auto"/>
              </w:rPr>
            </w:pPr>
          </w:p>
        </w:tc>
        <w:tc>
          <w:tcPr>
            <w:tcW w:w="1280" w:type="dxa"/>
            <w:vAlign w:val="bottom"/>
          </w:tcPr>
          <w:p>
            <w:pPr>
              <w:ind w:left="300"/>
              <w:spacing w:after="0"/>
              <w:rPr>
                <w:sz w:val="20"/>
                <w:szCs w:val="20"/>
                <w:color w:val="auto"/>
              </w:rPr>
            </w:pPr>
            <w:r>
              <w:rPr>
                <w:rFonts w:ascii="Arial" w:cs="Arial" w:eastAsia="Arial" w:hAnsi="Arial"/>
                <w:sz w:val="14"/>
                <w:szCs w:val="14"/>
                <w:color w:val="auto"/>
              </w:rPr>
              <w:t>Electric</w:t>
            </w:r>
          </w:p>
        </w:tc>
        <w:tc>
          <w:tcPr>
            <w:tcW w:w="1120" w:type="dxa"/>
            <w:vAlign w:val="bottom"/>
          </w:tcPr>
          <w:p>
            <w:pPr>
              <w:ind w:left="200"/>
              <w:spacing w:after="0"/>
              <w:rPr>
                <w:sz w:val="20"/>
                <w:szCs w:val="20"/>
                <w:color w:val="auto"/>
              </w:rPr>
            </w:pPr>
            <w:r>
              <w:rPr>
                <w:rFonts w:ascii="Arial" w:cs="Arial" w:eastAsia="Arial" w:hAnsi="Arial"/>
                <w:sz w:val="14"/>
                <w:szCs w:val="14"/>
                <w:color w:val="auto"/>
              </w:rPr>
              <w:t>Term Loan</w:t>
            </w:r>
          </w:p>
        </w:tc>
        <w:tc>
          <w:tcPr>
            <w:tcW w:w="1180" w:type="dxa"/>
            <w:vAlign w:val="bottom"/>
          </w:tcPr>
          <w:p>
            <w:pPr>
              <w:ind w:left="200"/>
              <w:spacing w:after="0"/>
              <w:rPr>
                <w:sz w:val="20"/>
                <w:szCs w:val="20"/>
                <w:color w:val="auto"/>
              </w:rPr>
            </w:pPr>
            <w:r>
              <w:rPr>
                <w:rFonts w:ascii="Arial" w:cs="Arial" w:eastAsia="Arial" w:hAnsi="Arial"/>
                <w:sz w:val="14"/>
                <w:szCs w:val="14"/>
                <w:color w:val="auto"/>
              </w:rPr>
              <w:t>Loan</w:t>
            </w:r>
          </w:p>
        </w:tc>
        <w:tc>
          <w:tcPr>
            <w:tcW w:w="1380" w:type="dxa"/>
            <w:vAlign w:val="bottom"/>
          </w:tcPr>
          <w:p>
            <w:pPr>
              <w:jc w:val="right"/>
              <w:ind w:right="288"/>
              <w:spacing w:after="0"/>
              <w:rPr>
                <w:sz w:val="20"/>
                <w:szCs w:val="20"/>
                <w:color w:val="auto"/>
              </w:rPr>
            </w:pPr>
            <w:r>
              <w:rPr>
                <w:rFonts w:ascii="Arial" w:cs="Arial" w:eastAsia="Arial" w:hAnsi="Arial"/>
                <w:sz w:val="14"/>
                <w:szCs w:val="14"/>
                <w:color w:val="auto"/>
              </w:rPr>
              <w:t>3.75%</w:t>
            </w:r>
          </w:p>
        </w:tc>
        <w:tc>
          <w:tcPr>
            <w:tcW w:w="1180" w:type="dxa"/>
            <w:vAlign w:val="bottom"/>
          </w:tcPr>
          <w:p>
            <w:pPr>
              <w:jc w:val="right"/>
              <w:ind w:right="168"/>
              <w:spacing w:after="0"/>
              <w:rPr>
                <w:sz w:val="20"/>
                <w:szCs w:val="20"/>
                <w:color w:val="auto"/>
              </w:rPr>
            </w:pPr>
            <w:r>
              <w:rPr>
                <w:rFonts w:ascii="Arial" w:cs="Arial" w:eastAsia="Arial" w:hAnsi="Arial"/>
                <w:sz w:val="14"/>
                <w:szCs w:val="14"/>
                <w:color w:val="auto"/>
              </w:rPr>
              <w:t>2/19/2020</w:t>
            </w:r>
          </w:p>
        </w:tc>
        <w:tc>
          <w:tcPr>
            <w:tcW w:w="1060" w:type="dxa"/>
            <w:vAlign w:val="bottom"/>
          </w:tcPr>
          <w:p>
            <w:pPr>
              <w:jc w:val="right"/>
              <w:ind w:right="168"/>
              <w:spacing w:after="0"/>
              <w:rPr>
                <w:sz w:val="20"/>
                <w:szCs w:val="20"/>
                <w:color w:val="auto"/>
              </w:rPr>
            </w:pPr>
            <w:r>
              <w:rPr>
                <w:rFonts w:ascii="Arial" w:cs="Arial" w:eastAsia="Arial" w:hAnsi="Arial"/>
                <w:sz w:val="14"/>
                <w:szCs w:val="14"/>
                <w:color w:val="auto"/>
              </w:rPr>
              <w:t>498,750</w:t>
            </w:r>
          </w:p>
        </w:tc>
        <w:tc>
          <w:tcPr>
            <w:tcW w:w="1080" w:type="dxa"/>
            <w:vAlign w:val="bottom"/>
          </w:tcPr>
          <w:p>
            <w:pPr>
              <w:jc w:val="right"/>
              <w:ind w:right="188"/>
              <w:spacing w:after="0"/>
              <w:rPr>
                <w:sz w:val="20"/>
                <w:szCs w:val="20"/>
                <w:color w:val="auto"/>
              </w:rPr>
            </w:pPr>
            <w:r>
              <w:rPr>
                <w:rFonts w:ascii="Arial" w:cs="Arial" w:eastAsia="Arial" w:hAnsi="Arial"/>
                <w:sz w:val="14"/>
                <w:szCs w:val="14"/>
                <w:color w:val="auto"/>
              </w:rPr>
              <w:t>498,750</w:t>
            </w:r>
          </w:p>
        </w:tc>
        <w:tc>
          <w:tcPr>
            <w:tcW w:w="920" w:type="dxa"/>
            <w:vAlign w:val="bottom"/>
          </w:tcPr>
          <w:p>
            <w:pPr>
              <w:jc w:val="right"/>
              <w:ind w:right="8"/>
              <w:spacing w:after="0"/>
              <w:rPr>
                <w:sz w:val="20"/>
                <w:szCs w:val="20"/>
                <w:color w:val="auto"/>
              </w:rPr>
            </w:pPr>
            <w:r>
              <w:rPr>
                <w:rFonts w:ascii="Arial" w:cs="Arial" w:eastAsia="Arial" w:hAnsi="Arial"/>
                <w:sz w:val="14"/>
                <w:szCs w:val="14"/>
                <w:color w:val="auto"/>
              </w:rPr>
              <w:t>499,373</w:t>
            </w:r>
          </w:p>
        </w:tc>
      </w:tr>
      <w:tr>
        <w:trPr>
          <w:trHeight w:val="130"/>
        </w:trPr>
        <w:tc>
          <w:tcPr>
            <w:tcW w:w="222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Microsemi Corporation</w:t>
            </w:r>
          </w:p>
        </w:tc>
        <w:tc>
          <w:tcPr>
            <w:tcW w:w="128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rPr>
              <w:t>Electronics/</w:t>
            </w:r>
          </w:p>
        </w:tc>
        <w:tc>
          <w:tcPr>
            <w:tcW w:w="1120" w:type="dxa"/>
            <w:vAlign w:val="bottom"/>
            <w:shd w:val="clear" w:color="auto" w:fill="CCEEFF"/>
          </w:tcPr>
          <w:p>
            <w:pPr>
              <w:ind w:left="200"/>
              <w:spacing w:after="0" w:line="130" w:lineRule="exact"/>
              <w:rPr>
                <w:sz w:val="20"/>
                <w:szCs w:val="20"/>
                <w:color w:val="auto"/>
              </w:rPr>
            </w:pPr>
            <w:r>
              <w:rPr>
                <w:rFonts w:ascii="Arial" w:cs="Arial" w:eastAsia="Arial" w:hAnsi="Arial"/>
                <w:sz w:val="14"/>
                <w:szCs w:val="14"/>
                <w:color w:val="auto"/>
              </w:rPr>
              <w:t>Term Loan</w:t>
            </w:r>
          </w:p>
        </w:tc>
        <w:tc>
          <w:tcPr>
            <w:tcW w:w="1180" w:type="dxa"/>
            <w:vAlign w:val="bottom"/>
            <w:shd w:val="clear" w:color="auto" w:fill="CCEEFF"/>
          </w:tcPr>
          <w:p>
            <w:pPr>
              <w:spacing w:after="0"/>
              <w:rPr>
                <w:sz w:val="11"/>
                <w:szCs w:val="11"/>
                <w:color w:val="auto"/>
              </w:rPr>
            </w:pPr>
          </w:p>
        </w:tc>
        <w:tc>
          <w:tcPr>
            <w:tcW w:w="13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106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r>
      <w:tr>
        <w:trPr>
          <w:trHeight w:val="167"/>
        </w:trPr>
        <w:tc>
          <w:tcPr>
            <w:tcW w:w="2220" w:type="dxa"/>
            <w:vAlign w:val="bottom"/>
            <w:shd w:val="clear" w:color="auto" w:fill="CCEEFF"/>
          </w:tcPr>
          <w:p>
            <w:pPr>
              <w:spacing w:after="0"/>
              <w:rPr>
                <w:sz w:val="14"/>
                <w:szCs w:val="14"/>
                <w:color w:val="auto"/>
              </w:rPr>
            </w:pPr>
          </w:p>
        </w:tc>
        <w:tc>
          <w:tcPr>
            <w:tcW w:w="1280" w:type="dxa"/>
            <w:vAlign w:val="bottom"/>
            <w:shd w:val="clear" w:color="auto" w:fill="CCEEFF"/>
          </w:tcPr>
          <w:p>
            <w:pPr>
              <w:ind w:left="300"/>
              <w:spacing w:after="0"/>
              <w:rPr>
                <w:sz w:val="20"/>
                <w:szCs w:val="20"/>
                <w:color w:val="auto"/>
              </w:rPr>
            </w:pPr>
            <w:r>
              <w:rPr>
                <w:rFonts w:ascii="Arial" w:cs="Arial" w:eastAsia="Arial" w:hAnsi="Arial"/>
                <w:sz w:val="14"/>
                <w:szCs w:val="14"/>
                <w:color w:val="auto"/>
              </w:rPr>
              <w:t>Electric</w:t>
            </w:r>
          </w:p>
        </w:tc>
        <w:tc>
          <w:tcPr>
            <w:tcW w:w="1120" w:type="dxa"/>
            <w:vAlign w:val="bottom"/>
            <w:shd w:val="clear" w:color="auto" w:fill="CCEEFF"/>
          </w:tcPr>
          <w:p>
            <w:pPr>
              <w:spacing w:after="0"/>
              <w:rPr>
                <w:sz w:val="14"/>
                <w:szCs w:val="14"/>
                <w:color w:val="auto"/>
              </w:rPr>
            </w:pPr>
          </w:p>
        </w:tc>
        <w:tc>
          <w:tcPr>
            <w:tcW w:w="1180" w:type="dxa"/>
            <w:vAlign w:val="bottom"/>
            <w:shd w:val="clear" w:color="auto" w:fill="CCEEFF"/>
          </w:tcPr>
          <w:p>
            <w:pPr>
              <w:ind w:left="200"/>
              <w:spacing w:after="0"/>
              <w:rPr>
                <w:sz w:val="20"/>
                <w:szCs w:val="20"/>
                <w:color w:val="auto"/>
              </w:rPr>
            </w:pPr>
            <w:r>
              <w:rPr>
                <w:rFonts w:ascii="Arial" w:cs="Arial" w:eastAsia="Arial" w:hAnsi="Arial"/>
                <w:sz w:val="14"/>
                <w:szCs w:val="14"/>
                <w:color w:val="auto"/>
              </w:rPr>
              <w:t>Loan</w:t>
            </w:r>
          </w:p>
        </w:tc>
        <w:tc>
          <w:tcPr>
            <w:tcW w:w="1380" w:type="dxa"/>
            <w:vAlign w:val="bottom"/>
            <w:shd w:val="clear" w:color="auto" w:fill="CCEEFF"/>
          </w:tcPr>
          <w:p>
            <w:pPr>
              <w:jc w:val="right"/>
              <w:ind w:right="288"/>
              <w:spacing w:after="0"/>
              <w:rPr>
                <w:sz w:val="20"/>
                <w:szCs w:val="20"/>
                <w:color w:val="auto"/>
              </w:rPr>
            </w:pPr>
            <w:r>
              <w:rPr>
                <w:rFonts w:ascii="Arial" w:cs="Arial" w:eastAsia="Arial" w:hAnsi="Arial"/>
                <w:sz w:val="14"/>
                <w:szCs w:val="14"/>
                <w:color w:val="auto"/>
              </w:rPr>
              <w:t>3.50%</w:t>
            </w:r>
          </w:p>
        </w:tc>
        <w:tc>
          <w:tcPr>
            <w:tcW w:w="118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2/19/2020</w:t>
            </w:r>
          </w:p>
        </w:tc>
        <w:tc>
          <w:tcPr>
            <w:tcW w:w="1060" w:type="dxa"/>
            <w:vAlign w:val="bottom"/>
            <w:shd w:val="clear" w:color="auto" w:fill="CCEEFF"/>
          </w:tcPr>
          <w:p>
            <w:pPr>
              <w:jc w:val="right"/>
              <w:ind w:right="168"/>
              <w:spacing w:after="0"/>
              <w:rPr>
                <w:sz w:val="20"/>
                <w:szCs w:val="20"/>
                <w:color w:val="auto"/>
              </w:rPr>
            </w:pPr>
            <w:r>
              <w:rPr>
                <w:rFonts w:ascii="Arial" w:cs="Arial" w:eastAsia="Arial" w:hAnsi="Arial"/>
                <w:sz w:val="14"/>
                <w:szCs w:val="14"/>
                <w:color w:val="auto"/>
              </w:rPr>
              <w:t>2,393,981</w:t>
            </w:r>
          </w:p>
        </w:tc>
        <w:tc>
          <w:tcPr>
            <w:tcW w:w="1080" w:type="dxa"/>
            <w:vAlign w:val="bottom"/>
            <w:shd w:val="clear" w:color="auto" w:fill="CCEEFF"/>
          </w:tcPr>
          <w:p>
            <w:pPr>
              <w:jc w:val="right"/>
              <w:ind w:right="188"/>
              <w:spacing w:after="0"/>
              <w:rPr>
                <w:sz w:val="20"/>
                <w:szCs w:val="20"/>
                <w:color w:val="auto"/>
              </w:rPr>
            </w:pPr>
            <w:r>
              <w:rPr>
                <w:rFonts w:ascii="Arial" w:cs="Arial" w:eastAsia="Arial" w:hAnsi="Arial"/>
                <w:sz w:val="14"/>
                <w:szCs w:val="14"/>
                <w:color w:val="auto"/>
              </w:rPr>
              <w:t>2,389,463</w:t>
            </w:r>
          </w:p>
        </w:tc>
        <w:tc>
          <w:tcPr>
            <w:tcW w:w="9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2,398,482</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08"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1"/>
              </w:rPr>
              <w:t>Issuer Name</w:t>
            </w:r>
          </w:p>
        </w:tc>
        <w:tc>
          <w:tcPr>
            <w:tcW w:w="18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Industry</w:t>
            </w:r>
          </w:p>
        </w:tc>
        <w:tc>
          <w:tcPr>
            <w:tcW w:w="260" w:type="dxa"/>
            <w:vAlign w:val="bottom"/>
            <w:tcBorders>
              <w:bottom w:val="single" w:sz="8" w:color="CCEEFF"/>
            </w:tcBorders>
          </w:tcPr>
          <w:p>
            <w:pPr>
              <w:spacing w:after="0"/>
              <w:rPr>
                <w:sz w:val="16"/>
                <w:szCs w:val="16"/>
                <w:color w:val="auto"/>
              </w:rPr>
            </w:pPr>
          </w:p>
        </w:tc>
        <w:tc>
          <w:tcPr>
            <w:tcW w:w="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9"/>
              </w:rPr>
              <w:t>Asset Name</w:t>
            </w:r>
          </w:p>
        </w:tc>
        <w:tc>
          <w:tcPr>
            <w:tcW w:w="240" w:type="dxa"/>
            <w:vAlign w:val="bottom"/>
            <w:tcBorders>
              <w:bottom w:val="single" w:sz="8" w:color="CCEEFF"/>
            </w:tcBorders>
          </w:tcPr>
          <w:p>
            <w:pPr>
              <w:spacing w:after="0"/>
              <w:rPr>
                <w:sz w:val="16"/>
                <w:szCs w:val="16"/>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5"/>
              </w:rPr>
              <w:t>Asset Type</w:t>
            </w:r>
          </w:p>
        </w:tc>
        <w:tc>
          <w:tcPr>
            <w:tcW w:w="28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4"/>
              </w:rPr>
              <w:t>Current Rate</w:t>
            </w:r>
          </w:p>
        </w:tc>
        <w:tc>
          <w:tcPr>
            <w:tcW w:w="4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Maturity Date</w:t>
            </w:r>
          </w:p>
        </w:tc>
        <w:tc>
          <w:tcPr>
            <w:tcW w:w="36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7"/>
              </w:rPr>
              <w:t>Principal</w:t>
            </w:r>
          </w:p>
        </w:tc>
        <w:tc>
          <w:tcPr>
            <w:tcW w:w="360" w:type="dxa"/>
            <w:vAlign w:val="bottom"/>
            <w:tcBorders>
              <w:bottom w:val="single" w:sz="8" w:color="CCEEFF"/>
            </w:tcBorders>
          </w:tcPr>
          <w:p>
            <w:pPr>
              <w:spacing w:after="0"/>
              <w:rPr>
                <w:sz w:val="16"/>
                <w:szCs w:val="16"/>
                <w:color w:val="auto"/>
              </w:rPr>
            </w:pPr>
          </w:p>
        </w:tc>
        <w:tc>
          <w:tcPr>
            <w:tcW w:w="62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b w:val="1"/>
                <w:bCs w:val="1"/>
                <w:color w:val="auto"/>
              </w:rPr>
              <w:t>Cost</w:t>
            </w:r>
          </w:p>
        </w:tc>
        <w:tc>
          <w:tcPr>
            <w:tcW w:w="380" w:type="dxa"/>
            <w:vAlign w:val="bottom"/>
            <w:tcBorders>
              <w:bottom w:val="single" w:sz="8" w:color="CCEEFF"/>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2"/>
              </w:rPr>
              <w:t>Fair Value</w:t>
            </w:r>
          </w:p>
        </w:tc>
        <w:tc>
          <w:tcPr>
            <w:tcW w:w="80" w:type="dxa"/>
            <w:vAlign w:val="bottom"/>
            <w:tcBorders>
              <w:bottom w:val="single" w:sz="8" w:color="CCEEFF"/>
            </w:tcBorders>
          </w:tcPr>
          <w:p>
            <w:pPr>
              <w:spacing w:after="0"/>
              <w:rPr>
                <w:sz w:val="16"/>
                <w:szCs w:val="16"/>
                <w:color w:val="auto"/>
              </w:rPr>
            </w:pPr>
          </w:p>
        </w:tc>
      </w:tr>
      <w:tr>
        <w:trPr>
          <w:trHeight w:val="142"/>
        </w:trPr>
        <w:tc>
          <w:tcPr>
            <w:tcW w:w="2620" w:type="dxa"/>
            <w:vAlign w:val="bottom"/>
            <w:gridSpan w:val="2"/>
            <w:shd w:val="clear" w:color="auto" w:fill="CCEEFF"/>
          </w:tcPr>
          <w:p>
            <w:pPr>
              <w:spacing w:after="0" w:line="142" w:lineRule="exact"/>
              <w:rPr>
                <w:sz w:val="20"/>
                <w:szCs w:val="20"/>
                <w:color w:val="auto"/>
              </w:rPr>
            </w:pPr>
            <w:r>
              <w:rPr>
                <w:rFonts w:ascii="Arial" w:cs="Arial" w:eastAsia="Arial" w:hAnsi="Arial"/>
                <w:sz w:val="14"/>
                <w:szCs w:val="14"/>
                <w:color w:val="auto"/>
              </w:rPr>
              <w:t>Mitel US Holdings, Inc.</w:t>
            </w: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w w:val="91"/>
              </w:rPr>
              <w:t>Telecommunications</w:t>
            </w: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Term Loan</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Loan</w:t>
            </w:r>
          </w:p>
        </w:tc>
        <w:tc>
          <w:tcPr>
            <w:tcW w:w="2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300"/>
              <w:spacing w:after="0" w:line="142" w:lineRule="exact"/>
              <w:rPr>
                <w:sz w:val="20"/>
                <w:szCs w:val="20"/>
                <w:color w:val="auto"/>
              </w:rPr>
            </w:pPr>
            <w:r>
              <w:rPr>
                <w:rFonts w:ascii="Arial" w:cs="Arial" w:eastAsia="Arial" w:hAnsi="Arial"/>
                <w:sz w:val="14"/>
                <w:szCs w:val="14"/>
                <w:color w:val="auto"/>
              </w:rPr>
              <w:t>5.25%</w:t>
            </w: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1/31/2020</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250,000</w:t>
            </w: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248,753</w:t>
            </w: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252,083</w:t>
            </w:r>
          </w:p>
        </w:tc>
        <w:tc>
          <w:tcPr>
            <w:tcW w:w="80" w:type="dxa"/>
            <w:vAlign w:val="bottom"/>
            <w:shd w:val="clear" w:color="auto" w:fill="CCEEFF"/>
          </w:tcPr>
          <w:p>
            <w:pPr>
              <w:spacing w:after="0"/>
              <w:rPr>
                <w:sz w:val="12"/>
                <w:szCs w:val="12"/>
                <w:color w:val="auto"/>
              </w:rPr>
            </w:pPr>
          </w:p>
        </w:tc>
      </w:tr>
      <w:tr>
        <w:trPr>
          <w:trHeight w:val="130"/>
        </w:trPr>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National CineMedia, LLC</w:t>
            </w:r>
          </w:p>
        </w:tc>
        <w:tc>
          <w:tcPr>
            <w:tcW w:w="162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Leisure Goods/</w:t>
            </w:r>
          </w:p>
        </w:tc>
        <w:tc>
          <w:tcPr>
            <w:tcW w:w="760" w:type="dxa"/>
            <w:vAlign w:val="bottom"/>
          </w:tcPr>
          <w:p>
            <w:pPr>
              <w:spacing w:after="0" w:line="130" w:lineRule="exact"/>
              <w:rPr>
                <w:sz w:val="20"/>
                <w:szCs w:val="20"/>
                <w:color w:val="auto"/>
              </w:rPr>
            </w:pPr>
            <w:r>
              <w:rPr>
                <w:rFonts w:ascii="Arial" w:cs="Arial" w:eastAsia="Arial" w:hAnsi="Arial"/>
                <w:sz w:val="14"/>
                <w:szCs w:val="14"/>
                <w:color w:val="auto"/>
              </w:rPr>
              <w:t>Term Loan</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color w:val="auto"/>
              </w:rPr>
              <w:t>Activities/Movies</w:t>
            </w:r>
          </w:p>
        </w:tc>
        <w:tc>
          <w:tcPr>
            <w:tcW w:w="760" w:type="dxa"/>
            <w:vAlign w:val="bottom"/>
          </w:tcPr>
          <w:p>
            <w:pPr>
              <w:spacing w:after="0"/>
              <w:rPr>
                <w:sz w:val="20"/>
                <w:szCs w:val="20"/>
                <w:color w:val="auto"/>
              </w:rPr>
            </w:pPr>
            <w:r>
              <w:rPr>
                <w:rFonts w:ascii="Arial" w:cs="Arial" w:eastAsia="Arial" w:hAnsi="Arial"/>
                <w:sz w:val="14"/>
                <w:szCs w:val="14"/>
                <w:color w:val="auto"/>
              </w:rPr>
              <w:t>(2013)</w:t>
            </w:r>
          </w:p>
        </w:tc>
        <w:tc>
          <w:tcPr>
            <w:tcW w:w="1200" w:type="dxa"/>
            <w:vAlign w:val="bottom"/>
            <w:gridSpan w:val="3"/>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2.95%</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11/26/2019</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w w:val="96"/>
              </w:rPr>
              <w:t>1,086,207</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1,054,177</w:t>
            </w:r>
          </w:p>
        </w:tc>
        <w:tc>
          <w:tcPr>
            <w:tcW w:w="3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1,082,134</w:t>
            </w:r>
          </w:p>
        </w:tc>
      </w:tr>
      <w:tr>
        <w:trPr>
          <w:trHeight w:val="149"/>
        </w:trPr>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Newsday, LLC</w:t>
            </w:r>
          </w:p>
        </w:tc>
        <w:tc>
          <w:tcPr>
            <w:tcW w:w="16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Publishing</w:t>
            </w: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120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Loan</w:t>
            </w:r>
          </w:p>
        </w:tc>
        <w:tc>
          <w:tcPr>
            <w:tcW w:w="12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3.69%</w:t>
            </w:r>
          </w:p>
        </w:tc>
        <w:tc>
          <w:tcPr>
            <w:tcW w:w="12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10/12/2016</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w w:val="96"/>
              </w:rPr>
              <w:t>2,215,385</w:t>
            </w: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6"/>
              </w:rPr>
              <w:t>2,213,416</w:t>
            </w:r>
          </w:p>
        </w:tc>
        <w:tc>
          <w:tcPr>
            <w:tcW w:w="3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w w:val="99"/>
              </w:rPr>
              <w:t>2,215,385</w:t>
            </w:r>
          </w:p>
        </w:tc>
      </w:tr>
      <w:tr>
        <w:trPr>
          <w:trHeight w:val="130"/>
        </w:trPr>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Novelis, Inc.</w:t>
            </w:r>
          </w:p>
        </w:tc>
        <w:tc>
          <w:tcPr>
            <w:tcW w:w="162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Conglomerate</w:t>
            </w:r>
          </w:p>
        </w:tc>
        <w:tc>
          <w:tcPr>
            <w:tcW w:w="760" w:type="dxa"/>
            <w:vAlign w:val="bottom"/>
          </w:tcPr>
          <w:p>
            <w:pPr>
              <w:spacing w:after="0" w:line="130" w:lineRule="exact"/>
              <w:rPr>
                <w:sz w:val="20"/>
                <w:szCs w:val="20"/>
                <w:color w:val="auto"/>
              </w:rPr>
            </w:pPr>
            <w:r>
              <w:rPr>
                <w:rFonts w:ascii="Arial" w:cs="Arial" w:eastAsia="Arial" w:hAnsi="Arial"/>
                <w:sz w:val="14"/>
                <w:szCs w:val="14"/>
                <w:color w:val="auto"/>
              </w:rPr>
              <w:t>Initial Term</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Loan</w:t>
            </w:r>
          </w:p>
        </w:tc>
        <w:tc>
          <w:tcPr>
            <w:tcW w:w="1200" w:type="dxa"/>
            <w:vAlign w:val="bottom"/>
            <w:gridSpan w:val="3"/>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3.75%</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3/10/2017</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w w:val="96"/>
              </w:rPr>
              <w:t>4,857,520</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4,868,347</w:t>
            </w:r>
          </w:p>
        </w:tc>
        <w:tc>
          <w:tcPr>
            <w:tcW w:w="3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4,873,452</w:t>
            </w:r>
          </w:p>
        </w:tc>
      </w:tr>
      <w:tr>
        <w:trPr>
          <w:trHeight w:val="130"/>
        </w:trPr>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NPC International, Inc.</w:t>
            </w:r>
          </w:p>
        </w:tc>
        <w:tc>
          <w:tcPr>
            <w:tcW w:w="162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Food Services</w:t>
            </w:r>
          </w:p>
        </w:tc>
        <w:tc>
          <w:tcPr>
            <w:tcW w:w="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Term Loan</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(2013)</w:t>
            </w:r>
          </w:p>
        </w:tc>
        <w:tc>
          <w:tcPr>
            <w:tcW w:w="12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4.00%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12/28/2018</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490,833</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490,833</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493,597</w:t>
            </w:r>
          </w:p>
        </w:tc>
      </w:tr>
      <w:tr>
        <w:trPr>
          <w:trHeight w:val="130"/>
        </w:trPr>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NRG Energy, Inc.</w:t>
            </w:r>
          </w:p>
        </w:tc>
        <w:tc>
          <w:tcPr>
            <w:tcW w:w="162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Utilities</w:t>
            </w:r>
          </w:p>
        </w:tc>
        <w:tc>
          <w:tcPr>
            <w:tcW w:w="760" w:type="dxa"/>
            <w:vAlign w:val="bottom"/>
          </w:tcPr>
          <w:p>
            <w:pPr>
              <w:spacing w:after="0" w:line="130" w:lineRule="exact"/>
              <w:rPr>
                <w:sz w:val="20"/>
                <w:szCs w:val="20"/>
                <w:color w:val="auto"/>
              </w:rPr>
            </w:pPr>
            <w:r>
              <w:rPr>
                <w:rFonts w:ascii="Arial" w:cs="Arial" w:eastAsia="Arial" w:hAnsi="Arial"/>
                <w:sz w:val="14"/>
                <w:szCs w:val="14"/>
                <w:color w:val="auto"/>
              </w:rPr>
              <w:t>Term Loan</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(2013)</w:t>
            </w:r>
          </w:p>
        </w:tc>
        <w:tc>
          <w:tcPr>
            <w:tcW w:w="1200" w:type="dxa"/>
            <w:vAlign w:val="bottom"/>
            <w:gridSpan w:val="3"/>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2.75%</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7/1/2018</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w w:val="96"/>
              </w:rPr>
              <w:t>3,900,525</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3,875,534</w:t>
            </w:r>
          </w:p>
        </w:tc>
        <w:tc>
          <w:tcPr>
            <w:tcW w:w="3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3,872,168</w:t>
            </w:r>
          </w:p>
        </w:tc>
      </w:tr>
      <w:tr>
        <w:trPr>
          <w:trHeight w:val="149"/>
        </w:trPr>
        <w:tc>
          <w:tcPr>
            <w:tcW w:w="2620" w:type="dxa"/>
            <w:vAlign w:val="bottom"/>
            <w:gridSpan w:val="2"/>
            <w:shd w:val="clear" w:color="auto" w:fill="CCEEFF"/>
          </w:tcPr>
          <w:p>
            <w:pPr>
              <w:spacing w:after="0" w:line="149" w:lineRule="exact"/>
              <w:rPr>
                <w:sz w:val="20"/>
                <w:szCs w:val="20"/>
                <w:color w:val="auto"/>
              </w:rPr>
            </w:pPr>
            <w:r>
              <w:rPr>
                <w:rFonts w:ascii="Arial" w:cs="Arial" w:eastAsia="Arial" w:hAnsi="Arial"/>
                <w:sz w:val="14"/>
                <w:szCs w:val="14"/>
                <w:color w:val="auto"/>
              </w:rPr>
              <w:t>NuSil Technology LLC</w:t>
            </w:r>
          </w:p>
        </w:tc>
        <w:tc>
          <w:tcPr>
            <w:tcW w:w="16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Chemicals/Plastics</w:t>
            </w: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1200" w:type="dxa"/>
            <w:vAlign w:val="bottom"/>
            <w:gridSpan w:val="3"/>
            <w:shd w:val="clear" w:color="auto" w:fill="CCEEFF"/>
          </w:tcPr>
          <w:p>
            <w:pPr>
              <w:ind w:left="240"/>
              <w:spacing w:after="0" w:line="149" w:lineRule="exact"/>
              <w:rPr>
                <w:sz w:val="20"/>
                <w:szCs w:val="20"/>
                <w:color w:val="auto"/>
              </w:rPr>
            </w:pPr>
            <w:r>
              <w:rPr>
                <w:rFonts w:ascii="Arial" w:cs="Arial" w:eastAsia="Arial" w:hAnsi="Arial"/>
                <w:sz w:val="14"/>
                <w:szCs w:val="14"/>
                <w:color w:val="auto"/>
              </w:rPr>
              <w:t>Loan</w:t>
            </w:r>
          </w:p>
        </w:tc>
        <w:tc>
          <w:tcPr>
            <w:tcW w:w="1260" w:type="dxa"/>
            <w:vAlign w:val="bottom"/>
            <w:gridSpan w:val="2"/>
            <w:shd w:val="clear" w:color="auto" w:fill="CCEEFF"/>
          </w:tcPr>
          <w:p>
            <w:pPr>
              <w:jc w:val="right"/>
              <w:ind w:right="300"/>
              <w:spacing w:after="0" w:line="149" w:lineRule="exact"/>
              <w:rPr>
                <w:sz w:val="20"/>
                <w:szCs w:val="20"/>
                <w:color w:val="auto"/>
              </w:rPr>
            </w:pPr>
            <w:r>
              <w:rPr>
                <w:rFonts w:ascii="Arial" w:cs="Arial" w:eastAsia="Arial" w:hAnsi="Arial"/>
                <w:sz w:val="14"/>
                <w:szCs w:val="14"/>
                <w:color w:val="auto"/>
              </w:rPr>
              <w:t>5.25%</w:t>
            </w:r>
          </w:p>
        </w:tc>
        <w:tc>
          <w:tcPr>
            <w:tcW w:w="126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4/7/2017</w:t>
            </w:r>
          </w:p>
        </w:tc>
        <w:tc>
          <w:tcPr>
            <w:tcW w:w="9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809,163</w:t>
            </w:r>
          </w:p>
        </w:tc>
        <w:tc>
          <w:tcPr>
            <w:tcW w:w="10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809,163</w:t>
            </w:r>
          </w:p>
        </w:tc>
        <w:tc>
          <w:tcPr>
            <w:tcW w:w="7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799,558</w:t>
            </w:r>
          </w:p>
        </w:tc>
      </w:tr>
      <w:tr>
        <w:trPr>
          <w:trHeight w:val="130"/>
        </w:trPr>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OEP Pearl Dutch Acquisition B.V.</w:t>
            </w:r>
          </w:p>
        </w:tc>
        <w:tc>
          <w:tcPr>
            <w:tcW w:w="162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Chemicals/Plastics</w:t>
            </w:r>
          </w:p>
        </w:tc>
        <w:tc>
          <w:tcPr>
            <w:tcW w:w="760" w:type="dxa"/>
            <w:vAlign w:val="bottom"/>
          </w:tcPr>
          <w:p>
            <w:pPr>
              <w:spacing w:after="0" w:line="130" w:lineRule="exact"/>
              <w:rPr>
                <w:sz w:val="20"/>
                <w:szCs w:val="20"/>
                <w:color w:val="auto"/>
              </w:rPr>
            </w:pPr>
            <w:r>
              <w:rPr>
                <w:rFonts w:ascii="Arial" w:cs="Arial" w:eastAsia="Arial" w:hAnsi="Arial"/>
                <w:sz w:val="14"/>
                <w:szCs w:val="14"/>
                <w:color w:val="auto"/>
              </w:rPr>
              <w:t>Initial BV</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Term Loan</w:t>
            </w:r>
          </w:p>
        </w:tc>
        <w:tc>
          <w:tcPr>
            <w:tcW w:w="1200" w:type="dxa"/>
            <w:vAlign w:val="bottom"/>
            <w:gridSpan w:val="3"/>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6.50%</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3/30/2018</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142,422</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140,466</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143,846</w:t>
            </w:r>
          </w:p>
        </w:tc>
      </w:tr>
      <w:tr>
        <w:trPr>
          <w:trHeight w:val="130"/>
        </w:trPr>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On Assignment, Inc.</w:t>
            </w:r>
          </w:p>
        </w:tc>
        <w:tc>
          <w:tcPr>
            <w:tcW w:w="162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Business Equipment</w:t>
            </w:r>
          </w:p>
        </w:tc>
        <w:tc>
          <w:tcPr>
            <w:tcW w:w="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Initial Term</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and Services</w:t>
            </w: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B Loan</w:t>
            </w:r>
          </w:p>
        </w:tc>
        <w:tc>
          <w:tcPr>
            <w:tcW w:w="12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3.50%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5/15/2020</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6"/>
              </w:rPr>
              <w:t>1,311,364</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1,303,125</w:t>
            </w: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1,312,190</w:t>
            </w:r>
          </w:p>
        </w:tc>
      </w:tr>
      <w:tr>
        <w:trPr>
          <w:trHeight w:val="130"/>
        </w:trPr>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Onex Carestream Finance LP</w:t>
            </w:r>
          </w:p>
        </w:tc>
        <w:tc>
          <w:tcPr>
            <w:tcW w:w="162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Healthcare</w:t>
            </w:r>
          </w:p>
        </w:tc>
        <w:tc>
          <w:tcPr>
            <w:tcW w:w="760" w:type="dxa"/>
            <w:vAlign w:val="bottom"/>
          </w:tcPr>
          <w:p>
            <w:pPr>
              <w:spacing w:after="0" w:line="130" w:lineRule="exact"/>
              <w:rPr>
                <w:sz w:val="20"/>
                <w:szCs w:val="20"/>
                <w:color w:val="auto"/>
              </w:rPr>
            </w:pPr>
            <w:r>
              <w:rPr>
                <w:rFonts w:ascii="Arial" w:cs="Arial" w:eastAsia="Arial" w:hAnsi="Arial"/>
                <w:sz w:val="14"/>
                <w:szCs w:val="14"/>
                <w:color w:val="auto"/>
              </w:rPr>
              <w:t>Term Loan</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(First Lien</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2013)</w:t>
            </w:r>
          </w:p>
        </w:tc>
        <w:tc>
          <w:tcPr>
            <w:tcW w:w="1200" w:type="dxa"/>
            <w:vAlign w:val="bottom"/>
            <w:gridSpan w:val="3"/>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5.00%</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2/25/2017</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w w:val="96"/>
              </w:rPr>
              <w:t>4,531,159</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w w:val="96"/>
              </w:rPr>
              <w:t>4,511,264</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4,582,135</w:t>
            </w:r>
          </w:p>
        </w:tc>
      </w:tr>
      <w:tr>
        <w:trPr>
          <w:trHeight w:val="130"/>
        </w:trPr>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OpenLink International, Inc.</w:t>
            </w:r>
          </w:p>
        </w:tc>
        <w:tc>
          <w:tcPr>
            <w:tcW w:w="162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Computers &amp;</w:t>
            </w:r>
          </w:p>
        </w:tc>
        <w:tc>
          <w:tcPr>
            <w:tcW w:w="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89"/>
              </w:rPr>
              <w:t>Replacement</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Electronics</w:t>
            </w: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Term Loan</w:t>
            </w:r>
          </w:p>
        </w:tc>
        <w:tc>
          <w:tcPr>
            <w:tcW w:w="12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6.25%</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10/30/2017</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980,000</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980,000</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980,000</w:t>
            </w:r>
          </w:p>
        </w:tc>
      </w:tr>
      <w:tr>
        <w:trPr>
          <w:trHeight w:val="130"/>
        </w:trPr>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P.F. Chang’s China Bistro, Inc. (Wok</w:t>
            </w:r>
          </w:p>
        </w:tc>
        <w:tc>
          <w:tcPr>
            <w:tcW w:w="162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Food/Drug Retailers</w:t>
            </w:r>
          </w:p>
        </w:tc>
        <w:tc>
          <w:tcPr>
            <w:tcW w:w="760" w:type="dxa"/>
            <w:vAlign w:val="bottom"/>
          </w:tcPr>
          <w:p>
            <w:pPr>
              <w:spacing w:after="0" w:line="130" w:lineRule="exact"/>
              <w:rPr>
                <w:sz w:val="20"/>
                <w:szCs w:val="20"/>
                <w:color w:val="auto"/>
              </w:rPr>
            </w:pPr>
            <w:r>
              <w:rPr>
                <w:rFonts w:ascii="Arial" w:cs="Arial" w:eastAsia="Arial" w:hAnsi="Arial"/>
                <w:sz w:val="14"/>
                <w:szCs w:val="14"/>
                <w:color w:val="auto"/>
              </w:rPr>
              <w:t>Term</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20" w:type="dxa"/>
            <w:vAlign w:val="bottom"/>
            <w:gridSpan w:val="2"/>
          </w:tcPr>
          <w:p>
            <w:pPr>
              <w:ind w:left="160"/>
              <w:spacing w:after="0"/>
              <w:rPr>
                <w:sz w:val="20"/>
                <w:szCs w:val="20"/>
                <w:color w:val="auto"/>
              </w:rPr>
            </w:pPr>
            <w:r>
              <w:rPr>
                <w:rFonts w:ascii="Arial" w:cs="Arial" w:eastAsia="Arial" w:hAnsi="Arial"/>
                <w:sz w:val="14"/>
                <w:szCs w:val="14"/>
                <w:color w:val="auto"/>
              </w:rPr>
              <w:t>Acquisition Corp.)</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Borrowing</w:t>
            </w:r>
          </w:p>
        </w:tc>
        <w:tc>
          <w:tcPr>
            <w:tcW w:w="1200" w:type="dxa"/>
            <w:vAlign w:val="bottom"/>
            <w:gridSpan w:val="3"/>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5.50%</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6/22/2019</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w w:val="96"/>
              </w:rPr>
              <w:t>1,496,212</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1,488,641</w:t>
            </w:r>
          </w:p>
        </w:tc>
        <w:tc>
          <w:tcPr>
            <w:tcW w:w="3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1,509,675</w:t>
            </w:r>
          </w:p>
        </w:tc>
      </w:tr>
      <w:tr>
        <w:trPr>
          <w:trHeight w:val="130"/>
        </w:trPr>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P2 Upstream Acquisition Co.</w:t>
            </w:r>
          </w:p>
        </w:tc>
        <w:tc>
          <w:tcPr>
            <w:tcW w:w="162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Business Equipment</w:t>
            </w:r>
          </w:p>
        </w:tc>
        <w:tc>
          <w:tcPr>
            <w:tcW w:w="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Term Loan</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(P2 Upstream Canada BC ULC)</w:t>
            </w:r>
          </w:p>
        </w:tc>
        <w:tc>
          <w:tcPr>
            <w:tcW w:w="16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and Services</w:t>
            </w: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(First Lien)</w:t>
            </w:r>
          </w:p>
        </w:tc>
        <w:tc>
          <w:tcPr>
            <w:tcW w:w="12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5.00%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10/30/2020</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6"/>
              </w:rPr>
              <w:t>1,000,000</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995,186</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1,008,750</w:t>
            </w:r>
          </w:p>
        </w:tc>
      </w:tr>
      <w:tr>
        <w:trPr>
          <w:trHeight w:val="149"/>
        </w:trPr>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Patheon Inc.</w:t>
            </w:r>
          </w:p>
        </w:tc>
        <w:tc>
          <w:tcPr>
            <w:tcW w:w="16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Healthcare</w:t>
            </w:r>
          </w:p>
        </w:tc>
        <w:tc>
          <w:tcPr>
            <w:tcW w:w="760" w:type="dxa"/>
            <w:vAlign w:val="bottom"/>
          </w:tcPr>
          <w:p>
            <w:pPr>
              <w:spacing w:after="0" w:line="149" w:lineRule="exact"/>
              <w:rPr>
                <w:sz w:val="20"/>
                <w:szCs w:val="20"/>
                <w:color w:val="auto"/>
              </w:rPr>
            </w:pPr>
            <w:r>
              <w:rPr>
                <w:rFonts w:ascii="Arial" w:cs="Arial" w:eastAsia="Arial" w:hAnsi="Arial"/>
                <w:sz w:val="14"/>
                <w:szCs w:val="14"/>
                <w:color w:val="auto"/>
              </w:rPr>
              <w:t>Term Loan</w:t>
            </w:r>
          </w:p>
        </w:tc>
        <w:tc>
          <w:tcPr>
            <w:tcW w:w="120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Loan</w:t>
            </w:r>
          </w:p>
        </w:tc>
        <w:tc>
          <w:tcPr>
            <w:tcW w:w="12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4.25%</w:t>
            </w:r>
          </w:p>
        </w:tc>
        <w:tc>
          <w:tcPr>
            <w:tcW w:w="12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3/11/2021</w:t>
            </w: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w w:val="96"/>
              </w:rPr>
              <w:t>3,000,000</w:t>
            </w: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w w:val="96"/>
              </w:rPr>
              <w:t>2,992,500</w:t>
            </w:r>
          </w:p>
        </w:tc>
        <w:tc>
          <w:tcPr>
            <w:tcW w:w="380" w:type="dxa"/>
            <w:vAlign w:val="bottom"/>
          </w:tcPr>
          <w:p>
            <w:pPr>
              <w:spacing w:after="0"/>
              <w:rPr>
                <w:sz w:val="12"/>
                <w:szCs w:val="12"/>
                <w:color w:val="auto"/>
              </w:rPr>
            </w:pP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w w:val="99"/>
              </w:rPr>
              <w:t>2,990,640</w:t>
            </w:r>
          </w:p>
        </w:tc>
      </w:tr>
      <w:tr>
        <w:trPr>
          <w:trHeight w:val="130"/>
        </w:trPr>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PetCo Animal Supplies, Inc.</w:t>
            </w:r>
          </w:p>
        </w:tc>
        <w:tc>
          <w:tcPr>
            <w:tcW w:w="162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Retailers (Except</w:t>
            </w:r>
          </w:p>
        </w:tc>
        <w:tc>
          <w:tcPr>
            <w:tcW w:w="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New Loans</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Food and Drugs)</w:t>
            </w:r>
          </w:p>
        </w:tc>
        <w:tc>
          <w:tcPr>
            <w:tcW w:w="76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4.00%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11/24/2017</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6"/>
              </w:rPr>
              <w:t>1,484,694</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1,483,250</w:t>
            </w: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1,489,103</w:t>
            </w:r>
          </w:p>
        </w:tc>
      </w:tr>
      <w:tr>
        <w:trPr>
          <w:trHeight w:val="130"/>
        </w:trPr>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w w:val="97"/>
              </w:rPr>
              <w:t>Pharmaceutical Product Development, Inc.</w:t>
            </w:r>
          </w:p>
        </w:tc>
        <w:tc>
          <w:tcPr>
            <w:tcW w:w="162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Conglomerate</w:t>
            </w:r>
          </w:p>
        </w:tc>
        <w:tc>
          <w:tcPr>
            <w:tcW w:w="760" w:type="dxa"/>
            <w:vAlign w:val="bottom"/>
          </w:tcPr>
          <w:p>
            <w:pPr>
              <w:spacing w:after="0" w:line="130" w:lineRule="exact"/>
              <w:rPr>
                <w:sz w:val="20"/>
                <w:szCs w:val="20"/>
                <w:color w:val="auto"/>
              </w:rPr>
            </w:pPr>
            <w:r>
              <w:rPr>
                <w:rFonts w:ascii="Arial" w:cs="Arial" w:eastAsia="Arial" w:hAnsi="Arial"/>
                <w:sz w:val="14"/>
                <w:szCs w:val="14"/>
                <w:color w:val="auto"/>
              </w:rPr>
              <w:t>2013 Term</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20" w:type="dxa"/>
            <w:vAlign w:val="bottom"/>
            <w:gridSpan w:val="2"/>
          </w:tcPr>
          <w:p>
            <w:pPr>
              <w:ind w:left="160"/>
              <w:spacing w:after="0"/>
              <w:rPr>
                <w:sz w:val="20"/>
                <w:szCs w:val="20"/>
                <w:color w:val="auto"/>
              </w:rPr>
            </w:pPr>
            <w:r>
              <w:rPr>
                <w:rFonts w:ascii="Arial" w:cs="Arial" w:eastAsia="Arial" w:hAnsi="Arial"/>
                <w:sz w:val="14"/>
                <w:szCs w:val="14"/>
                <w:color w:val="auto"/>
              </w:rPr>
              <w:t>(Jaguar Holdings, LLC)</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Loan</w:t>
            </w:r>
          </w:p>
        </w:tc>
        <w:tc>
          <w:tcPr>
            <w:tcW w:w="1200" w:type="dxa"/>
            <w:vAlign w:val="bottom"/>
            <w:gridSpan w:val="3"/>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4.00%</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12/5/2018</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w w:val="96"/>
              </w:rPr>
              <w:t>1,960,200</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1,936,226</w:t>
            </w:r>
          </w:p>
        </w:tc>
        <w:tc>
          <w:tcPr>
            <w:tcW w:w="3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1,967,845</w:t>
            </w:r>
          </w:p>
        </w:tc>
      </w:tr>
      <w:tr>
        <w:trPr>
          <w:trHeight w:val="130"/>
        </w:trPr>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Pinnacle Foods Finance LLC</w:t>
            </w:r>
          </w:p>
        </w:tc>
        <w:tc>
          <w:tcPr>
            <w:tcW w:w="162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Food Products</w:t>
            </w:r>
          </w:p>
        </w:tc>
        <w:tc>
          <w:tcPr>
            <w:tcW w:w="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New Term</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Loan G</w:t>
            </w:r>
          </w:p>
        </w:tc>
        <w:tc>
          <w:tcPr>
            <w:tcW w:w="12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3.25%</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4/29/2020</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6"/>
              </w:rPr>
              <w:t>4,962,500</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4,951,514</w:t>
            </w: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4,942,352</w:t>
            </w:r>
          </w:p>
        </w:tc>
      </w:tr>
      <w:tr>
        <w:trPr>
          <w:trHeight w:val="149"/>
        </w:trPr>
        <w:tc>
          <w:tcPr>
            <w:tcW w:w="2620" w:type="dxa"/>
            <w:vAlign w:val="bottom"/>
            <w:gridSpan w:val="2"/>
          </w:tcPr>
          <w:p>
            <w:pPr>
              <w:spacing w:after="0" w:line="149" w:lineRule="exact"/>
              <w:rPr>
                <w:sz w:val="20"/>
                <w:szCs w:val="20"/>
                <w:color w:val="auto"/>
              </w:rPr>
            </w:pPr>
            <w:r>
              <w:rPr>
                <w:rFonts w:ascii="Arial" w:cs="Arial" w:eastAsia="Arial" w:hAnsi="Arial"/>
                <w:sz w:val="14"/>
                <w:szCs w:val="14"/>
                <w:color w:val="auto"/>
              </w:rPr>
              <w:t>Polymer Group, Inc.</w:t>
            </w:r>
          </w:p>
        </w:tc>
        <w:tc>
          <w:tcPr>
            <w:tcW w:w="16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Chemicals/Plastics</w:t>
            </w:r>
          </w:p>
        </w:tc>
        <w:tc>
          <w:tcPr>
            <w:tcW w:w="760" w:type="dxa"/>
            <w:vAlign w:val="bottom"/>
          </w:tcPr>
          <w:p>
            <w:pPr>
              <w:spacing w:after="0" w:line="149" w:lineRule="exact"/>
              <w:rPr>
                <w:sz w:val="20"/>
                <w:szCs w:val="20"/>
                <w:color w:val="auto"/>
              </w:rPr>
            </w:pPr>
            <w:r>
              <w:rPr>
                <w:rFonts w:ascii="Arial" w:cs="Arial" w:eastAsia="Arial" w:hAnsi="Arial"/>
                <w:sz w:val="14"/>
                <w:szCs w:val="14"/>
                <w:color w:val="auto"/>
              </w:rPr>
              <w:t>Initial Loan</w:t>
            </w:r>
          </w:p>
        </w:tc>
        <w:tc>
          <w:tcPr>
            <w:tcW w:w="1200" w:type="dxa"/>
            <w:vAlign w:val="bottom"/>
            <w:gridSpan w:val="3"/>
          </w:tcPr>
          <w:p>
            <w:pPr>
              <w:ind w:left="240"/>
              <w:spacing w:after="0" w:line="149" w:lineRule="exact"/>
              <w:rPr>
                <w:sz w:val="20"/>
                <w:szCs w:val="20"/>
                <w:color w:val="auto"/>
              </w:rPr>
            </w:pPr>
            <w:r>
              <w:rPr>
                <w:rFonts w:ascii="Arial" w:cs="Arial" w:eastAsia="Arial" w:hAnsi="Arial"/>
                <w:sz w:val="14"/>
                <w:szCs w:val="14"/>
                <w:color w:val="auto"/>
              </w:rPr>
              <w:t>Loan</w:t>
            </w:r>
          </w:p>
        </w:tc>
        <w:tc>
          <w:tcPr>
            <w:tcW w:w="1260" w:type="dxa"/>
            <w:vAlign w:val="bottom"/>
            <w:gridSpan w:val="2"/>
          </w:tcPr>
          <w:p>
            <w:pPr>
              <w:jc w:val="right"/>
              <w:ind w:right="300"/>
              <w:spacing w:after="0" w:line="149" w:lineRule="exact"/>
              <w:rPr>
                <w:sz w:val="20"/>
                <w:szCs w:val="20"/>
                <w:color w:val="auto"/>
              </w:rPr>
            </w:pPr>
            <w:r>
              <w:rPr>
                <w:rFonts w:ascii="Arial" w:cs="Arial" w:eastAsia="Arial" w:hAnsi="Arial"/>
                <w:sz w:val="14"/>
                <w:szCs w:val="14"/>
                <w:color w:val="auto"/>
              </w:rPr>
              <w:t>5.25%</w:t>
            </w:r>
          </w:p>
        </w:tc>
        <w:tc>
          <w:tcPr>
            <w:tcW w:w="126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12/19/2019</w:t>
            </w:r>
          </w:p>
        </w:tc>
        <w:tc>
          <w:tcPr>
            <w:tcW w:w="980" w:type="dxa"/>
            <w:vAlign w:val="bottom"/>
            <w:gridSpan w:val="2"/>
          </w:tcPr>
          <w:p>
            <w:pPr>
              <w:jc w:val="right"/>
              <w:ind w:right="360"/>
              <w:spacing w:after="0" w:line="149" w:lineRule="exact"/>
              <w:rPr>
                <w:sz w:val="20"/>
                <w:szCs w:val="20"/>
                <w:color w:val="auto"/>
              </w:rPr>
            </w:pPr>
            <w:r>
              <w:rPr>
                <w:rFonts w:ascii="Arial" w:cs="Arial" w:eastAsia="Arial" w:hAnsi="Arial"/>
                <w:sz w:val="14"/>
                <w:szCs w:val="14"/>
                <w:color w:val="auto"/>
              </w:rPr>
              <w:t>500,000</w:t>
            </w:r>
          </w:p>
        </w:tc>
        <w:tc>
          <w:tcPr>
            <w:tcW w:w="100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497,500</w:t>
            </w:r>
          </w:p>
        </w:tc>
        <w:tc>
          <w:tcPr>
            <w:tcW w:w="72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501,875</w:t>
            </w:r>
          </w:p>
        </w:tc>
      </w:tr>
      <w:tr>
        <w:trPr>
          <w:trHeight w:val="130"/>
        </w:trPr>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Prestige Brands, Inc.</w:t>
            </w:r>
          </w:p>
        </w:tc>
        <w:tc>
          <w:tcPr>
            <w:tcW w:w="162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Drugs</w:t>
            </w:r>
          </w:p>
        </w:tc>
        <w:tc>
          <w:tcPr>
            <w:tcW w:w="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Term B-1</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Loan</w:t>
            </w:r>
          </w:p>
        </w:tc>
        <w:tc>
          <w:tcPr>
            <w:tcW w:w="12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3.75%</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1/31/2019</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435,606</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430,195</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437,022</w:t>
            </w:r>
          </w:p>
        </w:tc>
      </w:tr>
      <w:tr>
        <w:trPr>
          <w:trHeight w:val="130"/>
        </w:trPr>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Pro Mach, Inc.</w:t>
            </w:r>
          </w:p>
        </w:tc>
        <w:tc>
          <w:tcPr>
            <w:tcW w:w="162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Industrial</w:t>
            </w:r>
          </w:p>
        </w:tc>
        <w:tc>
          <w:tcPr>
            <w:tcW w:w="760" w:type="dxa"/>
            <w:vAlign w:val="bottom"/>
          </w:tcPr>
          <w:p>
            <w:pPr>
              <w:spacing w:after="0" w:line="130" w:lineRule="exact"/>
              <w:rPr>
                <w:sz w:val="20"/>
                <w:szCs w:val="20"/>
                <w:color w:val="auto"/>
              </w:rPr>
            </w:pPr>
            <w:r>
              <w:rPr>
                <w:rFonts w:ascii="Arial" w:cs="Arial" w:eastAsia="Arial" w:hAnsi="Arial"/>
                <w:sz w:val="14"/>
                <w:szCs w:val="14"/>
                <w:color w:val="auto"/>
              </w:rPr>
              <w:t>Term Loan</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color w:val="auto"/>
              </w:rPr>
              <w:t>Equipment</w:t>
            </w:r>
          </w:p>
        </w:tc>
        <w:tc>
          <w:tcPr>
            <w:tcW w:w="760" w:type="dxa"/>
            <w:vAlign w:val="bottom"/>
          </w:tcPr>
          <w:p>
            <w:pPr>
              <w:spacing w:after="0"/>
              <w:rPr>
                <w:sz w:val="14"/>
                <w:szCs w:val="14"/>
                <w:color w:val="auto"/>
              </w:rPr>
            </w:pPr>
          </w:p>
        </w:tc>
        <w:tc>
          <w:tcPr>
            <w:tcW w:w="1200" w:type="dxa"/>
            <w:vAlign w:val="bottom"/>
            <w:gridSpan w:val="3"/>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4.50%</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7/6/2017</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w w:val="96"/>
              </w:rPr>
              <w:t>1,945,655</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1,934,699</w:t>
            </w:r>
          </w:p>
        </w:tc>
        <w:tc>
          <w:tcPr>
            <w:tcW w:w="3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1,955,383</w:t>
            </w:r>
          </w:p>
        </w:tc>
      </w:tr>
      <w:tr>
        <w:trPr>
          <w:trHeight w:val="130"/>
        </w:trPr>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Progressive Waste Solutions Ltd.</w:t>
            </w:r>
          </w:p>
        </w:tc>
        <w:tc>
          <w:tcPr>
            <w:tcW w:w="162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Ecological Services</w:t>
            </w:r>
          </w:p>
        </w:tc>
        <w:tc>
          <w:tcPr>
            <w:tcW w:w="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Term B</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and Equipment</w:t>
            </w: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Loan</w:t>
            </w:r>
          </w:p>
        </w:tc>
        <w:tc>
          <w:tcPr>
            <w:tcW w:w="12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3.00%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10/24/2019</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498,741</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498,741</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500,486</w:t>
            </w:r>
          </w:p>
        </w:tc>
      </w:tr>
      <w:tr>
        <w:trPr>
          <w:trHeight w:val="130"/>
        </w:trPr>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Quintiles Transnational Corp.</w:t>
            </w:r>
          </w:p>
        </w:tc>
        <w:tc>
          <w:tcPr>
            <w:tcW w:w="162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Conglomerate</w:t>
            </w:r>
          </w:p>
        </w:tc>
        <w:tc>
          <w:tcPr>
            <w:tcW w:w="760" w:type="dxa"/>
            <w:vAlign w:val="bottom"/>
          </w:tcPr>
          <w:p>
            <w:pPr>
              <w:spacing w:after="0" w:line="130" w:lineRule="exact"/>
              <w:rPr>
                <w:sz w:val="20"/>
                <w:szCs w:val="20"/>
                <w:color w:val="auto"/>
              </w:rPr>
            </w:pPr>
            <w:r>
              <w:rPr>
                <w:rFonts w:ascii="Arial" w:cs="Arial" w:eastAsia="Arial" w:hAnsi="Arial"/>
                <w:sz w:val="14"/>
                <w:szCs w:val="14"/>
                <w:color w:val="auto"/>
              </w:rPr>
              <w:t>Term B-3</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Loan</w:t>
            </w:r>
          </w:p>
        </w:tc>
        <w:tc>
          <w:tcPr>
            <w:tcW w:w="1200" w:type="dxa"/>
            <w:vAlign w:val="bottom"/>
            <w:gridSpan w:val="3"/>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3.75%</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6/8/2018</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w w:val="96"/>
              </w:rPr>
              <w:t>3,681,541</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3,646,328</w:t>
            </w:r>
          </w:p>
        </w:tc>
        <w:tc>
          <w:tcPr>
            <w:tcW w:w="3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3,685,186</w:t>
            </w:r>
          </w:p>
        </w:tc>
      </w:tr>
      <w:tr>
        <w:trPr>
          <w:trHeight w:val="130"/>
        </w:trPr>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Redtop Acquisitions Limited</w:t>
            </w:r>
          </w:p>
        </w:tc>
        <w:tc>
          <w:tcPr>
            <w:tcW w:w="162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Electronics/Electric</w:t>
            </w:r>
          </w:p>
        </w:tc>
        <w:tc>
          <w:tcPr>
            <w:tcW w:w="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Initial Dollar</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Loan</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(First Lien)</w:t>
            </w:r>
          </w:p>
        </w:tc>
        <w:tc>
          <w:tcPr>
            <w:tcW w:w="12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4.50%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12/3/2020</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500,000</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496,369</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502,915</w:t>
            </w:r>
          </w:p>
        </w:tc>
      </w:tr>
      <w:tr>
        <w:trPr>
          <w:trHeight w:val="130"/>
        </w:trPr>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Rexnord LLC/RBS Global, Inc.</w:t>
            </w:r>
          </w:p>
        </w:tc>
        <w:tc>
          <w:tcPr>
            <w:tcW w:w="162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Industrial</w:t>
            </w:r>
          </w:p>
        </w:tc>
        <w:tc>
          <w:tcPr>
            <w:tcW w:w="760" w:type="dxa"/>
            <w:vAlign w:val="bottom"/>
          </w:tcPr>
          <w:p>
            <w:pPr>
              <w:spacing w:after="0" w:line="130" w:lineRule="exact"/>
              <w:rPr>
                <w:sz w:val="20"/>
                <w:szCs w:val="20"/>
                <w:color w:val="auto"/>
              </w:rPr>
            </w:pPr>
            <w:r>
              <w:rPr>
                <w:rFonts w:ascii="Arial" w:cs="Arial" w:eastAsia="Arial" w:hAnsi="Arial"/>
                <w:sz w:val="14"/>
                <w:szCs w:val="14"/>
                <w:color w:val="auto"/>
              </w:rPr>
              <w:t>Term B</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color w:val="auto"/>
              </w:rPr>
              <w:t>Equipment</w:t>
            </w:r>
          </w:p>
        </w:tc>
        <w:tc>
          <w:tcPr>
            <w:tcW w:w="760" w:type="dxa"/>
            <w:vAlign w:val="bottom"/>
          </w:tcPr>
          <w:p>
            <w:pPr>
              <w:spacing w:after="0"/>
              <w:rPr>
                <w:sz w:val="20"/>
                <w:szCs w:val="20"/>
                <w:color w:val="auto"/>
              </w:rPr>
            </w:pPr>
            <w:r>
              <w:rPr>
                <w:rFonts w:ascii="Arial" w:cs="Arial" w:eastAsia="Arial" w:hAnsi="Arial"/>
                <w:sz w:val="14"/>
                <w:szCs w:val="14"/>
                <w:color w:val="auto"/>
              </w:rPr>
              <w:t>Loan</w:t>
            </w:r>
          </w:p>
        </w:tc>
        <w:tc>
          <w:tcPr>
            <w:tcW w:w="1200" w:type="dxa"/>
            <w:vAlign w:val="bottom"/>
            <w:gridSpan w:val="3"/>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4.00%</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8/21/2020</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w w:val="96"/>
              </w:rPr>
              <w:t>1,663,476</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1,663,476</w:t>
            </w:r>
          </w:p>
        </w:tc>
        <w:tc>
          <w:tcPr>
            <w:tcW w:w="3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1,667,035</w:t>
            </w:r>
          </w:p>
        </w:tc>
      </w:tr>
      <w:tr>
        <w:trPr>
          <w:trHeight w:val="130"/>
        </w:trPr>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Reynolds Group Holdings Inc.</w:t>
            </w:r>
          </w:p>
        </w:tc>
        <w:tc>
          <w:tcPr>
            <w:tcW w:w="162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Industrial</w:t>
            </w:r>
          </w:p>
        </w:tc>
        <w:tc>
          <w:tcPr>
            <w:tcW w:w="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Incremental</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6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Equipment</w:t>
            </w: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U.S. Term</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Loan</w:t>
            </w:r>
          </w:p>
        </w:tc>
        <w:tc>
          <w:tcPr>
            <w:tcW w:w="12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4.00%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12/1/2018</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6"/>
              </w:rPr>
              <w:t>1,980,000</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1,980,000</w:t>
            </w: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1,993,365</w:t>
            </w:r>
          </w:p>
        </w:tc>
      </w:tr>
      <w:tr>
        <w:trPr>
          <w:trHeight w:val="130"/>
        </w:trPr>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Rocket Software, Inc.</w:t>
            </w:r>
          </w:p>
        </w:tc>
        <w:tc>
          <w:tcPr>
            <w:tcW w:w="162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Business Equipment</w:t>
            </w:r>
          </w:p>
        </w:tc>
        <w:tc>
          <w:tcPr>
            <w:tcW w:w="760" w:type="dxa"/>
            <w:vAlign w:val="bottom"/>
          </w:tcPr>
          <w:p>
            <w:pPr>
              <w:spacing w:after="0" w:line="130" w:lineRule="exact"/>
              <w:rPr>
                <w:sz w:val="20"/>
                <w:szCs w:val="20"/>
                <w:color w:val="auto"/>
              </w:rPr>
            </w:pPr>
            <w:r>
              <w:rPr>
                <w:rFonts w:ascii="Arial" w:cs="Arial" w:eastAsia="Arial" w:hAnsi="Arial"/>
                <w:sz w:val="14"/>
                <w:szCs w:val="14"/>
                <w:color w:val="auto"/>
              </w:rPr>
              <w:t>Term Loan</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color w:val="auto"/>
              </w:rPr>
              <w:t>and Services</w:t>
            </w:r>
          </w:p>
        </w:tc>
        <w:tc>
          <w:tcPr>
            <w:tcW w:w="760" w:type="dxa"/>
            <w:vAlign w:val="bottom"/>
          </w:tcPr>
          <w:p>
            <w:pPr>
              <w:spacing w:after="0"/>
              <w:rPr>
                <w:sz w:val="20"/>
                <w:szCs w:val="20"/>
                <w:color w:val="auto"/>
              </w:rPr>
            </w:pPr>
            <w:r>
              <w:rPr>
                <w:rFonts w:ascii="Arial" w:cs="Arial" w:eastAsia="Arial" w:hAnsi="Arial"/>
                <w:sz w:val="14"/>
                <w:szCs w:val="14"/>
                <w:color w:val="auto"/>
              </w:rPr>
              <w:t>(First Lien)</w:t>
            </w:r>
          </w:p>
        </w:tc>
        <w:tc>
          <w:tcPr>
            <w:tcW w:w="1200" w:type="dxa"/>
            <w:vAlign w:val="bottom"/>
            <w:gridSpan w:val="3"/>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5.75%</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2/8/2018</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w w:val="96"/>
              </w:rPr>
              <w:t>1,960,025</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1,934,083</w:t>
            </w:r>
          </w:p>
        </w:tc>
        <w:tc>
          <w:tcPr>
            <w:tcW w:w="3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1,960,515</w:t>
            </w:r>
          </w:p>
        </w:tc>
      </w:tr>
      <w:tr>
        <w:trPr>
          <w:trHeight w:val="130"/>
        </w:trPr>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Rovi Solutions Corporation / Rovi</w:t>
            </w:r>
          </w:p>
        </w:tc>
        <w:tc>
          <w:tcPr>
            <w:tcW w:w="162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Electronics/Electric</w:t>
            </w:r>
          </w:p>
        </w:tc>
        <w:tc>
          <w:tcPr>
            <w:tcW w:w="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Tranche A-2</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Guides, Inc.</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Loan</w:t>
            </w:r>
          </w:p>
        </w:tc>
        <w:tc>
          <w:tcPr>
            <w:tcW w:w="12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2.45%</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3/29/2017</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6"/>
              </w:rPr>
              <w:t>1,562,552</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1,552,098</w:t>
            </w: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1,562,552</w:t>
            </w:r>
          </w:p>
        </w:tc>
      </w:tr>
      <w:tr>
        <w:trPr>
          <w:trHeight w:val="130"/>
        </w:trPr>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Rovi Solutions Corporation / Rovi</w:t>
            </w:r>
          </w:p>
        </w:tc>
        <w:tc>
          <w:tcPr>
            <w:tcW w:w="162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Electronics/Electric</w:t>
            </w:r>
          </w:p>
        </w:tc>
        <w:tc>
          <w:tcPr>
            <w:tcW w:w="760" w:type="dxa"/>
            <w:vAlign w:val="bottom"/>
          </w:tcPr>
          <w:p>
            <w:pPr>
              <w:spacing w:after="0" w:line="130" w:lineRule="exact"/>
              <w:rPr>
                <w:sz w:val="20"/>
                <w:szCs w:val="20"/>
                <w:color w:val="auto"/>
              </w:rPr>
            </w:pPr>
            <w:r>
              <w:rPr>
                <w:rFonts w:ascii="Arial" w:cs="Arial" w:eastAsia="Arial" w:hAnsi="Arial"/>
                <w:sz w:val="14"/>
                <w:szCs w:val="14"/>
                <w:color w:val="auto"/>
                <w:w w:val="96"/>
              </w:rPr>
              <w:t>Tranche B-3</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20" w:type="dxa"/>
            <w:vAlign w:val="bottom"/>
            <w:gridSpan w:val="2"/>
          </w:tcPr>
          <w:p>
            <w:pPr>
              <w:ind w:left="160"/>
              <w:spacing w:after="0"/>
              <w:rPr>
                <w:sz w:val="20"/>
                <w:szCs w:val="20"/>
                <w:color w:val="auto"/>
              </w:rPr>
            </w:pPr>
            <w:r>
              <w:rPr>
                <w:rFonts w:ascii="Arial" w:cs="Arial" w:eastAsia="Arial" w:hAnsi="Arial"/>
                <w:sz w:val="14"/>
                <w:szCs w:val="14"/>
                <w:color w:val="auto"/>
              </w:rPr>
              <w:t>Guides, Inc.</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Term Loan</w:t>
            </w:r>
          </w:p>
        </w:tc>
        <w:tc>
          <w:tcPr>
            <w:tcW w:w="1200" w:type="dxa"/>
            <w:vAlign w:val="bottom"/>
            <w:gridSpan w:val="3"/>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3.50%</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3/29/2019</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w w:val="96"/>
              </w:rPr>
              <w:t>1,344,450</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1,339,560</w:t>
            </w:r>
          </w:p>
        </w:tc>
        <w:tc>
          <w:tcPr>
            <w:tcW w:w="3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1,341,088</w:t>
            </w:r>
          </w:p>
        </w:tc>
      </w:tr>
      <w:tr>
        <w:trPr>
          <w:trHeight w:val="130"/>
        </w:trPr>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RPI Finance Trust</w:t>
            </w:r>
          </w:p>
        </w:tc>
        <w:tc>
          <w:tcPr>
            <w:tcW w:w="162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Drugs</w:t>
            </w:r>
          </w:p>
        </w:tc>
        <w:tc>
          <w:tcPr>
            <w:tcW w:w="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Term B-2</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Term Loan</w:t>
            </w:r>
          </w:p>
        </w:tc>
        <w:tc>
          <w:tcPr>
            <w:tcW w:w="12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3.25%</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5/9/2018</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6"/>
              </w:rPr>
              <w:t>5,308,218</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5,283,397</w:t>
            </w: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5,339,165</w:t>
            </w:r>
          </w:p>
        </w:tc>
      </w:tr>
      <w:tr>
        <w:trPr>
          <w:trHeight w:val="130"/>
        </w:trPr>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Scitor Corporation</w:t>
            </w:r>
          </w:p>
        </w:tc>
        <w:tc>
          <w:tcPr>
            <w:tcW w:w="162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Business Equipment</w:t>
            </w:r>
          </w:p>
        </w:tc>
        <w:tc>
          <w:tcPr>
            <w:tcW w:w="760" w:type="dxa"/>
            <w:vAlign w:val="bottom"/>
          </w:tcPr>
          <w:p>
            <w:pPr>
              <w:spacing w:after="0" w:line="130" w:lineRule="exact"/>
              <w:rPr>
                <w:sz w:val="20"/>
                <w:szCs w:val="20"/>
                <w:color w:val="auto"/>
              </w:rPr>
            </w:pPr>
            <w:r>
              <w:rPr>
                <w:rFonts w:ascii="Arial" w:cs="Arial" w:eastAsia="Arial" w:hAnsi="Arial"/>
                <w:sz w:val="14"/>
                <w:szCs w:val="14"/>
                <w:color w:val="auto"/>
              </w:rPr>
              <w:t>Term Loan</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color w:val="auto"/>
              </w:rPr>
              <w:t>and Services</w:t>
            </w:r>
          </w:p>
        </w:tc>
        <w:tc>
          <w:tcPr>
            <w:tcW w:w="760" w:type="dxa"/>
            <w:vAlign w:val="bottom"/>
          </w:tcPr>
          <w:p>
            <w:pPr>
              <w:spacing w:after="0"/>
              <w:rPr>
                <w:sz w:val="14"/>
                <w:szCs w:val="14"/>
                <w:color w:val="auto"/>
              </w:rPr>
            </w:pPr>
          </w:p>
        </w:tc>
        <w:tc>
          <w:tcPr>
            <w:tcW w:w="1200" w:type="dxa"/>
            <w:vAlign w:val="bottom"/>
            <w:gridSpan w:val="3"/>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5.00%</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2/15/2017</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463,977</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462,831</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460,354</w:t>
            </w:r>
          </w:p>
        </w:tc>
      </w:tr>
      <w:tr>
        <w:trPr>
          <w:trHeight w:val="130"/>
        </w:trPr>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Sensata Technologies B.V./Sensata</w:t>
            </w:r>
          </w:p>
        </w:tc>
        <w:tc>
          <w:tcPr>
            <w:tcW w:w="162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Industrial</w:t>
            </w:r>
          </w:p>
        </w:tc>
        <w:tc>
          <w:tcPr>
            <w:tcW w:w="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Term Loan</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Technology Finance Company, LLC</w:t>
            </w:r>
          </w:p>
        </w:tc>
        <w:tc>
          <w:tcPr>
            <w:tcW w:w="16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Equipment</w:t>
            </w:r>
          </w:p>
        </w:tc>
        <w:tc>
          <w:tcPr>
            <w:tcW w:w="760" w:type="dxa"/>
            <w:vAlign w:val="bottom"/>
            <w:shd w:val="clear" w:color="auto" w:fill="CCEEFF"/>
          </w:tcPr>
          <w:p>
            <w:pPr>
              <w:spacing w:after="0"/>
              <w:rPr>
                <w:sz w:val="14"/>
                <w:szCs w:val="14"/>
                <w:color w:val="auto"/>
              </w:rPr>
            </w:pPr>
          </w:p>
        </w:tc>
        <w:tc>
          <w:tcPr>
            <w:tcW w:w="12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3.25%</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5/12/2019</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6"/>
              </w:rPr>
              <w:t>1,524,730</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1,524,730</w:t>
            </w: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1,529,106</w:t>
            </w:r>
          </w:p>
        </w:tc>
      </w:tr>
      <w:tr>
        <w:trPr>
          <w:trHeight w:val="130"/>
        </w:trPr>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Sensus USA Inc. (fka Sensus Metering</w:t>
            </w:r>
          </w:p>
        </w:tc>
        <w:tc>
          <w:tcPr>
            <w:tcW w:w="162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Utilities</w:t>
            </w:r>
          </w:p>
        </w:tc>
        <w:tc>
          <w:tcPr>
            <w:tcW w:w="760" w:type="dxa"/>
            <w:vAlign w:val="bottom"/>
          </w:tcPr>
          <w:p>
            <w:pPr>
              <w:spacing w:after="0" w:line="130" w:lineRule="exact"/>
              <w:rPr>
                <w:sz w:val="20"/>
                <w:szCs w:val="20"/>
                <w:color w:val="auto"/>
              </w:rPr>
            </w:pPr>
            <w:r>
              <w:rPr>
                <w:rFonts w:ascii="Arial" w:cs="Arial" w:eastAsia="Arial" w:hAnsi="Arial"/>
                <w:sz w:val="14"/>
                <w:szCs w:val="14"/>
                <w:color w:val="auto"/>
              </w:rPr>
              <w:t>Term Loan</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2620" w:type="dxa"/>
            <w:vAlign w:val="bottom"/>
            <w:gridSpan w:val="2"/>
          </w:tcPr>
          <w:p>
            <w:pPr>
              <w:ind w:left="160"/>
              <w:spacing w:after="0"/>
              <w:rPr>
                <w:sz w:val="20"/>
                <w:szCs w:val="20"/>
                <w:color w:val="auto"/>
              </w:rPr>
            </w:pPr>
            <w:r>
              <w:rPr>
                <w:rFonts w:ascii="Arial" w:cs="Arial" w:eastAsia="Arial" w:hAnsi="Arial"/>
                <w:sz w:val="14"/>
                <w:szCs w:val="14"/>
                <w:color w:val="auto"/>
              </w:rPr>
              <w:t>Systems)</w:t>
            </w: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(First Lien)</w:t>
            </w:r>
          </w:p>
        </w:tc>
        <w:tc>
          <w:tcPr>
            <w:tcW w:w="1200" w:type="dxa"/>
            <w:vAlign w:val="bottom"/>
            <w:gridSpan w:val="3"/>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5.75%</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5/9/2017</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w w:val="96"/>
              </w:rPr>
              <w:t>1,945,013</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1,939,821</w:t>
            </w:r>
          </w:p>
        </w:tc>
        <w:tc>
          <w:tcPr>
            <w:tcW w:w="3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1,957,987</w:t>
            </w:r>
          </w:p>
        </w:tc>
      </w:tr>
      <w:tr>
        <w:trPr>
          <w:trHeight w:val="130"/>
        </w:trPr>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ServiceMaster Company, The</w:t>
            </w:r>
          </w:p>
        </w:tc>
        <w:tc>
          <w:tcPr>
            <w:tcW w:w="162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Conglomerate</w:t>
            </w:r>
          </w:p>
        </w:tc>
        <w:tc>
          <w:tcPr>
            <w:tcW w:w="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Tranche B</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Term Loan</w:t>
            </w:r>
          </w:p>
        </w:tc>
        <w:tc>
          <w:tcPr>
            <w:tcW w:w="12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4.45%</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1/31/2017</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6"/>
              </w:rPr>
              <w:t>2,822,729</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2,830,165</w:t>
            </w: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2,825,552</w:t>
            </w:r>
          </w:p>
        </w:tc>
      </w:tr>
      <w:tr>
        <w:trPr>
          <w:trHeight w:val="130"/>
        </w:trPr>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SI Organization, Inc., The</w:t>
            </w:r>
          </w:p>
        </w:tc>
        <w:tc>
          <w:tcPr>
            <w:tcW w:w="162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Aerospace and</w:t>
            </w:r>
          </w:p>
        </w:tc>
        <w:tc>
          <w:tcPr>
            <w:tcW w:w="760" w:type="dxa"/>
            <w:vAlign w:val="bottom"/>
          </w:tcPr>
          <w:p>
            <w:pPr>
              <w:spacing w:after="0" w:line="130" w:lineRule="exact"/>
              <w:rPr>
                <w:sz w:val="20"/>
                <w:szCs w:val="20"/>
                <w:color w:val="auto"/>
              </w:rPr>
            </w:pPr>
            <w:r>
              <w:rPr>
                <w:rFonts w:ascii="Arial" w:cs="Arial" w:eastAsia="Arial" w:hAnsi="Arial"/>
                <w:sz w:val="14"/>
                <w:szCs w:val="14"/>
                <w:color w:val="auto"/>
              </w:rPr>
              <w:t>New</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Defense</w:t>
            </w:r>
          </w:p>
        </w:tc>
        <w:tc>
          <w:tcPr>
            <w:tcW w:w="760" w:type="dxa"/>
            <w:vAlign w:val="bottom"/>
          </w:tcPr>
          <w:p>
            <w:pPr>
              <w:spacing w:after="0" w:line="149" w:lineRule="exact"/>
              <w:rPr>
                <w:sz w:val="20"/>
                <w:szCs w:val="20"/>
                <w:color w:val="auto"/>
              </w:rPr>
            </w:pPr>
            <w:r>
              <w:rPr>
                <w:rFonts w:ascii="Arial" w:cs="Arial" w:eastAsia="Arial" w:hAnsi="Arial"/>
                <w:sz w:val="14"/>
                <w:szCs w:val="14"/>
                <w:color w:val="auto"/>
              </w:rPr>
              <w:t>Tranche B</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Term Loan</w:t>
            </w:r>
          </w:p>
        </w:tc>
        <w:tc>
          <w:tcPr>
            <w:tcW w:w="1200" w:type="dxa"/>
            <w:vAlign w:val="bottom"/>
            <w:gridSpan w:val="3"/>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5.50%</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11/22/2016</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w w:val="96"/>
              </w:rPr>
              <w:t>3,880,675</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3,863,008</w:t>
            </w:r>
          </w:p>
        </w:tc>
        <w:tc>
          <w:tcPr>
            <w:tcW w:w="3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3,800,655</w:t>
            </w:r>
          </w:p>
        </w:tc>
      </w:tr>
      <w:tr>
        <w:trPr>
          <w:trHeight w:val="130"/>
        </w:trPr>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Sonneborn, LLC</w:t>
            </w:r>
          </w:p>
        </w:tc>
        <w:tc>
          <w:tcPr>
            <w:tcW w:w="162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Chemicals/Plastics</w:t>
            </w:r>
          </w:p>
        </w:tc>
        <w:tc>
          <w:tcPr>
            <w:tcW w:w="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Initial US</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Term Loan</w:t>
            </w:r>
          </w:p>
        </w:tc>
        <w:tc>
          <w:tcPr>
            <w:tcW w:w="12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6.50%</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3/30/2018</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807,059</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795,976</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815,130</w:t>
            </w:r>
          </w:p>
        </w:tc>
      </w:tr>
      <w:tr>
        <w:trPr>
          <w:trHeight w:val="130"/>
        </w:trPr>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Sophia, L.P.</w:t>
            </w:r>
          </w:p>
        </w:tc>
        <w:tc>
          <w:tcPr>
            <w:tcW w:w="162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Electronics/Electric</w:t>
            </w:r>
          </w:p>
        </w:tc>
        <w:tc>
          <w:tcPr>
            <w:tcW w:w="760" w:type="dxa"/>
            <w:vAlign w:val="bottom"/>
          </w:tcPr>
          <w:p>
            <w:pPr>
              <w:spacing w:after="0" w:line="130" w:lineRule="exact"/>
              <w:rPr>
                <w:sz w:val="20"/>
                <w:szCs w:val="20"/>
                <w:color w:val="auto"/>
              </w:rPr>
            </w:pPr>
            <w:r>
              <w:rPr>
                <w:rFonts w:ascii="Arial" w:cs="Arial" w:eastAsia="Arial" w:hAnsi="Arial"/>
                <w:sz w:val="14"/>
                <w:szCs w:val="14"/>
                <w:color w:val="auto"/>
              </w:rPr>
              <w:t>Term B</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Loan</w:t>
            </w:r>
          </w:p>
        </w:tc>
        <w:tc>
          <w:tcPr>
            <w:tcW w:w="1200" w:type="dxa"/>
            <w:vAlign w:val="bottom"/>
            <w:gridSpan w:val="3"/>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4.50%</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7/19/2018</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928,389</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917,174</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934,191</w:t>
            </w:r>
          </w:p>
        </w:tc>
      </w:tr>
      <w:tr>
        <w:trPr>
          <w:trHeight w:val="130"/>
        </w:trPr>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Southwire Company, LLC (f.k.a</w:t>
            </w:r>
          </w:p>
        </w:tc>
        <w:tc>
          <w:tcPr>
            <w:tcW w:w="162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Building and</w:t>
            </w:r>
          </w:p>
        </w:tc>
        <w:tc>
          <w:tcPr>
            <w:tcW w:w="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Initial Term</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Southwire Company)</w:t>
            </w:r>
          </w:p>
        </w:tc>
        <w:tc>
          <w:tcPr>
            <w:tcW w:w="16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Development</w:t>
            </w: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Loan</w:t>
            </w:r>
          </w:p>
        </w:tc>
        <w:tc>
          <w:tcPr>
            <w:tcW w:w="12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3.25%</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2/10/2021</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500,000</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498,758</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499,730</w:t>
            </w:r>
          </w:p>
        </w:tc>
      </w:tr>
      <w:tr>
        <w:trPr>
          <w:trHeight w:val="130"/>
        </w:trPr>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SRA International Inc.</w:t>
            </w:r>
          </w:p>
        </w:tc>
        <w:tc>
          <w:tcPr>
            <w:tcW w:w="162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Aerospace and</w:t>
            </w:r>
          </w:p>
        </w:tc>
        <w:tc>
          <w:tcPr>
            <w:tcW w:w="760" w:type="dxa"/>
            <w:vAlign w:val="bottom"/>
          </w:tcPr>
          <w:p>
            <w:pPr>
              <w:spacing w:after="0" w:line="130" w:lineRule="exact"/>
              <w:rPr>
                <w:sz w:val="20"/>
                <w:szCs w:val="20"/>
                <w:color w:val="auto"/>
              </w:rPr>
            </w:pPr>
            <w:r>
              <w:rPr>
                <w:rFonts w:ascii="Arial" w:cs="Arial" w:eastAsia="Arial" w:hAnsi="Arial"/>
                <w:sz w:val="14"/>
                <w:szCs w:val="14"/>
                <w:color w:val="auto"/>
              </w:rPr>
              <w:t>Term Loan</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color w:val="auto"/>
              </w:rPr>
              <w:t>Defense</w:t>
            </w:r>
          </w:p>
        </w:tc>
        <w:tc>
          <w:tcPr>
            <w:tcW w:w="760" w:type="dxa"/>
            <w:vAlign w:val="bottom"/>
          </w:tcPr>
          <w:p>
            <w:pPr>
              <w:spacing w:after="0"/>
              <w:rPr>
                <w:sz w:val="14"/>
                <w:szCs w:val="14"/>
                <w:color w:val="auto"/>
              </w:rPr>
            </w:pPr>
          </w:p>
        </w:tc>
        <w:tc>
          <w:tcPr>
            <w:tcW w:w="1200" w:type="dxa"/>
            <w:vAlign w:val="bottom"/>
            <w:gridSpan w:val="3"/>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6.50%</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7/20/2018</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w w:val="96"/>
              </w:rPr>
              <w:t>3,268,571</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3,184,532</w:t>
            </w:r>
          </w:p>
        </w:tc>
        <w:tc>
          <w:tcPr>
            <w:tcW w:w="3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3,276,743</w:t>
            </w:r>
          </w:p>
        </w:tc>
      </w:tr>
      <w:tr>
        <w:trPr>
          <w:trHeight w:val="130"/>
        </w:trPr>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SRAM, LLC</w:t>
            </w:r>
          </w:p>
        </w:tc>
        <w:tc>
          <w:tcPr>
            <w:tcW w:w="162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Industrial</w:t>
            </w:r>
          </w:p>
        </w:tc>
        <w:tc>
          <w:tcPr>
            <w:tcW w:w="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Term Loan</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620" w:type="dxa"/>
            <w:vAlign w:val="bottom"/>
            <w:gridSpan w:val="3"/>
            <w:shd w:val="clear" w:color="auto" w:fill="CCEEFF"/>
          </w:tcPr>
          <w:p>
            <w:pPr>
              <w:ind w:left="160"/>
              <w:spacing w:after="0"/>
              <w:rPr>
                <w:sz w:val="20"/>
                <w:szCs w:val="20"/>
                <w:color w:val="auto"/>
              </w:rPr>
            </w:pPr>
            <w:r>
              <w:rPr>
                <w:rFonts w:ascii="Arial" w:cs="Arial" w:eastAsia="Arial" w:hAnsi="Arial"/>
                <w:sz w:val="14"/>
                <w:szCs w:val="14"/>
                <w:color w:val="auto"/>
              </w:rPr>
              <w:t>Equipment</w:t>
            </w: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(First Lien)</w:t>
            </w:r>
          </w:p>
        </w:tc>
        <w:tc>
          <w:tcPr>
            <w:tcW w:w="12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4.01%</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4/10/2020</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w w:val="96"/>
              </w:rPr>
              <w:t>3,304,614</w:t>
            </w: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3,278,551</w:t>
            </w:r>
          </w:p>
        </w:tc>
        <w:tc>
          <w:tcPr>
            <w:tcW w:w="3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w w:val="99"/>
              </w:rPr>
              <w:t>3,304,614</w:t>
            </w:r>
          </w:p>
        </w:tc>
      </w:tr>
      <w:tr>
        <w:trPr>
          <w:trHeight w:val="130"/>
        </w:trPr>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SS&amp;C Technologies Holdings Europe</w:t>
            </w:r>
          </w:p>
        </w:tc>
        <w:tc>
          <w:tcPr>
            <w:tcW w:w="162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Business Equipment</w:t>
            </w:r>
          </w:p>
        </w:tc>
        <w:tc>
          <w:tcPr>
            <w:tcW w:w="760" w:type="dxa"/>
            <w:vAlign w:val="bottom"/>
          </w:tcPr>
          <w:p>
            <w:pPr>
              <w:spacing w:after="0" w:line="130" w:lineRule="exact"/>
              <w:rPr>
                <w:sz w:val="20"/>
                <w:szCs w:val="20"/>
                <w:color w:val="auto"/>
              </w:rPr>
            </w:pPr>
            <w:r>
              <w:rPr>
                <w:rFonts w:ascii="Arial" w:cs="Arial" w:eastAsia="Arial" w:hAnsi="Arial"/>
                <w:sz w:val="14"/>
                <w:szCs w:val="14"/>
                <w:color w:val="auto"/>
              </w:rPr>
              <w:t>2013</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6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S.A.R.L.</w:t>
            </w:r>
          </w:p>
        </w:tc>
        <w:tc>
          <w:tcPr>
            <w:tcW w:w="1620" w:type="dxa"/>
            <w:vAlign w:val="bottom"/>
            <w:gridSpan w:val="3"/>
          </w:tcPr>
          <w:p>
            <w:pPr>
              <w:ind w:left="160"/>
              <w:spacing w:after="0" w:line="149" w:lineRule="exact"/>
              <w:rPr>
                <w:sz w:val="20"/>
                <w:szCs w:val="20"/>
                <w:color w:val="auto"/>
              </w:rPr>
            </w:pPr>
            <w:r>
              <w:rPr>
                <w:rFonts w:ascii="Arial" w:cs="Arial" w:eastAsia="Arial" w:hAnsi="Arial"/>
                <w:sz w:val="14"/>
                <w:szCs w:val="14"/>
                <w:color w:val="auto"/>
              </w:rPr>
              <w:t>and Services</w:t>
            </w:r>
          </w:p>
        </w:tc>
        <w:tc>
          <w:tcPr>
            <w:tcW w:w="760" w:type="dxa"/>
            <w:vAlign w:val="bottom"/>
          </w:tcPr>
          <w:p>
            <w:pPr>
              <w:spacing w:after="0" w:line="149" w:lineRule="exact"/>
              <w:rPr>
                <w:sz w:val="20"/>
                <w:szCs w:val="20"/>
                <w:color w:val="auto"/>
              </w:rPr>
            </w:pPr>
            <w:r>
              <w:rPr>
                <w:rFonts w:ascii="Arial" w:cs="Arial" w:eastAsia="Arial" w:hAnsi="Arial"/>
                <w:sz w:val="14"/>
                <w:szCs w:val="14"/>
                <w:color w:val="auto"/>
                <w:w w:val="89"/>
              </w:rPr>
              <w:t>Replacement</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60" w:type="dxa"/>
            <w:vAlign w:val="bottom"/>
          </w:tcPr>
          <w:p>
            <w:pPr>
              <w:spacing w:after="0" w:line="149" w:lineRule="exact"/>
              <w:rPr>
                <w:sz w:val="20"/>
                <w:szCs w:val="20"/>
                <w:color w:val="auto"/>
              </w:rPr>
            </w:pPr>
            <w:r>
              <w:rPr>
                <w:rFonts w:ascii="Arial" w:cs="Arial" w:eastAsia="Arial" w:hAnsi="Arial"/>
                <w:sz w:val="14"/>
                <w:szCs w:val="14"/>
                <w:color w:val="auto"/>
              </w:rPr>
              <w:t>Term B-2</w:t>
            </w:r>
          </w:p>
        </w:tc>
        <w:tc>
          <w:tcPr>
            <w:tcW w:w="2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20"/>
                <w:szCs w:val="20"/>
                <w:color w:val="auto"/>
              </w:rPr>
            </w:pPr>
            <w:r>
              <w:rPr>
                <w:rFonts w:ascii="Arial" w:cs="Arial" w:eastAsia="Arial" w:hAnsi="Arial"/>
                <w:sz w:val="14"/>
                <w:szCs w:val="14"/>
                <w:color w:val="auto"/>
              </w:rPr>
              <w:t>Loan</w:t>
            </w:r>
          </w:p>
        </w:tc>
        <w:tc>
          <w:tcPr>
            <w:tcW w:w="1200" w:type="dxa"/>
            <w:vAlign w:val="bottom"/>
            <w:gridSpan w:val="3"/>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3.25%</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6/7/2019</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rPr>
              <w:t>64,638</w:t>
            </w:r>
          </w:p>
        </w:tc>
        <w:tc>
          <w:tcPr>
            <w:tcW w:w="1000" w:type="dxa"/>
            <w:vAlign w:val="bottom"/>
            <w:gridSpan w:val="2"/>
          </w:tcPr>
          <w:p>
            <w:pPr>
              <w:jc w:val="right"/>
              <w:ind w:right="380"/>
              <w:spacing w:after="0"/>
              <w:rPr>
                <w:sz w:val="20"/>
                <w:szCs w:val="20"/>
                <w:color w:val="auto"/>
              </w:rPr>
            </w:pPr>
            <w:r>
              <w:rPr>
                <w:rFonts w:ascii="Arial" w:cs="Arial" w:eastAsia="Arial" w:hAnsi="Arial"/>
                <w:sz w:val="14"/>
                <w:szCs w:val="14"/>
                <w:color w:val="auto"/>
              </w:rPr>
              <w:t>64,070</w:t>
            </w: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rPr>
              <w:t>64,839</w:t>
            </w:r>
          </w:p>
        </w:tc>
      </w:tr>
      <w:tr>
        <w:trPr>
          <w:trHeight w:val="130"/>
        </w:trPr>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SS&amp;C Technologies, Inc., /Sunshine</w:t>
            </w:r>
          </w:p>
        </w:tc>
        <w:tc>
          <w:tcPr>
            <w:tcW w:w="162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Business Equipment</w:t>
            </w:r>
          </w:p>
        </w:tc>
        <w:tc>
          <w:tcPr>
            <w:tcW w:w="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2013</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2620" w:type="dxa"/>
            <w:vAlign w:val="bottom"/>
            <w:gridSpan w:val="2"/>
            <w:shd w:val="clear" w:color="auto" w:fill="CCEEFF"/>
          </w:tcPr>
          <w:p>
            <w:pPr>
              <w:ind w:left="160"/>
              <w:spacing w:after="0" w:line="149" w:lineRule="exact"/>
              <w:rPr>
                <w:sz w:val="20"/>
                <w:szCs w:val="20"/>
                <w:color w:val="auto"/>
              </w:rPr>
            </w:pPr>
            <w:r>
              <w:rPr>
                <w:rFonts w:ascii="Arial" w:cs="Arial" w:eastAsia="Arial" w:hAnsi="Arial"/>
                <w:sz w:val="14"/>
                <w:szCs w:val="14"/>
                <w:color w:val="auto"/>
              </w:rPr>
              <w:t>Acquisition II, Inc.</w:t>
            </w:r>
          </w:p>
        </w:tc>
        <w:tc>
          <w:tcPr>
            <w:tcW w:w="1620" w:type="dxa"/>
            <w:vAlign w:val="bottom"/>
            <w:gridSpan w:val="3"/>
            <w:shd w:val="clear" w:color="auto" w:fill="CCEEFF"/>
          </w:tcPr>
          <w:p>
            <w:pPr>
              <w:ind w:left="160"/>
              <w:spacing w:after="0" w:line="149" w:lineRule="exact"/>
              <w:rPr>
                <w:sz w:val="20"/>
                <w:szCs w:val="20"/>
                <w:color w:val="auto"/>
              </w:rPr>
            </w:pPr>
            <w:r>
              <w:rPr>
                <w:rFonts w:ascii="Arial" w:cs="Arial" w:eastAsia="Arial" w:hAnsi="Arial"/>
                <w:sz w:val="14"/>
                <w:szCs w:val="14"/>
                <w:color w:val="auto"/>
              </w:rPr>
              <w:t>and Services</w:t>
            </w: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89"/>
              </w:rPr>
              <w:t>Replacement</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49"/>
        </w:trPr>
        <w:tc>
          <w:tcPr>
            <w:tcW w:w="780" w:type="dxa"/>
            <w:vAlign w:val="bottom"/>
            <w:shd w:val="clear" w:color="auto" w:fill="CCEEFF"/>
          </w:tcPr>
          <w:p>
            <w:pPr>
              <w:spacing w:after="0"/>
              <w:rPr>
                <w:sz w:val="12"/>
                <w:szCs w:val="12"/>
                <w:color w:val="auto"/>
              </w:rPr>
            </w:pPr>
          </w:p>
        </w:tc>
        <w:tc>
          <w:tcPr>
            <w:tcW w:w="18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Term B-1</w:t>
            </w:r>
          </w:p>
        </w:tc>
        <w:tc>
          <w:tcPr>
            <w:tcW w:w="2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780" w:type="dxa"/>
            <w:vAlign w:val="bottom"/>
            <w:shd w:val="clear" w:color="auto" w:fill="CCEEFF"/>
          </w:tcPr>
          <w:p>
            <w:pPr>
              <w:spacing w:after="0"/>
              <w:rPr>
                <w:sz w:val="14"/>
                <w:szCs w:val="14"/>
                <w:color w:val="auto"/>
              </w:rPr>
            </w:pPr>
          </w:p>
        </w:tc>
        <w:tc>
          <w:tcPr>
            <w:tcW w:w="1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Loan</w:t>
            </w:r>
          </w:p>
        </w:tc>
        <w:tc>
          <w:tcPr>
            <w:tcW w:w="12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3.25%</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6/7/2019</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624,838</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619,344</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626,782</w:t>
            </w:r>
          </w:p>
        </w:tc>
      </w:tr>
      <w:tr>
        <w:trPr>
          <w:trHeight w:val="130"/>
        </w:trPr>
        <w:tc>
          <w:tcPr>
            <w:tcW w:w="2620" w:type="dxa"/>
            <w:vAlign w:val="bottom"/>
            <w:gridSpan w:val="2"/>
          </w:tcPr>
          <w:p>
            <w:pPr>
              <w:spacing w:after="0" w:line="130" w:lineRule="exact"/>
              <w:rPr>
                <w:sz w:val="20"/>
                <w:szCs w:val="20"/>
                <w:color w:val="auto"/>
              </w:rPr>
            </w:pPr>
            <w:r>
              <w:rPr>
                <w:rFonts w:ascii="Arial" w:cs="Arial" w:eastAsia="Arial" w:hAnsi="Arial"/>
                <w:sz w:val="14"/>
                <w:szCs w:val="14"/>
                <w:color w:val="auto"/>
              </w:rPr>
              <w:t>SunCoke Energy, Inc.</w:t>
            </w:r>
          </w:p>
        </w:tc>
        <w:tc>
          <w:tcPr>
            <w:tcW w:w="1620" w:type="dxa"/>
            <w:vAlign w:val="bottom"/>
            <w:gridSpan w:val="3"/>
          </w:tcPr>
          <w:p>
            <w:pPr>
              <w:ind w:left="160"/>
              <w:spacing w:after="0" w:line="130" w:lineRule="exact"/>
              <w:rPr>
                <w:sz w:val="20"/>
                <w:szCs w:val="20"/>
                <w:color w:val="auto"/>
              </w:rPr>
            </w:pPr>
            <w:r>
              <w:rPr>
                <w:rFonts w:ascii="Arial" w:cs="Arial" w:eastAsia="Arial" w:hAnsi="Arial"/>
                <w:sz w:val="14"/>
                <w:szCs w:val="14"/>
                <w:color w:val="auto"/>
              </w:rPr>
              <w:t>Nonferrous Metals/</w:t>
            </w:r>
          </w:p>
        </w:tc>
        <w:tc>
          <w:tcPr>
            <w:tcW w:w="760" w:type="dxa"/>
            <w:vAlign w:val="bottom"/>
          </w:tcPr>
          <w:p>
            <w:pPr>
              <w:spacing w:after="0" w:line="130" w:lineRule="exact"/>
              <w:rPr>
                <w:sz w:val="20"/>
                <w:szCs w:val="20"/>
                <w:color w:val="auto"/>
              </w:rPr>
            </w:pPr>
            <w:r>
              <w:rPr>
                <w:rFonts w:ascii="Arial" w:cs="Arial" w:eastAsia="Arial" w:hAnsi="Arial"/>
                <w:sz w:val="14"/>
                <w:szCs w:val="14"/>
                <w:color w:val="auto"/>
              </w:rPr>
              <w:t>Tranche B</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620" w:type="dxa"/>
            <w:vAlign w:val="bottom"/>
            <w:gridSpan w:val="3"/>
          </w:tcPr>
          <w:p>
            <w:pPr>
              <w:ind w:left="160"/>
              <w:spacing w:after="0"/>
              <w:rPr>
                <w:sz w:val="20"/>
                <w:szCs w:val="20"/>
                <w:color w:val="auto"/>
              </w:rPr>
            </w:pPr>
            <w:r>
              <w:rPr>
                <w:rFonts w:ascii="Arial" w:cs="Arial" w:eastAsia="Arial" w:hAnsi="Arial"/>
                <w:sz w:val="14"/>
                <w:szCs w:val="14"/>
                <w:color w:val="auto"/>
              </w:rPr>
              <w:t>Minerals</w:t>
            </w:r>
          </w:p>
        </w:tc>
        <w:tc>
          <w:tcPr>
            <w:tcW w:w="760" w:type="dxa"/>
            <w:vAlign w:val="bottom"/>
          </w:tcPr>
          <w:p>
            <w:pPr>
              <w:spacing w:after="0"/>
              <w:rPr>
                <w:sz w:val="20"/>
                <w:szCs w:val="20"/>
                <w:color w:val="auto"/>
              </w:rPr>
            </w:pPr>
            <w:r>
              <w:rPr>
                <w:rFonts w:ascii="Arial" w:cs="Arial" w:eastAsia="Arial" w:hAnsi="Arial"/>
                <w:sz w:val="14"/>
                <w:szCs w:val="14"/>
                <w:color w:val="auto"/>
              </w:rPr>
              <w:t>Term Loan</w:t>
            </w:r>
          </w:p>
        </w:tc>
        <w:tc>
          <w:tcPr>
            <w:tcW w:w="1200" w:type="dxa"/>
            <w:vAlign w:val="bottom"/>
            <w:gridSpan w:val="3"/>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tcPr>
          <w:p>
            <w:pPr>
              <w:jc w:val="right"/>
              <w:ind w:right="300"/>
              <w:spacing w:after="0"/>
              <w:rPr>
                <w:sz w:val="20"/>
                <w:szCs w:val="20"/>
                <w:color w:val="auto"/>
              </w:rPr>
            </w:pPr>
            <w:r>
              <w:rPr>
                <w:rFonts w:ascii="Arial" w:cs="Arial" w:eastAsia="Arial" w:hAnsi="Arial"/>
                <w:sz w:val="14"/>
                <w:szCs w:val="14"/>
                <w:color w:val="auto"/>
              </w:rPr>
              <w:t>4.00%</w:t>
            </w:r>
          </w:p>
        </w:tc>
        <w:tc>
          <w:tcPr>
            <w:tcW w:w="1260" w:type="dxa"/>
            <w:vAlign w:val="bottom"/>
            <w:gridSpan w:val="2"/>
          </w:tcPr>
          <w:p>
            <w:pPr>
              <w:jc w:val="right"/>
              <w:ind w:right="360"/>
              <w:spacing w:after="0"/>
              <w:rPr>
                <w:sz w:val="20"/>
                <w:szCs w:val="20"/>
                <w:color w:val="auto"/>
              </w:rPr>
            </w:pPr>
            <w:r>
              <w:rPr>
                <w:rFonts w:ascii="Arial" w:cs="Arial" w:eastAsia="Arial" w:hAnsi="Arial"/>
                <w:sz w:val="14"/>
                <w:szCs w:val="14"/>
                <w:color w:val="auto"/>
              </w:rPr>
              <w:t>7/26/2018</w:t>
            </w:r>
          </w:p>
        </w:tc>
        <w:tc>
          <w:tcPr>
            <w:tcW w:w="980" w:type="dxa"/>
            <w:vAlign w:val="bottom"/>
            <w:gridSpan w:val="2"/>
          </w:tcPr>
          <w:p>
            <w:pPr>
              <w:jc w:val="right"/>
              <w:ind w:right="360"/>
              <w:spacing w:after="0"/>
              <w:rPr>
                <w:sz w:val="20"/>
                <w:szCs w:val="20"/>
                <w:color w:val="auto"/>
              </w:rPr>
            </w:pPr>
            <w:r>
              <w:rPr>
                <w:rFonts w:ascii="Arial" w:cs="Arial" w:eastAsia="Arial" w:hAnsi="Arial"/>
                <w:sz w:val="14"/>
                <w:szCs w:val="14"/>
                <w:color w:val="auto"/>
                <w:w w:val="96"/>
              </w:rPr>
              <w:t>1,367,311</w:t>
            </w:r>
          </w:p>
        </w:tc>
        <w:tc>
          <w:tcPr>
            <w:tcW w:w="620" w:type="dxa"/>
            <w:vAlign w:val="bottom"/>
          </w:tcPr>
          <w:p>
            <w:pPr>
              <w:jc w:val="right"/>
              <w:spacing w:after="0"/>
              <w:rPr>
                <w:sz w:val="20"/>
                <w:szCs w:val="20"/>
                <w:color w:val="auto"/>
              </w:rPr>
            </w:pPr>
            <w:r>
              <w:rPr>
                <w:rFonts w:ascii="Arial" w:cs="Arial" w:eastAsia="Arial" w:hAnsi="Arial"/>
                <w:sz w:val="14"/>
                <w:szCs w:val="14"/>
                <w:color w:val="auto"/>
                <w:w w:val="96"/>
              </w:rPr>
              <w:t>1,359,200</w:t>
            </w:r>
          </w:p>
        </w:tc>
        <w:tc>
          <w:tcPr>
            <w:tcW w:w="380" w:type="dxa"/>
            <w:vAlign w:val="bottom"/>
          </w:tcPr>
          <w:p>
            <w:pPr>
              <w:spacing w:after="0"/>
              <w:rPr>
                <w:sz w:val="14"/>
                <w:szCs w:val="14"/>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4"/>
                <w:szCs w:val="14"/>
                <w:color w:val="auto"/>
                <w:w w:val="99"/>
              </w:rPr>
              <w:t>1,367,311</w:t>
            </w:r>
          </w:p>
        </w:tc>
      </w:tr>
      <w:tr>
        <w:trPr>
          <w:trHeight w:val="130"/>
        </w:trPr>
        <w:tc>
          <w:tcPr>
            <w:tcW w:w="26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SunGard Data Systems Inc (Solar Capital</w:t>
            </w:r>
          </w:p>
        </w:tc>
        <w:tc>
          <w:tcPr>
            <w:tcW w:w="1620" w:type="dxa"/>
            <w:vAlign w:val="bottom"/>
            <w:gridSpan w:val="3"/>
            <w:shd w:val="clear" w:color="auto" w:fill="CCEEFF"/>
          </w:tcPr>
          <w:p>
            <w:pPr>
              <w:ind w:left="160"/>
              <w:spacing w:after="0" w:line="130" w:lineRule="exact"/>
              <w:rPr>
                <w:sz w:val="20"/>
                <w:szCs w:val="20"/>
                <w:color w:val="auto"/>
              </w:rPr>
            </w:pPr>
            <w:r>
              <w:rPr>
                <w:rFonts w:ascii="Arial" w:cs="Arial" w:eastAsia="Arial" w:hAnsi="Arial"/>
                <w:sz w:val="14"/>
                <w:szCs w:val="14"/>
                <w:color w:val="auto"/>
              </w:rPr>
              <w:t>Conglomerate</w:t>
            </w:r>
          </w:p>
        </w:tc>
        <w:tc>
          <w:tcPr>
            <w:tcW w:w="76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Tranche C</w:t>
            </w:r>
          </w:p>
        </w:tc>
        <w:tc>
          <w:tcPr>
            <w:tcW w:w="2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6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Corp.)</w:t>
            </w:r>
          </w:p>
        </w:tc>
        <w:tc>
          <w:tcPr>
            <w:tcW w:w="1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4"/>
                <w:szCs w:val="14"/>
                <w:color w:val="auto"/>
              </w:rPr>
              <w:t>Term Loan</w:t>
            </w:r>
          </w:p>
        </w:tc>
        <w:tc>
          <w:tcPr>
            <w:tcW w:w="1200" w:type="dxa"/>
            <w:vAlign w:val="bottom"/>
            <w:gridSpan w:val="3"/>
            <w:shd w:val="clear" w:color="auto" w:fill="CCEEFF"/>
          </w:tcPr>
          <w:p>
            <w:pPr>
              <w:ind w:left="240"/>
              <w:spacing w:after="0"/>
              <w:rPr>
                <w:sz w:val="20"/>
                <w:szCs w:val="20"/>
                <w:color w:val="auto"/>
              </w:rPr>
            </w:pPr>
            <w:r>
              <w:rPr>
                <w:rFonts w:ascii="Arial" w:cs="Arial" w:eastAsia="Arial" w:hAnsi="Arial"/>
                <w:sz w:val="14"/>
                <w:szCs w:val="14"/>
                <w:color w:val="auto"/>
              </w:rPr>
              <w:t>Loan</w:t>
            </w:r>
          </w:p>
        </w:tc>
        <w:tc>
          <w:tcPr>
            <w:tcW w:w="12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3.95%</w:t>
            </w:r>
          </w:p>
        </w:tc>
        <w:tc>
          <w:tcPr>
            <w:tcW w:w="126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2/28/2017</w:t>
            </w:r>
          </w:p>
        </w:tc>
        <w:tc>
          <w:tcPr>
            <w:tcW w:w="980" w:type="dxa"/>
            <w:vAlign w:val="bottom"/>
            <w:gridSpan w:val="2"/>
            <w:shd w:val="clear" w:color="auto" w:fill="CCEEFF"/>
          </w:tcPr>
          <w:p>
            <w:pPr>
              <w:jc w:val="right"/>
              <w:ind w:right="360"/>
              <w:spacing w:after="0"/>
              <w:rPr>
                <w:sz w:val="20"/>
                <w:szCs w:val="20"/>
                <w:color w:val="auto"/>
              </w:rPr>
            </w:pPr>
            <w:r>
              <w:rPr>
                <w:rFonts w:ascii="Arial" w:cs="Arial" w:eastAsia="Arial" w:hAnsi="Arial"/>
                <w:sz w:val="14"/>
                <w:szCs w:val="14"/>
                <w:color w:val="auto"/>
              </w:rPr>
              <w:t>304,311</w:t>
            </w: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4"/>
                <w:szCs w:val="14"/>
                <w:color w:val="auto"/>
              </w:rPr>
              <w:t>302,167</w:t>
            </w: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305,452</w:t>
            </w:r>
          </w:p>
        </w:tc>
      </w:tr>
    </w:tbl>
    <w:p>
      <w:pPr>
        <w:spacing w:after="0" w:line="134" w:lineRule="exact"/>
        <w:rPr>
          <w:sz w:val="20"/>
          <w:szCs w:val="20"/>
          <w:color w:val="auto"/>
        </w:rPr>
      </w:pPr>
    </w:p>
    <w:p>
      <w:pPr>
        <w:sectPr>
          <w:pgSz w:w="11900" w:h="16838" w:orient="portrait"/>
          <w:cols w:equalWidth="0" w:num="1">
            <w:col w:w="11420"/>
          </w:cols>
          <w:pgMar w:left="240" w:top="459" w:right="239" w:bottom="1440" w:gutter="0" w:footer="0" w:header="0"/>
        </w:sect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459" w:right="239" w:bottom="1440" w:gutter="0" w:footer="0" w:header="0"/>
          <w:type w:val="continuous"/>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20" w:type="dxa"/>
            <w:vAlign w:val="bottom"/>
            <w:gridSpan w:val="2"/>
          </w:tcPr>
          <w:p>
            <w:pPr>
              <w:spacing w:after="0"/>
              <w:rPr>
                <w:sz w:val="20"/>
                <w:szCs w:val="20"/>
                <w:color w:val="auto"/>
              </w:rPr>
            </w:pPr>
            <w:r>
              <w:rPr>
                <w:rFonts w:ascii="Arial" w:cs="Arial" w:eastAsia="Arial" w:hAnsi="Arial"/>
                <w:sz w:val="14"/>
                <w:szCs w:val="14"/>
                <w:b w:val="1"/>
                <w:bCs w:val="1"/>
                <w:color w:val="auto"/>
              </w:rPr>
              <w:t>Issuer Name</w:t>
            </w:r>
          </w:p>
        </w:tc>
        <w:tc>
          <w:tcPr>
            <w:tcW w:w="120" w:type="dxa"/>
            <w:vAlign w:val="bottom"/>
          </w:tcPr>
          <w:p>
            <w:pPr>
              <w:spacing w:after="0"/>
              <w:rPr>
                <w:sz w:val="16"/>
                <w:szCs w:val="16"/>
                <w:color w:val="auto"/>
              </w:rPr>
            </w:pPr>
          </w:p>
        </w:tc>
        <w:tc>
          <w:tcPr>
            <w:tcW w:w="1200" w:type="dxa"/>
            <w:vAlign w:val="bottom"/>
          </w:tcPr>
          <w:p>
            <w:pPr>
              <w:ind w:left="320"/>
              <w:spacing w:after="0"/>
              <w:rPr>
                <w:sz w:val="20"/>
                <w:szCs w:val="20"/>
                <w:color w:val="auto"/>
              </w:rPr>
            </w:pPr>
            <w:r>
              <w:rPr>
                <w:rFonts w:ascii="Arial" w:cs="Arial" w:eastAsia="Arial" w:hAnsi="Arial"/>
                <w:sz w:val="14"/>
                <w:szCs w:val="14"/>
                <w:b w:val="1"/>
                <w:bCs w:val="1"/>
                <w:color w:val="auto"/>
              </w:rPr>
              <w:t>Industry</w:t>
            </w:r>
          </w:p>
        </w:tc>
        <w:tc>
          <w:tcPr>
            <w:tcW w:w="180" w:type="dxa"/>
            <w:vAlign w:val="bottom"/>
          </w:tcPr>
          <w:p>
            <w:pPr>
              <w:spacing w:after="0"/>
              <w:rPr>
                <w:sz w:val="16"/>
                <w:szCs w:val="16"/>
                <w:color w:val="auto"/>
              </w:rPr>
            </w:pP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Asset Name</w:t>
            </w: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rPr>
              <w:t>Asset Type</w:t>
            </w: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6"/>
              </w:rPr>
              <w:t>Current Rate</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6"/>
              </w:rPr>
              <w:t>Maturity Date</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Principal</w:t>
            </w:r>
          </w:p>
        </w:tc>
        <w:tc>
          <w:tcPr>
            <w:tcW w:w="9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00" w:type="dxa"/>
            <w:vAlign w:val="bottom"/>
          </w:tcPr>
          <w:p>
            <w:pPr>
              <w:spacing w:after="0"/>
              <w:rPr>
                <w:sz w:val="16"/>
                <w:szCs w:val="16"/>
                <w:color w:val="auto"/>
              </w:rPr>
            </w:pPr>
          </w:p>
        </w:tc>
        <w:tc>
          <w:tcPr>
            <w:tcW w:w="900" w:type="dxa"/>
            <w:vAlign w:val="bottom"/>
            <w:gridSpan w:val="2"/>
          </w:tcPr>
          <w:p>
            <w:pPr>
              <w:ind w:left="100"/>
              <w:spacing w:after="0"/>
              <w:rPr>
                <w:sz w:val="20"/>
                <w:szCs w:val="20"/>
                <w:color w:val="auto"/>
              </w:rPr>
            </w:pPr>
            <w:r>
              <w:rPr>
                <w:rFonts w:ascii="Arial" w:cs="Arial" w:eastAsia="Arial" w:hAnsi="Arial"/>
                <w:sz w:val="14"/>
                <w:szCs w:val="14"/>
                <w:b w:val="1"/>
                <w:bCs w:val="1"/>
                <w:color w:val="auto"/>
              </w:rPr>
              <w:t>Fair Value</w:t>
            </w:r>
          </w:p>
        </w:tc>
      </w:tr>
      <w:tr>
        <w:trPr>
          <w:trHeight w:val="123"/>
        </w:trPr>
        <w:tc>
          <w:tcPr>
            <w:tcW w:w="78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w w:val="84"/>
              </w:rPr>
              <w:t>SunGard Data</w:t>
            </w:r>
          </w:p>
        </w:tc>
        <w:tc>
          <w:tcPr>
            <w:tcW w:w="2140" w:type="dxa"/>
            <w:vAlign w:val="bottom"/>
            <w:tcBorders>
              <w:top w:val="single" w:sz="8" w:color="CCEEFF"/>
            </w:tcBorders>
            <w:shd w:val="clear" w:color="auto" w:fill="CCEEFF"/>
          </w:tcPr>
          <w:p>
            <w:pPr>
              <w:ind w:left="80"/>
              <w:spacing w:after="0" w:line="123" w:lineRule="exact"/>
              <w:rPr>
                <w:sz w:val="20"/>
                <w:szCs w:val="20"/>
                <w:color w:val="auto"/>
              </w:rPr>
            </w:pPr>
            <w:r>
              <w:rPr>
                <w:rFonts w:ascii="Arial" w:cs="Arial" w:eastAsia="Arial" w:hAnsi="Arial"/>
                <w:sz w:val="14"/>
                <w:szCs w:val="14"/>
                <w:color w:val="auto"/>
                <w:w w:val="98"/>
              </w:rPr>
              <w:t>Systems Inc (Solar Capital Corp.)</w:t>
            </w:r>
          </w:p>
        </w:tc>
        <w:tc>
          <w:tcPr>
            <w:tcW w:w="120" w:type="dxa"/>
            <w:vAlign w:val="bottom"/>
            <w:tcBorders>
              <w:top w:val="single" w:sz="8" w:color="CCEEFF"/>
            </w:tcBorders>
            <w:shd w:val="clear" w:color="auto" w:fill="CCEEFF"/>
          </w:tcPr>
          <w:p>
            <w:pPr>
              <w:spacing w:after="0"/>
              <w:rPr>
                <w:sz w:val="10"/>
                <w:szCs w:val="10"/>
                <w:color w:val="auto"/>
              </w:rPr>
            </w:pPr>
          </w:p>
        </w:tc>
        <w:tc>
          <w:tcPr>
            <w:tcW w:w="120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Conglomerate</w:t>
            </w:r>
          </w:p>
        </w:tc>
        <w:tc>
          <w:tcPr>
            <w:tcW w:w="180" w:type="dxa"/>
            <w:vAlign w:val="bottom"/>
            <w:tcBorders>
              <w:top w:val="single" w:sz="8" w:color="CCEEFF"/>
            </w:tcBorders>
            <w:shd w:val="clear" w:color="auto" w:fill="CCEEFF"/>
          </w:tcPr>
          <w:p>
            <w:pPr>
              <w:spacing w:after="0"/>
              <w:rPr>
                <w:sz w:val="10"/>
                <w:szCs w:val="10"/>
                <w:color w:val="auto"/>
              </w:rPr>
            </w:pPr>
          </w:p>
        </w:tc>
        <w:tc>
          <w:tcPr>
            <w:tcW w:w="760" w:type="dxa"/>
            <w:vAlign w:val="bottom"/>
            <w:tcBorders>
              <w:top w:val="single" w:sz="8" w:color="auto"/>
            </w:tcBorders>
            <w:shd w:val="clear" w:color="auto" w:fill="CCEEFF"/>
          </w:tcPr>
          <w:p>
            <w:pPr>
              <w:spacing w:after="0" w:line="123" w:lineRule="exact"/>
              <w:rPr>
                <w:sz w:val="20"/>
                <w:szCs w:val="20"/>
                <w:color w:val="auto"/>
              </w:rPr>
            </w:pPr>
            <w:r>
              <w:rPr>
                <w:rFonts w:ascii="Arial" w:cs="Arial" w:eastAsia="Arial" w:hAnsi="Arial"/>
                <w:sz w:val="14"/>
                <w:szCs w:val="14"/>
                <w:color w:val="auto"/>
              </w:rPr>
              <w:t>Tranche E</w:t>
            </w:r>
          </w:p>
        </w:tc>
        <w:tc>
          <w:tcPr>
            <w:tcW w:w="180" w:type="dxa"/>
            <w:vAlign w:val="bottom"/>
            <w:tcBorders>
              <w:top w:val="single" w:sz="8" w:color="CCEEFF"/>
            </w:tcBorders>
            <w:shd w:val="clear" w:color="auto" w:fill="CCEEFF"/>
          </w:tcPr>
          <w:p>
            <w:pPr>
              <w:spacing w:after="0"/>
              <w:rPr>
                <w:sz w:val="10"/>
                <w:szCs w:val="10"/>
                <w:color w:val="auto"/>
              </w:rPr>
            </w:pPr>
          </w:p>
        </w:tc>
        <w:tc>
          <w:tcPr>
            <w:tcW w:w="680" w:type="dxa"/>
            <w:vAlign w:val="bottom"/>
            <w:tcBorders>
              <w:top w:val="single" w:sz="8" w:color="auto"/>
            </w:tcBorders>
            <w:shd w:val="clear" w:color="auto" w:fill="CCEEFF"/>
          </w:tcPr>
          <w:p>
            <w:pPr>
              <w:spacing w:after="0"/>
              <w:rPr>
                <w:sz w:val="10"/>
                <w:szCs w:val="10"/>
                <w:color w:val="auto"/>
              </w:rPr>
            </w:pPr>
          </w:p>
        </w:tc>
        <w:tc>
          <w:tcPr>
            <w:tcW w:w="180" w:type="dxa"/>
            <w:vAlign w:val="bottom"/>
            <w:tcBorders>
              <w:top w:val="single" w:sz="8" w:color="CCEEFF"/>
            </w:tcBorders>
            <w:shd w:val="clear" w:color="auto" w:fill="CCEEFF"/>
          </w:tcPr>
          <w:p>
            <w:pPr>
              <w:spacing w:after="0"/>
              <w:rPr>
                <w:sz w:val="10"/>
                <w:szCs w:val="10"/>
                <w:color w:val="auto"/>
              </w:rPr>
            </w:pPr>
          </w:p>
        </w:tc>
        <w:tc>
          <w:tcPr>
            <w:tcW w:w="840" w:type="dxa"/>
            <w:vAlign w:val="bottom"/>
            <w:tcBorders>
              <w:top w:val="single" w:sz="8" w:color="auto"/>
            </w:tcBorders>
            <w:shd w:val="clear" w:color="auto" w:fill="CCEEFF"/>
          </w:tcPr>
          <w:p>
            <w:pPr>
              <w:spacing w:after="0"/>
              <w:rPr>
                <w:sz w:val="10"/>
                <w:szCs w:val="10"/>
                <w:color w:val="auto"/>
              </w:rPr>
            </w:pPr>
          </w:p>
        </w:tc>
        <w:tc>
          <w:tcPr>
            <w:tcW w:w="340" w:type="dxa"/>
            <w:vAlign w:val="bottom"/>
            <w:tcBorders>
              <w:top w:val="single" w:sz="8" w:color="CCEEFF"/>
            </w:tcBorders>
            <w:shd w:val="clear" w:color="auto" w:fill="CCEEFF"/>
          </w:tcPr>
          <w:p>
            <w:pPr>
              <w:spacing w:after="0"/>
              <w:rPr>
                <w:sz w:val="10"/>
                <w:szCs w:val="10"/>
                <w:color w:val="auto"/>
              </w:rPr>
            </w:pPr>
          </w:p>
        </w:tc>
        <w:tc>
          <w:tcPr>
            <w:tcW w:w="880" w:type="dxa"/>
            <w:vAlign w:val="bottom"/>
            <w:tcBorders>
              <w:top w:val="single" w:sz="8" w:color="auto"/>
            </w:tcBorders>
            <w:shd w:val="clear" w:color="auto" w:fill="CCEEFF"/>
          </w:tcPr>
          <w:p>
            <w:pPr>
              <w:spacing w:after="0"/>
              <w:rPr>
                <w:sz w:val="10"/>
                <w:szCs w:val="10"/>
                <w:color w:val="auto"/>
              </w:rPr>
            </w:pPr>
          </w:p>
        </w:tc>
        <w:tc>
          <w:tcPr>
            <w:tcW w:w="280" w:type="dxa"/>
            <w:vAlign w:val="bottom"/>
            <w:tcBorders>
              <w:top w:val="single" w:sz="8" w:color="CCEEFF"/>
            </w:tcBorders>
            <w:shd w:val="clear" w:color="auto" w:fill="CCEEFF"/>
          </w:tcPr>
          <w:p>
            <w:pPr>
              <w:spacing w:after="0"/>
              <w:rPr>
                <w:sz w:val="10"/>
                <w:szCs w:val="10"/>
                <w:color w:val="auto"/>
              </w:rPr>
            </w:pPr>
          </w:p>
        </w:tc>
        <w:tc>
          <w:tcPr>
            <w:tcW w:w="620" w:type="dxa"/>
            <w:vAlign w:val="bottom"/>
            <w:tcBorders>
              <w:top w:val="single" w:sz="8" w:color="auto"/>
            </w:tcBorders>
            <w:shd w:val="clear" w:color="auto" w:fill="CCEEFF"/>
          </w:tcPr>
          <w:p>
            <w:pPr>
              <w:spacing w:after="0"/>
              <w:rPr>
                <w:sz w:val="10"/>
                <w:szCs w:val="10"/>
                <w:color w:val="auto"/>
              </w:rPr>
            </w:pPr>
          </w:p>
        </w:tc>
        <w:tc>
          <w:tcPr>
            <w:tcW w:w="26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16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82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r>
      <w:tr>
        <w:trPr>
          <w:trHeight w:val="167"/>
        </w:trPr>
        <w:tc>
          <w:tcPr>
            <w:tcW w:w="7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Term Loan</w:t>
            </w:r>
          </w:p>
        </w:tc>
        <w:tc>
          <w:tcPr>
            <w:tcW w:w="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3/8/2020</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6"/>
              </w:rPr>
              <w:t>4,221,845</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4,096,936</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4,238,944</w:t>
            </w:r>
          </w:p>
        </w:tc>
      </w:tr>
      <w:tr>
        <w:trPr>
          <w:trHeight w:val="149"/>
        </w:trPr>
        <w:tc>
          <w:tcPr>
            <w:tcW w:w="2920" w:type="dxa"/>
            <w:vAlign w:val="bottom"/>
            <w:gridSpan w:val="2"/>
          </w:tcPr>
          <w:p>
            <w:pPr>
              <w:spacing w:after="0" w:line="149" w:lineRule="exact"/>
              <w:rPr>
                <w:sz w:val="20"/>
                <w:szCs w:val="20"/>
                <w:color w:val="auto"/>
              </w:rPr>
            </w:pPr>
            <w:r>
              <w:rPr>
                <w:rFonts w:ascii="Arial" w:cs="Arial" w:eastAsia="Arial" w:hAnsi="Arial"/>
                <w:sz w:val="14"/>
                <w:szCs w:val="14"/>
                <w:color w:val="auto"/>
              </w:rPr>
              <w:t>SuperMedia Inc. (fka Idearc Inc.)</w:t>
            </w:r>
          </w:p>
        </w:tc>
        <w:tc>
          <w:tcPr>
            <w:tcW w:w="13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Publishing</w:t>
            </w:r>
          </w:p>
        </w:tc>
        <w:tc>
          <w:tcPr>
            <w:tcW w:w="112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Loan</w:t>
            </w:r>
          </w:p>
        </w:tc>
        <w:tc>
          <w:tcPr>
            <w:tcW w:w="860" w:type="dxa"/>
            <w:vAlign w:val="bottom"/>
            <w:gridSpan w:val="2"/>
          </w:tcPr>
          <w:p>
            <w:pPr>
              <w:spacing w:after="0" w:line="149" w:lineRule="exact"/>
              <w:rPr>
                <w:sz w:val="20"/>
                <w:szCs w:val="20"/>
                <w:color w:val="auto"/>
              </w:rPr>
            </w:pPr>
            <w:r>
              <w:rPr>
                <w:rFonts w:ascii="Arial" w:cs="Arial" w:eastAsia="Arial" w:hAnsi="Arial"/>
                <w:sz w:val="14"/>
                <w:szCs w:val="14"/>
                <w:color w:val="auto"/>
              </w:rPr>
              <w:t>Loan</w:t>
            </w:r>
          </w:p>
        </w:tc>
        <w:tc>
          <w:tcPr>
            <w:tcW w:w="118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11.60%</w:t>
            </w:r>
          </w:p>
        </w:tc>
        <w:tc>
          <w:tcPr>
            <w:tcW w:w="116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12/30/2016</w:t>
            </w:r>
          </w:p>
        </w:tc>
        <w:tc>
          <w:tcPr>
            <w:tcW w:w="88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264,330</w:t>
            </w: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257,131</w:t>
            </w:r>
          </w:p>
        </w:tc>
        <w:tc>
          <w:tcPr>
            <w:tcW w:w="100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196,762</w:t>
            </w:r>
          </w:p>
        </w:tc>
      </w:tr>
      <w:tr>
        <w:trPr>
          <w:trHeight w:val="130"/>
        </w:trPr>
        <w:tc>
          <w:tcPr>
            <w:tcW w:w="2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Syniverse Holdings, Inc.</w:t>
            </w:r>
          </w:p>
        </w:tc>
        <w:tc>
          <w:tcPr>
            <w:tcW w:w="13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1"/>
              </w:rPr>
              <w:t>Telecommunications</w:t>
            </w:r>
          </w:p>
        </w:tc>
        <w:tc>
          <w:tcPr>
            <w:tcW w:w="112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Initial Term</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Loan</w:t>
            </w:r>
          </w:p>
        </w:tc>
        <w:tc>
          <w:tcPr>
            <w:tcW w:w="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4/23/2019</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479,913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476,371</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480,911</w:t>
            </w:r>
          </w:p>
        </w:tc>
      </w:tr>
      <w:tr>
        <w:trPr>
          <w:trHeight w:val="130"/>
        </w:trPr>
        <w:tc>
          <w:tcPr>
            <w:tcW w:w="2920" w:type="dxa"/>
            <w:vAlign w:val="bottom"/>
            <w:gridSpan w:val="2"/>
          </w:tcPr>
          <w:p>
            <w:pPr>
              <w:spacing w:after="0" w:line="130" w:lineRule="exact"/>
              <w:rPr>
                <w:sz w:val="20"/>
                <w:szCs w:val="20"/>
                <w:color w:val="auto"/>
              </w:rPr>
            </w:pPr>
            <w:r>
              <w:rPr>
                <w:rFonts w:ascii="Arial" w:cs="Arial" w:eastAsia="Arial" w:hAnsi="Arial"/>
                <w:sz w:val="14"/>
                <w:szCs w:val="14"/>
                <w:color w:val="auto"/>
              </w:rPr>
              <w:t>Taminco Global Chemical Corporation</w:t>
            </w:r>
          </w:p>
        </w:tc>
        <w:tc>
          <w:tcPr>
            <w:tcW w:w="13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Chemicals/Plastics</w:t>
            </w:r>
          </w:p>
        </w:tc>
        <w:tc>
          <w:tcPr>
            <w:tcW w:w="112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Initial</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7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2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Tranche B-3</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9"/>
        </w:trPr>
        <w:tc>
          <w:tcPr>
            <w:tcW w:w="7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2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Dollar Term</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7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gridSpan w:val="3"/>
          </w:tcPr>
          <w:p>
            <w:pPr>
              <w:ind w:left="180"/>
              <w:spacing w:after="0"/>
              <w:rPr>
                <w:sz w:val="20"/>
                <w:szCs w:val="20"/>
                <w:color w:val="auto"/>
              </w:rPr>
            </w:pPr>
            <w:r>
              <w:rPr>
                <w:rFonts w:ascii="Arial" w:cs="Arial" w:eastAsia="Arial" w:hAnsi="Arial"/>
                <w:sz w:val="14"/>
                <w:szCs w:val="14"/>
                <w:color w:val="auto"/>
              </w:rPr>
              <w:t>Loan</w:t>
            </w:r>
          </w:p>
        </w:tc>
        <w:tc>
          <w:tcPr>
            <w:tcW w:w="860" w:type="dxa"/>
            <w:vAlign w:val="bottom"/>
            <w:gridSpan w:val="2"/>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3.25%</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2/15/2019</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1,473,863</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1,464,165</w:t>
            </w:r>
          </w:p>
        </w:tc>
        <w:tc>
          <w:tcPr>
            <w:tcW w:w="1000" w:type="dxa"/>
            <w:vAlign w:val="bottom"/>
            <w:gridSpan w:val="3"/>
          </w:tcPr>
          <w:p>
            <w:pPr>
              <w:jc w:val="right"/>
              <w:ind w:right="80"/>
              <w:spacing w:after="0"/>
              <w:rPr>
                <w:sz w:val="20"/>
                <w:szCs w:val="20"/>
                <w:color w:val="auto"/>
              </w:rPr>
            </w:pPr>
            <w:r>
              <w:rPr>
                <w:rFonts w:ascii="Arial" w:cs="Arial" w:eastAsia="Arial" w:hAnsi="Arial"/>
                <w:sz w:val="14"/>
                <w:szCs w:val="14"/>
                <w:color w:val="auto"/>
              </w:rPr>
              <w:t>1,473,406</w:t>
            </w:r>
          </w:p>
        </w:tc>
      </w:tr>
      <w:tr>
        <w:trPr>
          <w:trHeight w:val="130"/>
        </w:trPr>
        <w:tc>
          <w:tcPr>
            <w:tcW w:w="2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Team Health, Inc.</w:t>
            </w:r>
          </w:p>
        </w:tc>
        <w:tc>
          <w:tcPr>
            <w:tcW w:w="13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Healthcare</w:t>
            </w:r>
          </w:p>
        </w:tc>
        <w:tc>
          <w:tcPr>
            <w:tcW w:w="112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Tranche B</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Term Loan</w:t>
            </w:r>
          </w:p>
        </w:tc>
        <w:tc>
          <w:tcPr>
            <w:tcW w:w="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3.75%</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6/29/2018</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6"/>
              </w:rPr>
              <w:t>4,387,500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4,373,856</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4,387,500</w:t>
            </w:r>
          </w:p>
        </w:tc>
      </w:tr>
      <w:tr>
        <w:trPr>
          <w:trHeight w:val="130"/>
        </w:trPr>
        <w:tc>
          <w:tcPr>
            <w:tcW w:w="2920" w:type="dxa"/>
            <w:vAlign w:val="bottom"/>
            <w:gridSpan w:val="2"/>
          </w:tcPr>
          <w:p>
            <w:pPr>
              <w:spacing w:after="0" w:line="130" w:lineRule="exact"/>
              <w:rPr>
                <w:sz w:val="20"/>
                <w:szCs w:val="20"/>
                <w:color w:val="auto"/>
              </w:rPr>
            </w:pPr>
            <w:r>
              <w:rPr>
                <w:rFonts w:ascii="Arial" w:cs="Arial" w:eastAsia="Arial" w:hAnsi="Arial"/>
                <w:sz w:val="14"/>
                <w:szCs w:val="14"/>
                <w:color w:val="auto"/>
              </w:rPr>
              <w:t>TECTUM HOLDINGS INC.</w:t>
            </w:r>
          </w:p>
        </w:tc>
        <w:tc>
          <w:tcPr>
            <w:tcW w:w="13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Industrial</w:t>
            </w:r>
          </w:p>
        </w:tc>
        <w:tc>
          <w:tcPr>
            <w:tcW w:w="112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Term Loan</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Equipment</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6.50%</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12/3/2015</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3,800,160</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3,788,706</w:t>
            </w:r>
          </w:p>
        </w:tc>
        <w:tc>
          <w:tcPr>
            <w:tcW w:w="1000" w:type="dxa"/>
            <w:vAlign w:val="bottom"/>
            <w:gridSpan w:val="3"/>
          </w:tcPr>
          <w:p>
            <w:pPr>
              <w:jc w:val="right"/>
              <w:ind w:right="80"/>
              <w:spacing w:after="0"/>
              <w:rPr>
                <w:sz w:val="20"/>
                <w:szCs w:val="20"/>
                <w:color w:val="auto"/>
              </w:rPr>
            </w:pPr>
            <w:r>
              <w:rPr>
                <w:rFonts w:ascii="Arial" w:cs="Arial" w:eastAsia="Arial" w:hAnsi="Arial"/>
                <w:sz w:val="14"/>
                <w:szCs w:val="14"/>
                <w:color w:val="auto"/>
              </w:rPr>
              <w:t>3,762,159</w:t>
            </w:r>
          </w:p>
        </w:tc>
      </w:tr>
      <w:tr>
        <w:trPr>
          <w:trHeight w:val="130"/>
        </w:trPr>
        <w:tc>
          <w:tcPr>
            <w:tcW w:w="2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Tomkins, LLC / Tomkins, Inc. (f/k/a Pinafore,</w:t>
            </w:r>
          </w:p>
        </w:tc>
        <w:tc>
          <w:tcPr>
            <w:tcW w:w="13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Conglomerate</w:t>
            </w:r>
          </w:p>
        </w:tc>
        <w:tc>
          <w:tcPr>
            <w:tcW w:w="112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Term B-2</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2920" w:type="dxa"/>
            <w:vAlign w:val="bottom"/>
            <w:gridSpan w:val="2"/>
            <w:shd w:val="clear" w:color="auto" w:fill="CCEEFF"/>
          </w:tcPr>
          <w:p>
            <w:pPr>
              <w:ind w:left="160"/>
              <w:spacing w:after="0"/>
              <w:rPr>
                <w:sz w:val="20"/>
                <w:szCs w:val="20"/>
                <w:color w:val="auto"/>
              </w:rPr>
            </w:pPr>
            <w:r>
              <w:rPr>
                <w:rFonts w:ascii="Arial" w:cs="Arial" w:eastAsia="Arial" w:hAnsi="Arial"/>
                <w:sz w:val="14"/>
                <w:szCs w:val="14"/>
                <w:color w:val="auto"/>
              </w:rPr>
              <w:t>LLC / Pinafore, Inc.)</w:t>
            </w: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Loan</w:t>
            </w:r>
          </w:p>
        </w:tc>
        <w:tc>
          <w:tcPr>
            <w:tcW w:w="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3.75%</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9/29/2016</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6"/>
              </w:rPr>
              <w:t>2,356,680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2,360,795</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2,361,982</w:t>
            </w:r>
          </w:p>
        </w:tc>
      </w:tr>
      <w:tr>
        <w:trPr>
          <w:trHeight w:val="130"/>
        </w:trPr>
        <w:tc>
          <w:tcPr>
            <w:tcW w:w="2920" w:type="dxa"/>
            <w:vAlign w:val="bottom"/>
            <w:gridSpan w:val="2"/>
          </w:tcPr>
          <w:p>
            <w:pPr>
              <w:spacing w:after="0" w:line="130" w:lineRule="exact"/>
              <w:rPr>
                <w:sz w:val="20"/>
                <w:szCs w:val="20"/>
                <w:color w:val="auto"/>
              </w:rPr>
            </w:pPr>
            <w:r>
              <w:rPr>
                <w:rFonts w:ascii="Arial" w:cs="Arial" w:eastAsia="Arial" w:hAnsi="Arial"/>
                <w:sz w:val="14"/>
                <w:szCs w:val="14"/>
                <w:color w:val="auto"/>
              </w:rPr>
              <w:t>TransDigm Inc.</w:t>
            </w:r>
          </w:p>
        </w:tc>
        <w:tc>
          <w:tcPr>
            <w:tcW w:w="13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Aerospace and</w:t>
            </w:r>
          </w:p>
        </w:tc>
        <w:tc>
          <w:tcPr>
            <w:tcW w:w="112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Tranche C</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Defense</w:t>
            </w:r>
          </w:p>
        </w:tc>
        <w:tc>
          <w:tcPr>
            <w:tcW w:w="1120" w:type="dxa"/>
            <w:vAlign w:val="bottom"/>
            <w:gridSpan w:val="3"/>
          </w:tcPr>
          <w:p>
            <w:pPr>
              <w:ind w:left="180"/>
              <w:spacing w:after="0"/>
              <w:rPr>
                <w:sz w:val="20"/>
                <w:szCs w:val="20"/>
                <w:color w:val="auto"/>
              </w:rPr>
            </w:pPr>
            <w:r>
              <w:rPr>
                <w:rFonts w:ascii="Arial" w:cs="Arial" w:eastAsia="Arial" w:hAnsi="Arial"/>
                <w:sz w:val="14"/>
                <w:szCs w:val="14"/>
                <w:color w:val="auto"/>
              </w:rPr>
              <w:t>Term Loan</w:t>
            </w:r>
          </w:p>
        </w:tc>
        <w:tc>
          <w:tcPr>
            <w:tcW w:w="860" w:type="dxa"/>
            <w:vAlign w:val="bottom"/>
            <w:gridSpan w:val="2"/>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3.75%</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2/28/2020</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4,896,514</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4,904,843</w:t>
            </w:r>
          </w:p>
        </w:tc>
        <w:tc>
          <w:tcPr>
            <w:tcW w:w="1000" w:type="dxa"/>
            <w:vAlign w:val="bottom"/>
            <w:gridSpan w:val="3"/>
          </w:tcPr>
          <w:p>
            <w:pPr>
              <w:jc w:val="right"/>
              <w:ind w:right="80"/>
              <w:spacing w:after="0"/>
              <w:rPr>
                <w:sz w:val="20"/>
                <w:szCs w:val="20"/>
                <w:color w:val="auto"/>
              </w:rPr>
            </w:pPr>
            <w:r>
              <w:rPr>
                <w:rFonts w:ascii="Arial" w:cs="Arial" w:eastAsia="Arial" w:hAnsi="Arial"/>
                <w:sz w:val="14"/>
                <w:szCs w:val="14"/>
                <w:color w:val="auto"/>
              </w:rPr>
              <w:t>4,914,876</w:t>
            </w:r>
          </w:p>
        </w:tc>
      </w:tr>
      <w:tr>
        <w:trPr>
          <w:trHeight w:val="130"/>
        </w:trPr>
        <w:tc>
          <w:tcPr>
            <w:tcW w:w="2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Tricorbraun Inc. (fka Kranson Industries, Inc.)</w:t>
            </w:r>
          </w:p>
        </w:tc>
        <w:tc>
          <w:tcPr>
            <w:tcW w:w="13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Containers/Glass</w:t>
            </w:r>
          </w:p>
        </w:tc>
        <w:tc>
          <w:tcPr>
            <w:tcW w:w="112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Term Loan</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Products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5/3/2018</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6"/>
              </w:rPr>
              <w:t>1,902,083</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1,895,432</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1,903,282</w:t>
            </w:r>
          </w:p>
        </w:tc>
      </w:tr>
      <w:tr>
        <w:trPr>
          <w:trHeight w:val="130"/>
        </w:trPr>
        <w:tc>
          <w:tcPr>
            <w:tcW w:w="2920" w:type="dxa"/>
            <w:vAlign w:val="bottom"/>
            <w:gridSpan w:val="2"/>
          </w:tcPr>
          <w:p>
            <w:pPr>
              <w:spacing w:after="0" w:line="130" w:lineRule="exact"/>
              <w:rPr>
                <w:sz w:val="20"/>
                <w:szCs w:val="20"/>
                <w:color w:val="auto"/>
              </w:rPr>
            </w:pPr>
            <w:r>
              <w:rPr>
                <w:rFonts w:ascii="Arial" w:cs="Arial" w:eastAsia="Arial" w:hAnsi="Arial"/>
                <w:sz w:val="14"/>
                <w:szCs w:val="14"/>
                <w:color w:val="auto"/>
              </w:rPr>
              <w:t>Truven Health Analytics Inc. (fka Thomson</w:t>
            </w:r>
          </w:p>
        </w:tc>
        <w:tc>
          <w:tcPr>
            <w:tcW w:w="13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Healthcare</w:t>
            </w:r>
          </w:p>
        </w:tc>
        <w:tc>
          <w:tcPr>
            <w:tcW w:w="112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New</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2920" w:type="dxa"/>
            <w:vAlign w:val="bottom"/>
            <w:gridSpan w:val="2"/>
          </w:tcPr>
          <w:p>
            <w:pPr>
              <w:ind w:left="160"/>
              <w:spacing w:after="0" w:line="149" w:lineRule="exact"/>
              <w:rPr>
                <w:sz w:val="20"/>
                <w:szCs w:val="20"/>
                <w:color w:val="auto"/>
              </w:rPr>
            </w:pPr>
            <w:r>
              <w:rPr>
                <w:rFonts w:ascii="Arial" w:cs="Arial" w:eastAsia="Arial" w:hAnsi="Arial"/>
                <w:sz w:val="14"/>
                <w:szCs w:val="14"/>
                <w:color w:val="auto"/>
              </w:rPr>
              <w:t>Reuters (Healthcare) Inc.)</w:t>
            </w: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2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Tranche B</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7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gridSpan w:val="3"/>
          </w:tcPr>
          <w:p>
            <w:pPr>
              <w:ind w:left="180"/>
              <w:spacing w:after="0"/>
              <w:rPr>
                <w:sz w:val="20"/>
                <w:szCs w:val="20"/>
                <w:color w:val="auto"/>
              </w:rPr>
            </w:pPr>
            <w:r>
              <w:rPr>
                <w:rFonts w:ascii="Arial" w:cs="Arial" w:eastAsia="Arial" w:hAnsi="Arial"/>
                <w:sz w:val="14"/>
                <w:szCs w:val="14"/>
                <w:color w:val="auto"/>
              </w:rPr>
              <w:t>Term Loan</w:t>
            </w:r>
          </w:p>
        </w:tc>
        <w:tc>
          <w:tcPr>
            <w:tcW w:w="860" w:type="dxa"/>
            <w:vAlign w:val="bottom"/>
            <w:gridSpan w:val="2"/>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4.50%</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6/6/2019</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492,528</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484,755</w:t>
            </w:r>
          </w:p>
        </w:tc>
        <w:tc>
          <w:tcPr>
            <w:tcW w:w="1000" w:type="dxa"/>
            <w:vAlign w:val="bottom"/>
            <w:gridSpan w:val="3"/>
          </w:tcPr>
          <w:p>
            <w:pPr>
              <w:jc w:val="right"/>
              <w:ind w:right="80"/>
              <w:spacing w:after="0"/>
              <w:rPr>
                <w:sz w:val="20"/>
                <w:szCs w:val="20"/>
                <w:color w:val="auto"/>
              </w:rPr>
            </w:pPr>
            <w:r>
              <w:rPr>
                <w:rFonts w:ascii="Arial" w:cs="Arial" w:eastAsia="Arial" w:hAnsi="Arial"/>
                <w:sz w:val="14"/>
                <w:szCs w:val="14"/>
                <w:color w:val="auto"/>
              </w:rPr>
              <w:t>493,513</w:t>
            </w:r>
          </w:p>
        </w:tc>
      </w:tr>
      <w:tr>
        <w:trPr>
          <w:trHeight w:val="130"/>
        </w:trPr>
        <w:tc>
          <w:tcPr>
            <w:tcW w:w="2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Security Associates Holdings, Inc.</w:t>
            </w:r>
          </w:p>
        </w:tc>
        <w:tc>
          <w:tcPr>
            <w:tcW w:w="13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2"/>
              </w:rPr>
              <w:t>Business Equipment</w:t>
            </w:r>
          </w:p>
        </w:tc>
        <w:tc>
          <w:tcPr>
            <w:tcW w:w="112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Delayed</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and Services</w:t>
            </w:r>
          </w:p>
        </w:tc>
        <w:tc>
          <w:tcPr>
            <w:tcW w:w="11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Draw Loan</w:t>
            </w:r>
          </w:p>
        </w:tc>
        <w:tc>
          <w:tcPr>
            <w:tcW w:w="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7/28/2017</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160,148</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159,235</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160,348</w:t>
            </w:r>
          </w:p>
        </w:tc>
      </w:tr>
      <w:tr>
        <w:trPr>
          <w:trHeight w:val="130"/>
        </w:trPr>
        <w:tc>
          <w:tcPr>
            <w:tcW w:w="2920" w:type="dxa"/>
            <w:vAlign w:val="bottom"/>
            <w:gridSpan w:val="2"/>
          </w:tcPr>
          <w:p>
            <w:pPr>
              <w:spacing w:after="0" w:line="130" w:lineRule="exact"/>
              <w:rPr>
                <w:sz w:val="20"/>
                <w:szCs w:val="20"/>
                <w:color w:val="auto"/>
              </w:rPr>
            </w:pPr>
            <w:r>
              <w:rPr>
                <w:rFonts w:ascii="Arial" w:cs="Arial" w:eastAsia="Arial" w:hAnsi="Arial"/>
                <w:sz w:val="14"/>
                <w:szCs w:val="14"/>
                <w:color w:val="auto"/>
              </w:rPr>
              <w:t>U.S. Security Associates Holdings, Inc.</w:t>
            </w:r>
          </w:p>
        </w:tc>
        <w:tc>
          <w:tcPr>
            <w:tcW w:w="1320" w:type="dxa"/>
            <w:vAlign w:val="bottom"/>
            <w:gridSpan w:val="2"/>
          </w:tcPr>
          <w:p>
            <w:pPr>
              <w:ind w:left="120"/>
              <w:spacing w:after="0" w:line="130" w:lineRule="exact"/>
              <w:rPr>
                <w:sz w:val="20"/>
                <w:szCs w:val="20"/>
                <w:color w:val="auto"/>
              </w:rPr>
            </w:pPr>
            <w:r>
              <w:rPr>
                <w:rFonts w:ascii="Arial" w:cs="Arial" w:eastAsia="Arial" w:hAnsi="Arial"/>
                <w:sz w:val="14"/>
                <w:szCs w:val="14"/>
                <w:color w:val="auto"/>
                <w:w w:val="92"/>
              </w:rPr>
              <w:t>Business Equipment</w:t>
            </w:r>
          </w:p>
        </w:tc>
        <w:tc>
          <w:tcPr>
            <w:tcW w:w="112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Term B</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and Services</w:t>
            </w:r>
          </w:p>
        </w:tc>
        <w:tc>
          <w:tcPr>
            <w:tcW w:w="1120" w:type="dxa"/>
            <w:vAlign w:val="bottom"/>
            <w:gridSpan w:val="3"/>
          </w:tcPr>
          <w:p>
            <w:pPr>
              <w:ind w:left="180"/>
              <w:spacing w:after="0"/>
              <w:rPr>
                <w:sz w:val="20"/>
                <w:szCs w:val="20"/>
                <w:color w:val="auto"/>
              </w:rPr>
            </w:pPr>
            <w:r>
              <w:rPr>
                <w:rFonts w:ascii="Arial" w:cs="Arial" w:eastAsia="Arial" w:hAnsi="Arial"/>
                <w:sz w:val="14"/>
                <w:szCs w:val="14"/>
                <w:color w:val="auto"/>
              </w:rPr>
              <w:t>Loan</w:t>
            </w:r>
          </w:p>
        </w:tc>
        <w:tc>
          <w:tcPr>
            <w:tcW w:w="860" w:type="dxa"/>
            <w:vAlign w:val="bottom"/>
            <w:gridSpan w:val="2"/>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6.00%</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7/28/2017</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122,494</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122,109</w:t>
            </w:r>
          </w:p>
        </w:tc>
        <w:tc>
          <w:tcPr>
            <w:tcW w:w="1000" w:type="dxa"/>
            <w:vAlign w:val="bottom"/>
            <w:gridSpan w:val="3"/>
          </w:tcPr>
          <w:p>
            <w:pPr>
              <w:jc w:val="right"/>
              <w:ind w:right="80"/>
              <w:spacing w:after="0"/>
              <w:rPr>
                <w:sz w:val="20"/>
                <w:szCs w:val="20"/>
                <w:color w:val="auto"/>
              </w:rPr>
            </w:pPr>
            <w:r>
              <w:rPr>
                <w:rFonts w:ascii="Arial" w:cs="Arial" w:eastAsia="Arial" w:hAnsi="Arial"/>
                <w:sz w:val="14"/>
                <w:szCs w:val="14"/>
                <w:color w:val="auto"/>
              </w:rPr>
              <w:t>122,648</w:t>
            </w:r>
          </w:p>
        </w:tc>
      </w:tr>
      <w:tr>
        <w:trPr>
          <w:trHeight w:val="130"/>
        </w:trPr>
        <w:tc>
          <w:tcPr>
            <w:tcW w:w="2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Security Associates Holdings, Inc.</w:t>
            </w:r>
          </w:p>
        </w:tc>
        <w:tc>
          <w:tcPr>
            <w:tcW w:w="13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2"/>
              </w:rPr>
              <w:t>Business Equipment</w:t>
            </w:r>
          </w:p>
        </w:tc>
        <w:tc>
          <w:tcPr>
            <w:tcW w:w="112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Term B</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and Services</w:t>
            </w:r>
          </w:p>
        </w:tc>
        <w:tc>
          <w:tcPr>
            <w:tcW w:w="11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Loan</w:t>
            </w:r>
          </w:p>
        </w:tc>
        <w:tc>
          <w:tcPr>
            <w:tcW w:w="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7/28/2017</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818,172</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813,513</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819,195</w:t>
            </w:r>
          </w:p>
        </w:tc>
      </w:tr>
      <w:tr>
        <w:trPr>
          <w:trHeight w:val="130"/>
        </w:trPr>
        <w:tc>
          <w:tcPr>
            <w:tcW w:w="2920" w:type="dxa"/>
            <w:vAlign w:val="bottom"/>
            <w:gridSpan w:val="2"/>
          </w:tcPr>
          <w:p>
            <w:pPr>
              <w:spacing w:after="0" w:line="130" w:lineRule="exact"/>
              <w:rPr>
                <w:sz w:val="20"/>
                <w:szCs w:val="20"/>
                <w:color w:val="auto"/>
              </w:rPr>
            </w:pPr>
            <w:r>
              <w:rPr>
                <w:rFonts w:ascii="Arial" w:cs="Arial" w:eastAsia="Arial" w:hAnsi="Arial"/>
                <w:sz w:val="14"/>
                <w:szCs w:val="14"/>
                <w:color w:val="auto"/>
              </w:rPr>
              <w:t>U.S. Silica Company</w:t>
            </w:r>
          </w:p>
        </w:tc>
        <w:tc>
          <w:tcPr>
            <w:tcW w:w="1320" w:type="dxa"/>
            <w:vAlign w:val="bottom"/>
            <w:gridSpan w:val="2"/>
          </w:tcPr>
          <w:p>
            <w:pPr>
              <w:ind w:left="120"/>
              <w:spacing w:after="0" w:line="130" w:lineRule="exact"/>
              <w:rPr>
                <w:sz w:val="20"/>
                <w:szCs w:val="20"/>
                <w:color w:val="auto"/>
              </w:rPr>
            </w:pPr>
            <w:r>
              <w:rPr>
                <w:rFonts w:ascii="Arial" w:cs="Arial" w:eastAsia="Arial" w:hAnsi="Arial"/>
                <w:sz w:val="14"/>
                <w:szCs w:val="14"/>
                <w:color w:val="auto"/>
                <w:w w:val="99"/>
              </w:rPr>
              <w:t>Nonferrous Metals/</w:t>
            </w:r>
          </w:p>
        </w:tc>
        <w:tc>
          <w:tcPr>
            <w:tcW w:w="112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Term Loan</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Arial" w:cs="Arial" w:eastAsia="Arial" w:hAnsi="Arial"/>
                <w:sz w:val="14"/>
                <w:szCs w:val="14"/>
                <w:color w:val="auto"/>
              </w:rPr>
              <w:t>Minerals</w:t>
            </w: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4.00%</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7/23/2020</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1,950,200</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1,941,292</w:t>
            </w:r>
          </w:p>
        </w:tc>
        <w:tc>
          <w:tcPr>
            <w:tcW w:w="1000" w:type="dxa"/>
            <w:vAlign w:val="bottom"/>
            <w:gridSpan w:val="3"/>
          </w:tcPr>
          <w:p>
            <w:pPr>
              <w:jc w:val="right"/>
              <w:ind w:right="80"/>
              <w:spacing w:after="0"/>
              <w:rPr>
                <w:sz w:val="20"/>
                <w:szCs w:val="20"/>
                <w:color w:val="auto"/>
              </w:rPr>
            </w:pPr>
            <w:r>
              <w:rPr>
                <w:rFonts w:ascii="Arial" w:cs="Arial" w:eastAsia="Arial" w:hAnsi="Arial"/>
                <w:sz w:val="14"/>
                <w:szCs w:val="14"/>
                <w:color w:val="auto"/>
              </w:rPr>
              <w:t>1,954,256</w:t>
            </w:r>
          </w:p>
        </w:tc>
      </w:tr>
      <w:tr>
        <w:trPr>
          <w:trHeight w:val="130"/>
        </w:trPr>
        <w:tc>
          <w:tcPr>
            <w:tcW w:w="2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U.S. Xpress Enterprises, Inc.</w:t>
            </w:r>
          </w:p>
        </w:tc>
        <w:tc>
          <w:tcPr>
            <w:tcW w:w="13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Industrial</w:t>
            </w:r>
          </w:p>
        </w:tc>
        <w:tc>
          <w:tcPr>
            <w:tcW w:w="112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Extended</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Equipment</w:t>
            </w:r>
          </w:p>
        </w:tc>
        <w:tc>
          <w:tcPr>
            <w:tcW w:w="11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Term Loan</w:t>
            </w:r>
          </w:p>
        </w:tc>
        <w:tc>
          <w:tcPr>
            <w:tcW w:w="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9.38%</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11/13/2016</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6"/>
              </w:rPr>
              <w:t>2,805,278</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2,766,405</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2,777,225</w:t>
            </w:r>
          </w:p>
        </w:tc>
      </w:tr>
      <w:tr>
        <w:trPr>
          <w:trHeight w:val="130"/>
        </w:trPr>
        <w:tc>
          <w:tcPr>
            <w:tcW w:w="2920" w:type="dxa"/>
            <w:vAlign w:val="bottom"/>
            <w:gridSpan w:val="2"/>
          </w:tcPr>
          <w:p>
            <w:pPr>
              <w:spacing w:after="0" w:line="130" w:lineRule="exact"/>
              <w:rPr>
                <w:sz w:val="20"/>
                <w:szCs w:val="20"/>
                <w:color w:val="auto"/>
              </w:rPr>
            </w:pPr>
            <w:r>
              <w:rPr>
                <w:rFonts w:ascii="Arial" w:cs="Arial" w:eastAsia="Arial" w:hAnsi="Arial"/>
                <w:sz w:val="14"/>
                <w:szCs w:val="14"/>
                <w:color w:val="auto"/>
              </w:rPr>
              <w:t>United Surgical Partners International, Inc.</w:t>
            </w:r>
          </w:p>
        </w:tc>
        <w:tc>
          <w:tcPr>
            <w:tcW w:w="13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Healthcare</w:t>
            </w:r>
          </w:p>
        </w:tc>
        <w:tc>
          <w:tcPr>
            <w:tcW w:w="112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New</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7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2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Tranche B</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7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gridSpan w:val="3"/>
          </w:tcPr>
          <w:p>
            <w:pPr>
              <w:ind w:left="180"/>
              <w:spacing w:after="0"/>
              <w:rPr>
                <w:sz w:val="20"/>
                <w:szCs w:val="20"/>
                <w:color w:val="auto"/>
              </w:rPr>
            </w:pPr>
            <w:r>
              <w:rPr>
                <w:rFonts w:ascii="Arial" w:cs="Arial" w:eastAsia="Arial" w:hAnsi="Arial"/>
                <w:sz w:val="14"/>
                <w:szCs w:val="14"/>
                <w:color w:val="auto"/>
              </w:rPr>
              <w:t>Term Loan</w:t>
            </w:r>
          </w:p>
        </w:tc>
        <w:tc>
          <w:tcPr>
            <w:tcW w:w="860" w:type="dxa"/>
            <w:vAlign w:val="bottom"/>
            <w:gridSpan w:val="2"/>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4.75%</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4/3/2019</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2,456,500</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2,429,626</w:t>
            </w:r>
          </w:p>
        </w:tc>
        <w:tc>
          <w:tcPr>
            <w:tcW w:w="1000" w:type="dxa"/>
            <w:vAlign w:val="bottom"/>
            <w:gridSpan w:val="3"/>
          </w:tcPr>
          <w:p>
            <w:pPr>
              <w:jc w:val="right"/>
              <w:ind w:right="80"/>
              <w:spacing w:after="0"/>
              <w:rPr>
                <w:sz w:val="20"/>
                <w:szCs w:val="20"/>
                <w:color w:val="auto"/>
              </w:rPr>
            </w:pPr>
            <w:r>
              <w:rPr>
                <w:rFonts w:ascii="Arial" w:cs="Arial" w:eastAsia="Arial" w:hAnsi="Arial"/>
                <w:sz w:val="14"/>
                <w:szCs w:val="14"/>
                <w:color w:val="auto"/>
              </w:rPr>
              <w:t>2,470,821</w:t>
            </w:r>
          </w:p>
        </w:tc>
      </w:tr>
      <w:tr>
        <w:trPr>
          <w:trHeight w:val="130"/>
        </w:trPr>
        <w:tc>
          <w:tcPr>
            <w:tcW w:w="2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Univar Inc.</w:t>
            </w:r>
          </w:p>
        </w:tc>
        <w:tc>
          <w:tcPr>
            <w:tcW w:w="13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Chemicals/Plastics</w:t>
            </w:r>
          </w:p>
        </w:tc>
        <w:tc>
          <w:tcPr>
            <w:tcW w:w="112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Term B</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Loan</w:t>
            </w:r>
          </w:p>
        </w:tc>
        <w:tc>
          <w:tcPr>
            <w:tcW w:w="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5.00%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6/30/2017</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6"/>
              </w:rPr>
              <w:t>3,884,944</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3,884,238</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3,859,225</w:t>
            </w:r>
          </w:p>
        </w:tc>
      </w:tr>
      <w:tr>
        <w:trPr>
          <w:trHeight w:val="130"/>
        </w:trPr>
        <w:tc>
          <w:tcPr>
            <w:tcW w:w="2920" w:type="dxa"/>
            <w:vAlign w:val="bottom"/>
            <w:gridSpan w:val="2"/>
          </w:tcPr>
          <w:p>
            <w:pPr>
              <w:spacing w:after="0" w:line="130" w:lineRule="exact"/>
              <w:rPr>
                <w:sz w:val="20"/>
                <w:szCs w:val="20"/>
                <w:color w:val="auto"/>
              </w:rPr>
            </w:pPr>
            <w:r>
              <w:rPr>
                <w:rFonts w:ascii="Arial" w:cs="Arial" w:eastAsia="Arial" w:hAnsi="Arial"/>
                <w:sz w:val="14"/>
                <w:szCs w:val="14"/>
                <w:color w:val="auto"/>
              </w:rPr>
              <w:t>Univision Communications Inc.</w:t>
            </w:r>
          </w:p>
        </w:tc>
        <w:tc>
          <w:tcPr>
            <w:tcW w:w="1320" w:type="dxa"/>
            <w:vAlign w:val="bottom"/>
            <w:gridSpan w:val="2"/>
          </w:tcPr>
          <w:p>
            <w:pPr>
              <w:ind w:left="120"/>
              <w:spacing w:after="0" w:line="130" w:lineRule="exact"/>
              <w:rPr>
                <w:sz w:val="20"/>
                <w:szCs w:val="20"/>
                <w:color w:val="auto"/>
              </w:rPr>
            </w:pPr>
            <w:r>
              <w:rPr>
                <w:rFonts w:ascii="Arial" w:cs="Arial" w:eastAsia="Arial" w:hAnsi="Arial"/>
                <w:sz w:val="14"/>
                <w:szCs w:val="14"/>
                <w:color w:val="auto"/>
                <w:w w:val="91"/>
              </w:rPr>
              <w:t>Telecommunications</w:t>
            </w:r>
          </w:p>
        </w:tc>
        <w:tc>
          <w:tcPr>
            <w:tcW w:w="112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Replacement</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7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2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First-Lien</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7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gridSpan w:val="3"/>
          </w:tcPr>
          <w:p>
            <w:pPr>
              <w:ind w:left="180"/>
              <w:spacing w:after="0"/>
              <w:rPr>
                <w:sz w:val="20"/>
                <w:szCs w:val="20"/>
                <w:color w:val="auto"/>
              </w:rPr>
            </w:pPr>
            <w:r>
              <w:rPr>
                <w:rFonts w:ascii="Arial" w:cs="Arial" w:eastAsia="Arial" w:hAnsi="Arial"/>
                <w:sz w:val="14"/>
                <w:szCs w:val="14"/>
                <w:color w:val="auto"/>
              </w:rPr>
              <w:t>Term Loan</w:t>
            </w:r>
          </w:p>
        </w:tc>
        <w:tc>
          <w:tcPr>
            <w:tcW w:w="860" w:type="dxa"/>
            <w:vAlign w:val="bottom"/>
            <w:gridSpan w:val="2"/>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4.00%</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3/1/2020</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2,977,500</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2,959,200</w:t>
            </w:r>
          </w:p>
        </w:tc>
        <w:tc>
          <w:tcPr>
            <w:tcW w:w="1000" w:type="dxa"/>
            <w:vAlign w:val="bottom"/>
            <w:gridSpan w:val="3"/>
          </w:tcPr>
          <w:p>
            <w:pPr>
              <w:jc w:val="right"/>
              <w:ind w:right="80"/>
              <w:spacing w:after="0"/>
              <w:rPr>
                <w:sz w:val="20"/>
                <w:szCs w:val="20"/>
                <w:color w:val="auto"/>
              </w:rPr>
            </w:pPr>
            <w:r>
              <w:rPr>
                <w:rFonts w:ascii="Arial" w:cs="Arial" w:eastAsia="Arial" w:hAnsi="Arial"/>
                <w:sz w:val="14"/>
                <w:szCs w:val="14"/>
                <w:color w:val="auto"/>
              </w:rPr>
              <w:t>2,984,467</w:t>
            </w:r>
          </w:p>
        </w:tc>
      </w:tr>
      <w:tr>
        <w:trPr>
          <w:trHeight w:val="130"/>
        </w:trPr>
        <w:tc>
          <w:tcPr>
            <w:tcW w:w="2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UPC Financing Partnership</w:t>
            </w:r>
          </w:p>
        </w:tc>
        <w:tc>
          <w:tcPr>
            <w:tcW w:w="13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0"/>
              </w:rPr>
              <w:t>Broadcast Radio and</w:t>
            </w:r>
          </w:p>
        </w:tc>
        <w:tc>
          <w:tcPr>
            <w:tcW w:w="112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Facility AF</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Television</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1/31/2021</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6"/>
              </w:rPr>
              <w:t>1,000,000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974,618</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1,002,500</w:t>
            </w:r>
          </w:p>
        </w:tc>
      </w:tr>
      <w:tr>
        <w:trPr>
          <w:trHeight w:val="130"/>
        </w:trPr>
        <w:tc>
          <w:tcPr>
            <w:tcW w:w="2920" w:type="dxa"/>
            <w:vAlign w:val="bottom"/>
            <w:gridSpan w:val="2"/>
          </w:tcPr>
          <w:p>
            <w:pPr>
              <w:spacing w:after="0" w:line="130" w:lineRule="exact"/>
              <w:rPr>
                <w:sz w:val="20"/>
                <w:szCs w:val="20"/>
                <w:color w:val="auto"/>
              </w:rPr>
            </w:pPr>
            <w:r>
              <w:rPr>
                <w:rFonts w:ascii="Arial" w:cs="Arial" w:eastAsia="Arial" w:hAnsi="Arial"/>
                <w:sz w:val="14"/>
                <w:szCs w:val="14"/>
                <w:color w:val="auto"/>
              </w:rPr>
              <w:t>Valeant Pharmaceuticals International, Inc.</w:t>
            </w:r>
          </w:p>
        </w:tc>
        <w:tc>
          <w:tcPr>
            <w:tcW w:w="13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Drugs</w:t>
            </w:r>
          </w:p>
        </w:tc>
        <w:tc>
          <w:tcPr>
            <w:tcW w:w="112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Series D2</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7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12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Term</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7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gridSpan w:val="3"/>
          </w:tcPr>
          <w:p>
            <w:pPr>
              <w:ind w:left="180"/>
              <w:spacing w:after="0"/>
              <w:rPr>
                <w:sz w:val="20"/>
                <w:szCs w:val="20"/>
                <w:color w:val="auto"/>
              </w:rPr>
            </w:pPr>
            <w:r>
              <w:rPr>
                <w:rFonts w:ascii="Arial" w:cs="Arial" w:eastAsia="Arial" w:hAnsi="Arial"/>
                <w:sz w:val="14"/>
                <w:szCs w:val="14"/>
                <w:color w:val="auto"/>
              </w:rPr>
              <w:t>Loan B</w:t>
            </w:r>
          </w:p>
        </w:tc>
        <w:tc>
          <w:tcPr>
            <w:tcW w:w="860" w:type="dxa"/>
            <w:vAlign w:val="bottom"/>
            <w:gridSpan w:val="2"/>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3.75%</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2/13/2019</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2,947,688</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2,936,432</w:t>
            </w:r>
          </w:p>
        </w:tc>
        <w:tc>
          <w:tcPr>
            <w:tcW w:w="1000" w:type="dxa"/>
            <w:vAlign w:val="bottom"/>
            <w:gridSpan w:val="3"/>
          </w:tcPr>
          <w:p>
            <w:pPr>
              <w:jc w:val="right"/>
              <w:ind w:right="80"/>
              <w:spacing w:after="0"/>
              <w:rPr>
                <w:sz w:val="20"/>
                <w:szCs w:val="20"/>
                <w:color w:val="auto"/>
              </w:rPr>
            </w:pPr>
            <w:r>
              <w:rPr>
                <w:rFonts w:ascii="Arial" w:cs="Arial" w:eastAsia="Arial" w:hAnsi="Arial"/>
                <w:sz w:val="14"/>
                <w:szCs w:val="14"/>
                <w:color w:val="auto"/>
              </w:rPr>
              <w:t>2,955,528</w:t>
            </w:r>
          </w:p>
        </w:tc>
      </w:tr>
      <w:tr>
        <w:trPr>
          <w:trHeight w:val="130"/>
        </w:trPr>
        <w:tc>
          <w:tcPr>
            <w:tcW w:w="2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Verint Systems Inc.</w:t>
            </w:r>
          </w:p>
        </w:tc>
        <w:tc>
          <w:tcPr>
            <w:tcW w:w="13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2"/>
              </w:rPr>
              <w:t>Business Equipment</w:t>
            </w:r>
          </w:p>
        </w:tc>
        <w:tc>
          <w:tcPr>
            <w:tcW w:w="112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Term Loan</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and Services</w:t>
            </w: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9/6/2019</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6"/>
              </w:rPr>
              <w:t>1,900,800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1,892,737</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1,904,602</w:t>
            </w:r>
          </w:p>
        </w:tc>
      </w:tr>
      <w:tr>
        <w:trPr>
          <w:trHeight w:val="130"/>
        </w:trPr>
        <w:tc>
          <w:tcPr>
            <w:tcW w:w="2920" w:type="dxa"/>
            <w:vAlign w:val="bottom"/>
            <w:gridSpan w:val="2"/>
          </w:tcPr>
          <w:p>
            <w:pPr>
              <w:spacing w:after="0" w:line="130" w:lineRule="exact"/>
              <w:rPr>
                <w:sz w:val="20"/>
                <w:szCs w:val="20"/>
                <w:color w:val="auto"/>
              </w:rPr>
            </w:pPr>
            <w:r>
              <w:rPr>
                <w:rFonts w:ascii="Arial" w:cs="Arial" w:eastAsia="Arial" w:hAnsi="Arial"/>
                <w:sz w:val="14"/>
                <w:szCs w:val="14"/>
                <w:color w:val="auto"/>
              </w:rPr>
              <w:t>Verint Systems Inc.</w:t>
            </w:r>
          </w:p>
        </w:tc>
        <w:tc>
          <w:tcPr>
            <w:tcW w:w="1320" w:type="dxa"/>
            <w:vAlign w:val="bottom"/>
            <w:gridSpan w:val="2"/>
          </w:tcPr>
          <w:p>
            <w:pPr>
              <w:ind w:left="120"/>
              <w:spacing w:after="0" w:line="130" w:lineRule="exact"/>
              <w:rPr>
                <w:sz w:val="20"/>
                <w:szCs w:val="20"/>
                <w:color w:val="auto"/>
              </w:rPr>
            </w:pPr>
            <w:r>
              <w:rPr>
                <w:rFonts w:ascii="Arial" w:cs="Arial" w:eastAsia="Arial" w:hAnsi="Arial"/>
                <w:sz w:val="14"/>
                <w:szCs w:val="14"/>
                <w:color w:val="auto"/>
                <w:w w:val="92"/>
              </w:rPr>
              <w:t>Business Equipment</w:t>
            </w:r>
          </w:p>
        </w:tc>
        <w:tc>
          <w:tcPr>
            <w:tcW w:w="112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Tranche B</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7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and Services</w:t>
            </w:r>
          </w:p>
        </w:tc>
        <w:tc>
          <w:tcPr>
            <w:tcW w:w="112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Incremental</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7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gridSpan w:val="3"/>
          </w:tcPr>
          <w:p>
            <w:pPr>
              <w:ind w:left="180"/>
              <w:spacing w:after="0"/>
              <w:rPr>
                <w:sz w:val="20"/>
                <w:szCs w:val="20"/>
                <w:color w:val="auto"/>
              </w:rPr>
            </w:pPr>
            <w:r>
              <w:rPr>
                <w:rFonts w:ascii="Arial" w:cs="Arial" w:eastAsia="Arial" w:hAnsi="Arial"/>
                <w:sz w:val="14"/>
                <w:szCs w:val="14"/>
                <w:color w:val="auto"/>
              </w:rPr>
              <w:t>Term Loan</w:t>
            </w:r>
          </w:p>
        </w:tc>
        <w:tc>
          <w:tcPr>
            <w:tcW w:w="860" w:type="dxa"/>
            <w:vAlign w:val="bottom"/>
            <w:gridSpan w:val="2"/>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3.50%</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9/6/2019</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1,000,000</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997,521</w:t>
            </w:r>
          </w:p>
        </w:tc>
        <w:tc>
          <w:tcPr>
            <w:tcW w:w="1000" w:type="dxa"/>
            <w:vAlign w:val="bottom"/>
            <w:gridSpan w:val="3"/>
          </w:tcPr>
          <w:p>
            <w:pPr>
              <w:jc w:val="right"/>
              <w:ind w:right="80"/>
              <w:spacing w:after="0"/>
              <w:rPr>
                <w:sz w:val="20"/>
                <w:szCs w:val="20"/>
                <w:color w:val="auto"/>
              </w:rPr>
            </w:pPr>
            <w:r>
              <w:rPr>
                <w:rFonts w:ascii="Arial" w:cs="Arial" w:eastAsia="Arial" w:hAnsi="Arial"/>
                <w:sz w:val="14"/>
                <w:szCs w:val="14"/>
                <w:color w:val="auto"/>
              </w:rPr>
              <w:t>1,000,000</w:t>
            </w:r>
          </w:p>
        </w:tc>
      </w:tr>
      <w:tr>
        <w:trPr>
          <w:trHeight w:val="130"/>
        </w:trPr>
        <w:tc>
          <w:tcPr>
            <w:tcW w:w="2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Vertafore, Inc.</w:t>
            </w:r>
          </w:p>
        </w:tc>
        <w:tc>
          <w:tcPr>
            <w:tcW w:w="13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2"/>
              </w:rPr>
              <w:t>Business Equipment</w:t>
            </w:r>
          </w:p>
        </w:tc>
        <w:tc>
          <w:tcPr>
            <w:tcW w:w="112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Term Loan</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and Services</w:t>
            </w:r>
          </w:p>
        </w:tc>
        <w:tc>
          <w:tcPr>
            <w:tcW w:w="940" w:type="dxa"/>
            <w:vAlign w:val="bottom"/>
            <w:gridSpan w:val="2"/>
            <w:shd w:val="clear" w:color="auto" w:fill="CCEEFF"/>
          </w:tcPr>
          <w:p>
            <w:pPr>
              <w:ind w:left="180"/>
              <w:spacing w:after="0"/>
              <w:rPr>
                <w:sz w:val="20"/>
                <w:szCs w:val="20"/>
                <w:color w:val="auto"/>
              </w:rPr>
            </w:pPr>
            <w:r>
              <w:rPr>
                <w:rFonts w:ascii="Arial" w:cs="Arial" w:eastAsia="Arial" w:hAnsi="Arial"/>
                <w:sz w:val="14"/>
                <w:szCs w:val="14"/>
                <w:color w:val="auto"/>
              </w:rPr>
              <w:t>(2013)</w:t>
            </w:r>
          </w:p>
        </w:tc>
        <w:tc>
          <w:tcPr>
            <w:tcW w:w="180" w:type="dxa"/>
            <w:vAlign w:val="bottom"/>
            <w:shd w:val="clear" w:color="auto" w:fill="CCEEFF"/>
          </w:tcPr>
          <w:p>
            <w:pPr>
              <w:spacing w:after="0"/>
              <w:rPr>
                <w:sz w:val="14"/>
                <w:szCs w:val="14"/>
                <w:color w:val="auto"/>
              </w:rPr>
            </w:pPr>
          </w:p>
        </w:tc>
        <w:tc>
          <w:tcPr>
            <w:tcW w:w="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4.25%</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10/3/2019</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6"/>
              </w:rPr>
              <w:t>2,899,621</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2,899,621</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2,909,770</w:t>
            </w:r>
          </w:p>
        </w:tc>
      </w:tr>
      <w:tr>
        <w:trPr>
          <w:trHeight w:val="130"/>
        </w:trPr>
        <w:tc>
          <w:tcPr>
            <w:tcW w:w="2920" w:type="dxa"/>
            <w:vAlign w:val="bottom"/>
            <w:gridSpan w:val="2"/>
          </w:tcPr>
          <w:p>
            <w:pPr>
              <w:spacing w:after="0" w:line="130" w:lineRule="exact"/>
              <w:rPr>
                <w:sz w:val="20"/>
                <w:szCs w:val="20"/>
                <w:color w:val="auto"/>
              </w:rPr>
            </w:pPr>
            <w:r>
              <w:rPr>
                <w:rFonts w:ascii="Arial" w:cs="Arial" w:eastAsia="Arial" w:hAnsi="Arial"/>
                <w:sz w:val="14"/>
                <w:szCs w:val="14"/>
                <w:color w:val="auto"/>
              </w:rPr>
              <w:t>Visant Corporation (fka Jostens)</w:t>
            </w:r>
          </w:p>
        </w:tc>
        <w:tc>
          <w:tcPr>
            <w:tcW w:w="13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Leisure Goods/</w:t>
            </w:r>
          </w:p>
        </w:tc>
        <w:tc>
          <w:tcPr>
            <w:tcW w:w="112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Tranche B</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49"/>
        </w:trPr>
        <w:tc>
          <w:tcPr>
            <w:tcW w:w="78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32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Activities/Movies</w:t>
            </w:r>
          </w:p>
        </w:tc>
        <w:tc>
          <w:tcPr>
            <w:tcW w:w="1120" w:type="dxa"/>
            <w:vAlign w:val="bottom"/>
            <w:gridSpan w:val="3"/>
          </w:tcPr>
          <w:p>
            <w:pPr>
              <w:ind w:left="180"/>
              <w:spacing w:after="0" w:line="149" w:lineRule="exact"/>
              <w:rPr>
                <w:sz w:val="20"/>
                <w:szCs w:val="20"/>
                <w:color w:val="auto"/>
              </w:rPr>
            </w:pPr>
            <w:r>
              <w:rPr>
                <w:rFonts w:ascii="Arial" w:cs="Arial" w:eastAsia="Arial" w:hAnsi="Arial"/>
                <w:sz w:val="14"/>
                <w:szCs w:val="14"/>
                <w:color w:val="auto"/>
              </w:rPr>
              <w:t>Term Loan</w:t>
            </w: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7"/>
        </w:trPr>
        <w:tc>
          <w:tcPr>
            <w:tcW w:w="7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940" w:type="dxa"/>
            <w:vAlign w:val="bottom"/>
            <w:gridSpan w:val="2"/>
          </w:tcPr>
          <w:p>
            <w:pPr>
              <w:ind w:left="180"/>
              <w:spacing w:after="0"/>
              <w:rPr>
                <w:sz w:val="20"/>
                <w:szCs w:val="20"/>
                <w:color w:val="auto"/>
              </w:rPr>
            </w:pPr>
            <w:r>
              <w:rPr>
                <w:rFonts w:ascii="Arial" w:cs="Arial" w:eastAsia="Arial" w:hAnsi="Arial"/>
                <w:sz w:val="14"/>
                <w:szCs w:val="14"/>
                <w:color w:val="auto"/>
              </w:rPr>
              <w:t>(2011)</w:t>
            </w:r>
          </w:p>
        </w:tc>
        <w:tc>
          <w:tcPr>
            <w:tcW w:w="180" w:type="dxa"/>
            <w:vAlign w:val="bottom"/>
          </w:tcPr>
          <w:p>
            <w:pPr>
              <w:spacing w:after="0"/>
              <w:rPr>
                <w:sz w:val="14"/>
                <w:szCs w:val="14"/>
                <w:color w:val="auto"/>
              </w:rPr>
            </w:pPr>
          </w:p>
        </w:tc>
        <w:tc>
          <w:tcPr>
            <w:tcW w:w="860" w:type="dxa"/>
            <w:vAlign w:val="bottom"/>
            <w:gridSpan w:val="2"/>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5.25%</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12/22/2016</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3,658,446</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3,658,446</w:t>
            </w:r>
          </w:p>
        </w:tc>
        <w:tc>
          <w:tcPr>
            <w:tcW w:w="1000" w:type="dxa"/>
            <w:vAlign w:val="bottom"/>
            <w:gridSpan w:val="3"/>
          </w:tcPr>
          <w:p>
            <w:pPr>
              <w:jc w:val="right"/>
              <w:ind w:right="80"/>
              <w:spacing w:after="0"/>
              <w:rPr>
                <w:sz w:val="20"/>
                <w:szCs w:val="20"/>
                <w:color w:val="auto"/>
              </w:rPr>
            </w:pPr>
            <w:r>
              <w:rPr>
                <w:rFonts w:ascii="Arial" w:cs="Arial" w:eastAsia="Arial" w:hAnsi="Arial"/>
                <w:sz w:val="14"/>
                <w:szCs w:val="14"/>
                <w:color w:val="auto"/>
              </w:rPr>
              <w:t>3,607,008</w:t>
            </w:r>
          </w:p>
        </w:tc>
      </w:tr>
      <w:tr>
        <w:trPr>
          <w:trHeight w:val="130"/>
        </w:trPr>
        <w:tc>
          <w:tcPr>
            <w:tcW w:w="2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W.R. Grace &amp; Co.-CONN</w:t>
            </w:r>
          </w:p>
        </w:tc>
        <w:tc>
          <w:tcPr>
            <w:tcW w:w="13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rPr>
              <w:t>Chemicals/Plastics</w:t>
            </w:r>
          </w:p>
        </w:tc>
        <w:tc>
          <w:tcPr>
            <w:tcW w:w="112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Delayed</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7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12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Draw Term</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7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Loan</w:t>
            </w:r>
          </w:p>
        </w:tc>
        <w:tc>
          <w:tcPr>
            <w:tcW w:w="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0.00%</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2/3/2021</w:t>
            </w:r>
          </w:p>
        </w:tc>
        <w:tc>
          <w:tcPr>
            <w:tcW w:w="88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(328)</w:t>
            </w:r>
          </w:p>
        </w:tc>
        <w:tc>
          <w:tcPr>
            <w:tcW w:w="100" w:type="dxa"/>
            <w:vAlign w:val="bottom"/>
            <w:shd w:val="clear" w:color="auto" w:fill="CCEEFF"/>
          </w:tcPr>
          <w:p>
            <w:pPr>
              <w:spacing w:after="0"/>
              <w:rPr>
                <w:sz w:val="14"/>
                <w:szCs w:val="14"/>
                <w:color w:val="auto"/>
              </w:rPr>
            </w:pPr>
          </w:p>
        </w:tc>
        <w:tc>
          <w:tcPr>
            <w:tcW w:w="90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r>
      <w:tr>
        <w:trPr>
          <w:trHeight w:val="130"/>
        </w:trPr>
        <w:tc>
          <w:tcPr>
            <w:tcW w:w="2920" w:type="dxa"/>
            <w:vAlign w:val="bottom"/>
            <w:gridSpan w:val="2"/>
          </w:tcPr>
          <w:p>
            <w:pPr>
              <w:spacing w:after="0" w:line="130" w:lineRule="exact"/>
              <w:rPr>
                <w:sz w:val="20"/>
                <w:szCs w:val="20"/>
                <w:color w:val="auto"/>
              </w:rPr>
            </w:pPr>
            <w:r>
              <w:rPr>
                <w:rFonts w:ascii="Arial" w:cs="Arial" w:eastAsia="Arial" w:hAnsi="Arial"/>
                <w:sz w:val="14"/>
                <w:szCs w:val="14"/>
                <w:color w:val="auto"/>
              </w:rPr>
              <w:t>W.R. Grace &amp; Co.-CONN</w:t>
            </w:r>
          </w:p>
        </w:tc>
        <w:tc>
          <w:tcPr>
            <w:tcW w:w="13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Chemicals/Plastics</w:t>
            </w:r>
          </w:p>
        </w:tc>
        <w:tc>
          <w:tcPr>
            <w:tcW w:w="112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U.S. Term</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gridSpan w:val="3"/>
          </w:tcPr>
          <w:p>
            <w:pPr>
              <w:ind w:left="180"/>
              <w:spacing w:after="0"/>
              <w:rPr>
                <w:sz w:val="20"/>
                <w:szCs w:val="20"/>
                <w:color w:val="auto"/>
              </w:rPr>
            </w:pPr>
            <w:r>
              <w:rPr>
                <w:rFonts w:ascii="Arial" w:cs="Arial" w:eastAsia="Arial" w:hAnsi="Arial"/>
                <w:sz w:val="14"/>
                <w:szCs w:val="14"/>
                <w:color w:val="auto"/>
              </w:rPr>
              <w:t>Loan</w:t>
            </w:r>
          </w:p>
        </w:tc>
        <w:tc>
          <w:tcPr>
            <w:tcW w:w="860" w:type="dxa"/>
            <w:vAlign w:val="bottom"/>
            <w:gridSpan w:val="2"/>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3.00%</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2/3/2021</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368,421</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367,502</w:t>
            </w:r>
          </w:p>
        </w:tc>
        <w:tc>
          <w:tcPr>
            <w:tcW w:w="1000" w:type="dxa"/>
            <w:vAlign w:val="bottom"/>
            <w:gridSpan w:val="3"/>
          </w:tcPr>
          <w:p>
            <w:pPr>
              <w:jc w:val="right"/>
              <w:ind w:right="80"/>
              <w:spacing w:after="0"/>
              <w:rPr>
                <w:sz w:val="20"/>
                <w:szCs w:val="20"/>
                <w:color w:val="auto"/>
              </w:rPr>
            </w:pPr>
            <w:r>
              <w:rPr>
                <w:rFonts w:ascii="Arial" w:cs="Arial" w:eastAsia="Arial" w:hAnsi="Arial"/>
                <w:sz w:val="14"/>
                <w:szCs w:val="14"/>
                <w:color w:val="auto"/>
              </w:rPr>
              <w:t>367,828</w:t>
            </w:r>
          </w:p>
        </w:tc>
      </w:tr>
      <w:tr>
        <w:trPr>
          <w:trHeight w:val="130"/>
        </w:trPr>
        <w:tc>
          <w:tcPr>
            <w:tcW w:w="2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Washington Inventory Service</w:t>
            </w:r>
          </w:p>
        </w:tc>
        <w:tc>
          <w:tcPr>
            <w:tcW w:w="13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2"/>
              </w:rPr>
              <w:t>Business Equipment</w:t>
            </w:r>
          </w:p>
        </w:tc>
        <w:tc>
          <w:tcPr>
            <w:tcW w:w="112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U.S. Term</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49"/>
        </w:trPr>
        <w:tc>
          <w:tcPr>
            <w:tcW w:w="7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ind w:left="120"/>
              <w:spacing w:after="0" w:line="149" w:lineRule="exact"/>
              <w:rPr>
                <w:sz w:val="20"/>
                <w:szCs w:val="20"/>
                <w:color w:val="auto"/>
              </w:rPr>
            </w:pPr>
            <w:r>
              <w:rPr>
                <w:rFonts w:ascii="Arial" w:cs="Arial" w:eastAsia="Arial" w:hAnsi="Arial"/>
                <w:sz w:val="14"/>
                <w:szCs w:val="14"/>
                <w:color w:val="auto"/>
              </w:rPr>
              <w:t>and Services</w:t>
            </w:r>
          </w:p>
        </w:tc>
        <w:tc>
          <w:tcPr>
            <w:tcW w:w="1120" w:type="dxa"/>
            <w:vAlign w:val="bottom"/>
            <w:gridSpan w:val="3"/>
            <w:shd w:val="clear" w:color="auto" w:fill="CCEEFF"/>
          </w:tcPr>
          <w:p>
            <w:pPr>
              <w:ind w:left="180"/>
              <w:spacing w:after="0" w:line="149" w:lineRule="exact"/>
              <w:rPr>
                <w:sz w:val="20"/>
                <w:szCs w:val="20"/>
                <w:color w:val="auto"/>
              </w:rPr>
            </w:pPr>
            <w:r>
              <w:rPr>
                <w:rFonts w:ascii="Arial" w:cs="Arial" w:eastAsia="Arial" w:hAnsi="Arial"/>
                <w:sz w:val="14"/>
                <w:szCs w:val="14"/>
                <w:color w:val="auto"/>
              </w:rPr>
              <w:t>Loan (First</w:t>
            </w: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r>
      <w:tr>
        <w:trPr>
          <w:trHeight w:val="167"/>
        </w:trPr>
        <w:tc>
          <w:tcPr>
            <w:tcW w:w="7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Lien)</w:t>
            </w:r>
          </w:p>
        </w:tc>
        <w:tc>
          <w:tcPr>
            <w:tcW w:w="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6.75%</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12/20/2018</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w w:val="96"/>
              </w:rPr>
              <w:t>1,980,000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2,004,187</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1,965,150</w:t>
            </w:r>
          </w:p>
        </w:tc>
      </w:tr>
      <w:tr>
        <w:trPr>
          <w:trHeight w:val="130"/>
        </w:trPr>
        <w:tc>
          <w:tcPr>
            <w:tcW w:w="2920" w:type="dxa"/>
            <w:vAlign w:val="bottom"/>
            <w:gridSpan w:val="2"/>
          </w:tcPr>
          <w:p>
            <w:pPr>
              <w:spacing w:after="0" w:line="130" w:lineRule="exact"/>
              <w:rPr>
                <w:sz w:val="20"/>
                <w:szCs w:val="20"/>
                <w:color w:val="auto"/>
              </w:rPr>
            </w:pPr>
            <w:r>
              <w:rPr>
                <w:rFonts w:ascii="Arial" w:cs="Arial" w:eastAsia="Arial" w:hAnsi="Arial"/>
                <w:sz w:val="14"/>
                <w:szCs w:val="14"/>
                <w:color w:val="auto"/>
              </w:rPr>
              <w:t>Wendy’s International, Inc.</w:t>
            </w:r>
          </w:p>
        </w:tc>
        <w:tc>
          <w:tcPr>
            <w:tcW w:w="1320" w:type="dxa"/>
            <w:vAlign w:val="bottom"/>
            <w:gridSpan w:val="2"/>
          </w:tcPr>
          <w:p>
            <w:pPr>
              <w:ind w:left="120"/>
              <w:spacing w:after="0" w:line="130" w:lineRule="exact"/>
              <w:rPr>
                <w:sz w:val="20"/>
                <w:szCs w:val="20"/>
                <w:color w:val="auto"/>
              </w:rPr>
            </w:pPr>
            <w:r>
              <w:rPr>
                <w:rFonts w:ascii="Arial" w:cs="Arial" w:eastAsia="Arial" w:hAnsi="Arial"/>
                <w:sz w:val="14"/>
                <w:szCs w:val="14"/>
                <w:color w:val="auto"/>
              </w:rPr>
              <w:t>Food Services</w:t>
            </w:r>
          </w:p>
        </w:tc>
        <w:tc>
          <w:tcPr>
            <w:tcW w:w="112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Term B</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67"/>
        </w:trPr>
        <w:tc>
          <w:tcPr>
            <w:tcW w:w="78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120" w:type="dxa"/>
            <w:vAlign w:val="bottom"/>
            <w:gridSpan w:val="3"/>
          </w:tcPr>
          <w:p>
            <w:pPr>
              <w:ind w:left="180"/>
              <w:spacing w:after="0"/>
              <w:rPr>
                <w:sz w:val="20"/>
                <w:szCs w:val="20"/>
                <w:color w:val="auto"/>
              </w:rPr>
            </w:pPr>
            <w:r>
              <w:rPr>
                <w:rFonts w:ascii="Arial" w:cs="Arial" w:eastAsia="Arial" w:hAnsi="Arial"/>
                <w:sz w:val="14"/>
                <w:szCs w:val="14"/>
                <w:color w:val="auto"/>
              </w:rPr>
              <w:t>Loan</w:t>
            </w:r>
          </w:p>
        </w:tc>
        <w:tc>
          <w:tcPr>
            <w:tcW w:w="860" w:type="dxa"/>
            <w:vAlign w:val="bottom"/>
            <w:gridSpan w:val="2"/>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3.25%</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5/15/2019</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rPr>
              <w:t>680,470</w:t>
            </w:r>
          </w:p>
        </w:tc>
        <w:tc>
          <w:tcPr>
            <w:tcW w:w="980" w:type="dxa"/>
            <w:vAlign w:val="bottom"/>
            <w:gridSpan w:val="2"/>
          </w:tcPr>
          <w:p>
            <w:pPr>
              <w:jc w:val="right"/>
              <w:ind w:right="160"/>
              <w:spacing w:after="0"/>
              <w:rPr>
                <w:sz w:val="20"/>
                <w:szCs w:val="20"/>
                <w:color w:val="auto"/>
              </w:rPr>
            </w:pPr>
            <w:r>
              <w:rPr>
                <w:rFonts w:ascii="Arial" w:cs="Arial" w:eastAsia="Arial" w:hAnsi="Arial"/>
                <w:sz w:val="14"/>
                <w:szCs w:val="14"/>
                <w:color w:val="auto"/>
              </w:rPr>
              <w:t>674,563</w:t>
            </w:r>
          </w:p>
        </w:tc>
        <w:tc>
          <w:tcPr>
            <w:tcW w:w="1000" w:type="dxa"/>
            <w:vAlign w:val="bottom"/>
            <w:gridSpan w:val="3"/>
          </w:tcPr>
          <w:p>
            <w:pPr>
              <w:jc w:val="right"/>
              <w:ind w:right="80"/>
              <w:spacing w:after="0"/>
              <w:rPr>
                <w:sz w:val="20"/>
                <w:szCs w:val="20"/>
                <w:color w:val="auto"/>
              </w:rPr>
            </w:pPr>
            <w:r>
              <w:rPr>
                <w:rFonts w:ascii="Arial" w:cs="Arial" w:eastAsia="Arial" w:hAnsi="Arial"/>
                <w:sz w:val="14"/>
                <w:szCs w:val="14"/>
                <w:color w:val="auto"/>
              </w:rPr>
              <w:t>679,197</w:t>
            </w:r>
          </w:p>
        </w:tc>
      </w:tr>
      <w:tr>
        <w:trPr>
          <w:trHeight w:val="130"/>
        </w:trPr>
        <w:tc>
          <w:tcPr>
            <w:tcW w:w="2920" w:type="dxa"/>
            <w:vAlign w:val="bottom"/>
            <w:gridSpan w:val="2"/>
            <w:shd w:val="clear" w:color="auto" w:fill="CCEEFF"/>
          </w:tcPr>
          <w:p>
            <w:pPr>
              <w:spacing w:after="0" w:line="130" w:lineRule="exact"/>
              <w:rPr>
                <w:sz w:val="20"/>
                <w:szCs w:val="20"/>
                <w:color w:val="auto"/>
              </w:rPr>
            </w:pPr>
            <w:r>
              <w:rPr>
                <w:rFonts w:ascii="Arial" w:cs="Arial" w:eastAsia="Arial" w:hAnsi="Arial"/>
                <w:sz w:val="14"/>
                <w:szCs w:val="14"/>
                <w:color w:val="auto"/>
              </w:rPr>
              <w:t>Wesco Aircraft Hardware Corp.</w:t>
            </w:r>
          </w:p>
        </w:tc>
        <w:tc>
          <w:tcPr>
            <w:tcW w:w="1320" w:type="dxa"/>
            <w:vAlign w:val="bottom"/>
            <w:gridSpan w:val="2"/>
            <w:shd w:val="clear" w:color="auto" w:fill="CCEEFF"/>
          </w:tcPr>
          <w:p>
            <w:pPr>
              <w:ind w:left="120"/>
              <w:spacing w:after="0" w:line="130" w:lineRule="exact"/>
              <w:rPr>
                <w:sz w:val="20"/>
                <w:szCs w:val="20"/>
                <w:color w:val="auto"/>
              </w:rPr>
            </w:pPr>
            <w:r>
              <w:rPr>
                <w:rFonts w:ascii="Arial" w:cs="Arial" w:eastAsia="Arial" w:hAnsi="Arial"/>
                <w:sz w:val="14"/>
                <w:szCs w:val="14"/>
                <w:color w:val="auto"/>
                <w:w w:val="95"/>
              </w:rPr>
              <w:t>Aerospace/Defense</w:t>
            </w:r>
          </w:p>
        </w:tc>
        <w:tc>
          <w:tcPr>
            <w:tcW w:w="1120" w:type="dxa"/>
            <w:vAlign w:val="bottom"/>
            <w:gridSpan w:val="3"/>
            <w:shd w:val="clear" w:color="auto" w:fill="CCEEFF"/>
          </w:tcPr>
          <w:p>
            <w:pPr>
              <w:ind w:left="180"/>
              <w:spacing w:after="0" w:line="130" w:lineRule="exact"/>
              <w:rPr>
                <w:sz w:val="20"/>
                <w:szCs w:val="20"/>
                <w:color w:val="auto"/>
              </w:rPr>
            </w:pPr>
            <w:r>
              <w:rPr>
                <w:rFonts w:ascii="Arial" w:cs="Arial" w:eastAsia="Arial" w:hAnsi="Arial"/>
                <w:sz w:val="14"/>
                <w:szCs w:val="14"/>
                <w:color w:val="auto"/>
              </w:rPr>
              <w:t>Tranche B</w:t>
            </w:r>
          </w:p>
        </w:tc>
        <w:tc>
          <w:tcPr>
            <w:tcW w:w="6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r>
      <w:tr>
        <w:trPr>
          <w:trHeight w:val="167"/>
        </w:trPr>
        <w:tc>
          <w:tcPr>
            <w:tcW w:w="780" w:type="dxa"/>
            <w:vAlign w:val="bottom"/>
            <w:shd w:val="clear" w:color="auto" w:fill="CCEEFF"/>
          </w:tcPr>
          <w:p>
            <w:pPr>
              <w:spacing w:after="0"/>
              <w:rPr>
                <w:sz w:val="14"/>
                <w:szCs w:val="14"/>
                <w:color w:val="auto"/>
              </w:rPr>
            </w:pPr>
          </w:p>
        </w:tc>
        <w:tc>
          <w:tcPr>
            <w:tcW w:w="2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1120" w:type="dxa"/>
            <w:vAlign w:val="bottom"/>
            <w:gridSpan w:val="3"/>
            <w:shd w:val="clear" w:color="auto" w:fill="CCEEFF"/>
          </w:tcPr>
          <w:p>
            <w:pPr>
              <w:ind w:left="180"/>
              <w:spacing w:after="0"/>
              <w:rPr>
                <w:sz w:val="20"/>
                <w:szCs w:val="20"/>
                <w:color w:val="auto"/>
              </w:rPr>
            </w:pPr>
            <w:r>
              <w:rPr>
                <w:rFonts w:ascii="Arial" w:cs="Arial" w:eastAsia="Arial" w:hAnsi="Arial"/>
                <w:sz w:val="14"/>
                <w:szCs w:val="14"/>
                <w:color w:val="auto"/>
              </w:rPr>
              <w:t>Term Loan</w:t>
            </w:r>
          </w:p>
        </w:tc>
        <w:tc>
          <w:tcPr>
            <w:tcW w:w="86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4.75%</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2/28/2021</w:t>
            </w: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500,000</w:t>
            </w: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498,750</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498,750</w:t>
            </w:r>
          </w:p>
        </w:tc>
      </w:tr>
      <w:tr>
        <w:trPr>
          <w:trHeight w:val="130"/>
        </w:trPr>
        <w:tc>
          <w:tcPr>
            <w:tcW w:w="2920" w:type="dxa"/>
            <w:vAlign w:val="bottom"/>
            <w:gridSpan w:val="2"/>
          </w:tcPr>
          <w:p>
            <w:pPr>
              <w:spacing w:after="0" w:line="130" w:lineRule="exact"/>
              <w:rPr>
                <w:sz w:val="20"/>
                <w:szCs w:val="20"/>
                <w:color w:val="auto"/>
              </w:rPr>
            </w:pPr>
            <w:r>
              <w:rPr>
                <w:rFonts w:ascii="Arial" w:cs="Arial" w:eastAsia="Arial" w:hAnsi="Arial"/>
                <w:sz w:val="14"/>
                <w:szCs w:val="14"/>
                <w:color w:val="auto"/>
              </w:rPr>
              <w:t>West Corporation</w:t>
            </w:r>
          </w:p>
        </w:tc>
        <w:tc>
          <w:tcPr>
            <w:tcW w:w="1320" w:type="dxa"/>
            <w:vAlign w:val="bottom"/>
            <w:gridSpan w:val="2"/>
          </w:tcPr>
          <w:p>
            <w:pPr>
              <w:ind w:left="120"/>
              <w:spacing w:after="0" w:line="130" w:lineRule="exact"/>
              <w:rPr>
                <w:sz w:val="20"/>
                <w:szCs w:val="20"/>
                <w:color w:val="auto"/>
              </w:rPr>
            </w:pPr>
            <w:r>
              <w:rPr>
                <w:rFonts w:ascii="Arial" w:cs="Arial" w:eastAsia="Arial" w:hAnsi="Arial"/>
                <w:sz w:val="14"/>
                <w:szCs w:val="14"/>
                <w:color w:val="auto"/>
                <w:w w:val="91"/>
              </w:rPr>
              <w:t>Telecommunications</w:t>
            </w:r>
          </w:p>
        </w:tc>
        <w:tc>
          <w:tcPr>
            <w:tcW w:w="1120" w:type="dxa"/>
            <w:vAlign w:val="bottom"/>
            <w:gridSpan w:val="3"/>
          </w:tcPr>
          <w:p>
            <w:pPr>
              <w:ind w:left="180"/>
              <w:spacing w:after="0" w:line="130" w:lineRule="exact"/>
              <w:rPr>
                <w:sz w:val="20"/>
                <w:szCs w:val="20"/>
                <w:color w:val="auto"/>
              </w:rPr>
            </w:pPr>
            <w:r>
              <w:rPr>
                <w:rFonts w:ascii="Arial" w:cs="Arial" w:eastAsia="Arial" w:hAnsi="Arial"/>
                <w:sz w:val="14"/>
                <w:szCs w:val="14"/>
                <w:color w:val="auto"/>
              </w:rPr>
              <w:t>Term B-10</w:t>
            </w:r>
          </w:p>
        </w:tc>
        <w:tc>
          <w:tcPr>
            <w:tcW w:w="6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r>
      <w:tr>
        <w:trPr>
          <w:trHeight w:val="174"/>
        </w:trPr>
        <w:tc>
          <w:tcPr>
            <w:tcW w:w="78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120" w:type="dxa"/>
            <w:vAlign w:val="bottom"/>
            <w:gridSpan w:val="3"/>
          </w:tcPr>
          <w:p>
            <w:pPr>
              <w:ind w:left="180"/>
              <w:spacing w:after="0"/>
              <w:rPr>
                <w:sz w:val="20"/>
                <w:szCs w:val="20"/>
                <w:color w:val="auto"/>
              </w:rPr>
            </w:pPr>
            <w:r>
              <w:rPr>
                <w:rFonts w:ascii="Arial" w:cs="Arial" w:eastAsia="Arial" w:hAnsi="Arial"/>
                <w:sz w:val="14"/>
                <w:szCs w:val="14"/>
                <w:color w:val="auto"/>
              </w:rPr>
              <w:t>Loan</w:t>
            </w:r>
          </w:p>
        </w:tc>
        <w:tc>
          <w:tcPr>
            <w:tcW w:w="860" w:type="dxa"/>
            <w:vAlign w:val="bottom"/>
            <w:gridSpan w:val="2"/>
          </w:tcPr>
          <w:p>
            <w:pPr>
              <w:spacing w:after="0"/>
              <w:rPr>
                <w:sz w:val="20"/>
                <w:szCs w:val="20"/>
                <w:color w:val="auto"/>
              </w:rPr>
            </w:pPr>
            <w:r>
              <w:rPr>
                <w:rFonts w:ascii="Arial" w:cs="Arial" w:eastAsia="Arial" w:hAnsi="Arial"/>
                <w:sz w:val="14"/>
                <w:szCs w:val="14"/>
                <w:color w:val="auto"/>
              </w:rPr>
              <w:t>Loan</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3.25%</w:t>
            </w:r>
          </w:p>
        </w:tc>
        <w:tc>
          <w:tcPr>
            <w:tcW w:w="1160" w:type="dxa"/>
            <w:vAlign w:val="bottom"/>
            <w:gridSpan w:val="2"/>
          </w:tcPr>
          <w:p>
            <w:pPr>
              <w:jc w:val="right"/>
              <w:ind w:right="280"/>
              <w:spacing w:after="0"/>
              <w:rPr>
                <w:sz w:val="20"/>
                <w:szCs w:val="20"/>
                <w:color w:val="auto"/>
              </w:rPr>
            </w:pPr>
            <w:r>
              <w:rPr>
                <w:rFonts w:ascii="Arial" w:cs="Arial" w:eastAsia="Arial" w:hAnsi="Arial"/>
                <w:sz w:val="14"/>
                <w:szCs w:val="14"/>
                <w:color w:val="auto"/>
              </w:rPr>
              <w:t>6/30/2018</w:t>
            </w:r>
          </w:p>
        </w:tc>
        <w:tc>
          <w:tcPr>
            <w:tcW w:w="880" w:type="dxa"/>
            <w:vAlign w:val="bottom"/>
            <w:gridSpan w:val="2"/>
          </w:tcPr>
          <w:p>
            <w:pPr>
              <w:jc w:val="right"/>
              <w:ind w:right="260"/>
              <w:spacing w:after="0"/>
              <w:rPr>
                <w:sz w:val="20"/>
                <w:szCs w:val="20"/>
                <w:color w:val="auto"/>
              </w:rPr>
            </w:pPr>
            <w:r>
              <w:rPr>
                <w:rFonts w:ascii="Arial" w:cs="Arial" w:eastAsia="Arial" w:hAnsi="Arial"/>
                <w:sz w:val="14"/>
                <w:szCs w:val="14"/>
                <w:color w:val="auto"/>
                <w:w w:val="96"/>
              </w:rPr>
              <w:t>2,926,111</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2,976,179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2,909,666</w:t>
            </w:r>
          </w:p>
        </w:tc>
        <w:tc>
          <w:tcPr>
            <w:tcW w:w="80" w:type="dxa"/>
            <w:vAlign w:val="bottom"/>
          </w:tcPr>
          <w:p>
            <w:pPr>
              <w:spacing w:after="0"/>
              <w:rPr>
                <w:sz w:val="15"/>
                <w:szCs w:val="15"/>
                <w:color w:val="auto"/>
              </w:rPr>
            </w:pPr>
          </w:p>
        </w:tc>
      </w:tr>
      <w:tr>
        <w:trPr>
          <w:trHeight w:val="149"/>
        </w:trPr>
        <w:tc>
          <w:tcPr>
            <w:tcW w:w="780" w:type="dxa"/>
            <w:vAlign w:val="bottom"/>
            <w:shd w:val="clear" w:color="auto" w:fill="CCEEFF"/>
          </w:tcPr>
          <w:p>
            <w:pPr>
              <w:spacing w:after="0"/>
              <w:rPr>
                <w:sz w:val="12"/>
                <w:szCs w:val="12"/>
                <w:color w:val="auto"/>
              </w:rPr>
            </w:pPr>
          </w:p>
        </w:tc>
        <w:tc>
          <w:tcPr>
            <w:tcW w:w="2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u w:val="single" w:color="auto"/>
                <w:color w:val="auto"/>
                <w:w w:val="89"/>
              </w:rPr>
              <w:t>$</w:t>
            </w:r>
            <w:r>
              <w:rPr>
                <w:rFonts w:ascii="Arial" w:cs="Arial" w:eastAsia="Arial" w:hAnsi="Arial"/>
                <w:sz w:val="14"/>
                <w:szCs w:val="14"/>
                <w:b w:val="1"/>
                <w:bCs w:val="1"/>
                <w:color w:val="auto"/>
                <w:w w:val="89"/>
              </w:rPr>
              <w:t xml:space="preserve"> 299,137,566</w:t>
            </w:r>
          </w:p>
        </w:tc>
        <w:tc>
          <w:tcPr>
            <w:tcW w:w="100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 xml:space="preserve"> 300,491,077</w:t>
            </w:r>
          </w:p>
        </w:tc>
      </w:tr>
      <w:tr>
        <w:trPr>
          <w:trHeight w:val="20"/>
        </w:trPr>
        <w:tc>
          <w:tcPr>
            <w:tcW w:w="78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Agreements and Related Party Transactions</w:t>
      </w:r>
    </w:p>
    <w:p>
      <w:pPr>
        <w:spacing w:after="0" w:line="121" w:lineRule="exact"/>
        <w:rPr>
          <w:sz w:val="20"/>
          <w:szCs w:val="20"/>
          <w:color w:val="auto"/>
        </w:rPr>
      </w:pPr>
    </w:p>
    <w:p>
      <w:pPr>
        <w:ind w:right="160" w:firstLine="913"/>
        <w:spacing w:after="0" w:line="291" w:lineRule="auto"/>
        <w:rPr>
          <w:sz w:val="20"/>
          <w:szCs w:val="20"/>
          <w:color w:val="auto"/>
        </w:rPr>
      </w:pPr>
      <w:r>
        <w:rPr>
          <w:rFonts w:ascii="Arial" w:cs="Arial" w:eastAsia="Arial" w:hAnsi="Arial"/>
          <w:sz w:val="16"/>
          <w:szCs w:val="16"/>
          <w:color w:val="auto"/>
        </w:rPr>
        <w:t>On July 30, 2010, the Company entered into the Management Agreement with our Manager. The initial term of the Management Agreement is two years, with automatic, one-year renewals at the end of each year subject to certain approvals by our board of directors and/or our stockholders. On July 10, 2014, our board of directors approved the renewal of the Management Agreement for an additional one-year term. Pursuant to the Management Agreement, our Manager implements our business strategy on a day-to-day basis and performs certain services for us, subject to oversight by our board of directors. Our Manager is responsible for, among other duties, determining investment criteria, sourcing, analyzing and executing investments transactions, asset sales, financings and performing asset management duties. Under the Management Agreement, we have agreed to pay our Manager a management fee for investment advisory and management services consisting of a base management fee and an incentive fee.</w:t>
      </w:r>
    </w:p>
    <w:p>
      <w:pPr>
        <w:spacing w:after="0" w:line="167" w:lineRule="exact"/>
        <w:rPr>
          <w:sz w:val="20"/>
          <w:szCs w:val="20"/>
          <w:color w:val="auto"/>
        </w:rPr>
      </w:pPr>
    </w:p>
    <w:p>
      <w:pPr>
        <w:ind w:right="500" w:firstLine="913"/>
        <w:spacing w:after="0" w:line="264" w:lineRule="auto"/>
        <w:rPr>
          <w:sz w:val="20"/>
          <w:szCs w:val="20"/>
          <w:color w:val="auto"/>
        </w:rPr>
      </w:pPr>
      <w:r>
        <w:rPr>
          <w:rFonts w:ascii="Arial" w:cs="Arial" w:eastAsia="Arial" w:hAnsi="Arial"/>
          <w:sz w:val="18"/>
          <w:szCs w:val="18"/>
          <w:color w:val="auto"/>
        </w:rPr>
        <w:t>The base management fee of 1.75% is calculated based on the average value of our gross assets (other than cash or cash equivalents, but including assets purchased with borrowed funds) at the end of the two most recently completed fiscal quarters, and appropriately adjusted for any share issuances or repurchases during the applicable fiscal quarter.</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incentive fee consists of the following two parts:</w:t>
      </w:r>
    </w:p>
    <w:p>
      <w:pPr>
        <w:spacing w:after="0" w:line="225" w:lineRule="exact"/>
        <w:rPr>
          <w:sz w:val="20"/>
          <w:szCs w:val="20"/>
          <w:color w:val="auto"/>
        </w:rPr>
      </w:pPr>
    </w:p>
    <w:p>
      <w:pPr>
        <w:ind w:right="20" w:firstLine="913"/>
        <w:spacing w:after="0" w:line="273" w:lineRule="auto"/>
        <w:rPr>
          <w:sz w:val="20"/>
          <w:szCs w:val="20"/>
          <w:color w:val="auto"/>
        </w:rPr>
      </w:pPr>
      <w:r>
        <w:rPr>
          <w:rFonts w:ascii="Arial" w:cs="Arial" w:eastAsia="Arial" w:hAnsi="Arial"/>
          <w:sz w:val="17"/>
          <w:szCs w:val="17"/>
          <w:color w:val="auto"/>
        </w:rPr>
        <w:t>The first, payable quarterly in arrears, equals 20.0% of our pre-incentive fee net investment income, expressed as a rate of return on the value of our net assets at the end of the immediately preceding quarter, that exceeds a 1.875% quarterly (7.5% annualized) hurdle rate measured as of the end of each fiscal quarter, subject to a “catch-up” provision. Under this provision, in any fiscal quarter, our Manager receives no incentive fee unless our pre-incentive fee net investment income exceeds the hurdle rate of 1.875%. Our Manager will receive 100.0% of pre-incentive fee net investment income, if any, that exceeds the hurdle rate but is less than or equal to 2.344% in any fiscal quarter (9.376% annualized); and 20.0% of the amount of the our pre-incentive fee net investment income, if any, that exceeds 2.344% in any fiscal quarter (9.376% annualized).</w:t>
      </w:r>
    </w:p>
    <w:p>
      <w:pPr>
        <w:spacing w:after="0" w:line="178" w:lineRule="exact"/>
        <w:rPr>
          <w:sz w:val="20"/>
          <w:szCs w:val="20"/>
          <w:color w:val="auto"/>
        </w:rPr>
      </w:pPr>
    </w:p>
    <w:p>
      <w:pPr>
        <w:ind w:right="120" w:firstLine="913"/>
        <w:spacing w:after="0" w:line="271" w:lineRule="auto"/>
        <w:rPr>
          <w:sz w:val="20"/>
          <w:szCs w:val="20"/>
          <w:color w:val="auto"/>
        </w:rPr>
      </w:pPr>
      <w:r>
        <w:rPr>
          <w:rFonts w:ascii="Arial" w:cs="Arial" w:eastAsia="Arial" w:hAnsi="Arial"/>
          <w:sz w:val="17"/>
          <w:szCs w:val="17"/>
          <w:color w:val="auto"/>
        </w:rPr>
        <w:t>The second part of the incentive fee is determined and payable in arrears as of the end of each fiscal year (or upon termination of the Management Agreement) and equals 20.0% of our “incentive fee capital gains,” which equals our realized capital gains on a cumulative basis from May 31, 2010 through the end of the year, if any, computed net of all realized capital losses and unrealized capital depreciation on a cumulative basis, less the aggregate amount of any previously paid capital gain incentive fee. Importantly, the capital gains portion of the incentive fee is based on realized gains and realized and unrealized losses from May 31, 2010. Therefore, realized and unrealized losses incurred prior to such time will not be taken into account when calculating the capital gains portion of the incentive fee, and our Manager will be entitled to 20.0% of incentive fee capital gains that arise after May 31, 2010. In addition, for the purpose of the “incentive fee capital gains” calculations, the cost basis for computing realized gains and losses on investments held by us as of May 31, 2010 will equal the fair value of such investments as of such date.</w:t>
      </w:r>
    </w:p>
    <w:p>
      <w:pPr>
        <w:spacing w:after="0" w:line="179" w:lineRule="exact"/>
        <w:rPr>
          <w:sz w:val="20"/>
          <w:szCs w:val="20"/>
          <w:color w:val="auto"/>
        </w:rPr>
      </w:pPr>
    </w:p>
    <w:p>
      <w:pPr>
        <w:jc w:val="both"/>
        <w:ind w:right="60" w:firstLine="913"/>
        <w:spacing w:after="0" w:line="284" w:lineRule="auto"/>
        <w:rPr>
          <w:sz w:val="20"/>
          <w:szCs w:val="20"/>
          <w:color w:val="auto"/>
        </w:rPr>
      </w:pPr>
      <w:r>
        <w:rPr>
          <w:rFonts w:ascii="Arial" w:cs="Arial" w:eastAsia="Arial" w:hAnsi="Arial"/>
          <w:sz w:val="16"/>
          <w:szCs w:val="16"/>
          <w:color w:val="auto"/>
        </w:rPr>
        <w:t>For the three months ended August 31, 2014 and 2013, we incurred $1.0 million and $0.8 million in base management fees, respectively. For the three months ended August 31, 2014 and 2013, we accrued $0.6 million and $0.1 million in incentive fees related to pre-incentive fee net investment income. For the three months ended August 31, 2014, we accrued $0.2 million in incentive fees related to capital gains. For the three months ended August 31, 2013, there was a reduction of $0.2 million in incentive management fees related to capital gains. For the six months ended August 31, 2014 and 2013, we incurred $2.0 million and $1.5 million in base management fees, respectively. For the six months ended August 31, 2014 and 2013, we accrued $0.9 million and $0.8 million in incentive fees related to pre-incentive fee net investment income. For the six months ended August 31, 2014, we accrued $0.3 million in incentive management fees related to capital gains. For the six months ended August 31, 2013, we did not accrue incentive management fees related to capital gains.</w:t>
      </w:r>
    </w:p>
    <w:p>
      <w:pPr>
        <w:spacing w:after="0" w:line="3" w:lineRule="exact"/>
        <w:rPr>
          <w:sz w:val="20"/>
          <w:szCs w:val="20"/>
          <w:color w:val="auto"/>
        </w:rPr>
      </w:pPr>
    </w:p>
    <w:p>
      <w:pPr>
        <w:ind w:right="40"/>
        <w:spacing w:after="0" w:line="292" w:lineRule="auto"/>
        <w:rPr>
          <w:sz w:val="20"/>
          <w:szCs w:val="20"/>
          <w:color w:val="auto"/>
        </w:rPr>
      </w:pPr>
      <w:r>
        <w:rPr>
          <w:rFonts w:ascii="Arial" w:cs="Arial" w:eastAsia="Arial" w:hAnsi="Arial"/>
          <w:sz w:val="16"/>
          <w:szCs w:val="16"/>
          <w:color w:val="auto"/>
        </w:rPr>
        <w:t>The accrual is calculated using both realized and unrealized capital gains for the period. The actual incentive fee related to capital gains will be determined and payable in arrears at the end of the fiscal year and will include only realized capital gains for the period. As of August 31, 2014, the base management fees accrual was $1.0 million, and the incentive fees accrual was $3.2 million and is included in management and incentive fees payable in the accompanying consolidated statements of assets and liabilities. As of February 28, 2014, the base management fees accrual was $0.9 million and the incentive fees accrual was $3.0 million and is included in management and incentive fees payable in the accompanying consolidated statements of assets and liabilities.</w:t>
      </w:r>
    </w:p>
    <w:p>
      <w:pPr>
        <w:spacing w:after="0" w:line="163" w:lineRule="exact"/>
        <w:rPr>
          <w:sz w:val="20"/>
          <w:szCs w:val="20"/>
          <w:color w:val="auto"/>
        </w:rPr>
      </w:pPr>
    </w:p>
    <w:p>
      <w:pPr>
        <w:ind w:firstLine="913"/>
        <w:spacing w:after="0" w:line="254" w:lineRule="auto"/>
        <w:rPr>
          <w:sz w:val="20"/>
          <w:szCs w:val="20"/>
          <w:color w:val="auto"/>
        </w:rPr>
      </w:pPr>
      <w:r>
        <w:rPr>
          <w:rFonts w:ascii="Arial" w:cs="Arial" w:eastAsia="Arial" w:hAnsi="Arial"/>
          <w:sz w:val="18"/>
          <w:szCs w:val="18"/>
          <w:color w:val="auto"/>
        </w:rPr>
        <w:t>On July 30, 2010, the Company entered into a separate administration agreement (the “Administration Agreement”) with our Manager, pursuant to which our Manager, as our administrator, has agreed to furnish us with the facilities and administrative services necessary to conduct our day-to-day operations and provide managerial assistance on our behalf to those portfolio companies to which we are required to provide such assistance. The initial term of the Administration Agreement is two years, with automatic, one-year renewals at the end of each year subject to certain approvals by our board of directors and/or our stockholders. The amount of expenses payable or reimbursable thereunder by the Company is capped at $1.0 million for the initial two year term of the administration agreement. On July 10, 2014, our board of directors approved the renewal of the Administration Agreement for an additional one-year term and determined to maintain the cap on the payment or reimbursement of expenses by the Company thereunder to $1.0 million for the additional one-year term.</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913"/>
        <w:spacing w:after="0" w:line="293" w:lineRule="auto"/>
        <w:rPr>
          <w:sz w:val="20"/>
          <w:szCs w:val="20"/>
          <w:color w:val="auto"/>
        </w:rPr>
      </w:pPr>
      <w:r>
        <w:rPr>
          <w:rFonts w:ascii="Arial" w:cs="Arial" w:eastAsia="Arial" w:hAnsi="Arial"/>
          <w:sz w:val="16"/>
          <w:szCs w:val="16"/>
          <w:color w:val="auto"/>
        </w:rPr>
        <w:t>For the three months ended August 31, 2014 and 2013, we recognized $0.3 million and $0.3 million in administrator expenses for the periods, pertaining to bookkeeping, record keeping and other administrative services provided to us in addition to our allocable portion of rent and other overhead related expenses, respectively. For the six months ended August 31, 2014 and 2013, we recognized $0.5 million and $0.5 million in administrator expenses for the periods, pertaining to bookkeeping, record keeping and other administrative services provided to us in addition to our allocable portion of rent and other overhead related expenses, respectively. As of August 31, 2014 and February 28, 2014, $0.4 million and $0.4 million, respectively, of administrator expenses were accrued and included in due to manager in the accompanying consolidated statements of assets and liabilities.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Borrowings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117"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As a BDC, we are only allowed to employ leverage to the extent that our asset coverage, as defined in the 1940 Act, equals at least 200.0% after giving effect to such leverage. The amount of leverage that we employ at any time depends on our assessment of the market and other factors at the time of any proposed borrowing.</w:t>
      </w:r>
    </w:p>
    <w:p>
      <w:pPr>
        <w:spacing w:after="0" w:line="181" w:lineRule="exact"/>
        <w:rPr>
          <w:sz w:val="20"/>
          <w:szCs w:val="20"/>
          <w:color w:val="auto"/>
        </w:rPr>
      </w:pPr>
    </w:p>
    <w:p>
      <w:pPr>
        <w:ind w:right="80" w:firstLine="913"/>
        <w:spacing w:after="0" w:line="270" w:lineRule="auto"/>
        <w:rPr>
          <w:sz w:val="20"/>
          <w:szCs w:val="20"/>
          <w:color w:val="auto"/>
        </w:rPr>
      </w:pPr>
      <w:r>
        <w:rPr>
          <w:rFonts w:ascii="Arial" w:cs="Arial" w:eastAsia="Arial" w:hAnsi="Arial"/>
          <w:sz w:val="17"/>
          <w:szCs w:val="17"/>
          <w:color w:val="auto"/>
        </w:rPr>
        <w:t>On April 11, 2007, we entered into a $100.0 million revolving securitized credit facility (the “Revolving Facility”). On May 1, 2007, we entered into a $25.7 million term securitized credit facility (the “Term Facility” and, together with the Revolving Facility, the “Facilities”), which was fully drawn at closing. In December 2007, we consolidated the Facilities by using a draw under the Revolving Facility to repay the Term Facility. In response to the market wide decline in financial asset prices, which negatively affected the value of our portfolio, we terminated the revolving period of the Revolving Facility effective January 14, 2009 and commenced a two-year amortization period during which all principal proceeds from the collateral was used to repay outstanding borrowings. A significant percentage of our total assets had been pledged under the Revolving Facility to secure our obligations thereunder. Under the Revolving Facility, funds were borrowed from or through certain lenders and interest was payable monthly at the greater of the commercial paper rate and our lender’s prime rate plus 4.00% plus a default rate of 2.00% or, if the commercial paper market was unavailable, the greater of the prevailing LIBOR rates and our lender’s prime rate plus 6.00% plus a default rate of 3.00%.</w:t>
      </w:r>
    </w:p>
    <w:p>
      <w:pPr>
        <w:spacing w:after="0" w:line="182" w:lineRule="exact"/>
        <w:rPr>
          <w:sz w:val="20"/>
          <w:szCs w:val="20"/>
          <w:color w:val="auto"/>
        </w:rPr>
      </w:pPr>
    </w:p>
    <w:p>
      <w:pPr>
        <w:jc w:val="both"/>
        <w:ind w:right="40" w:firstLine="913"/>
        <w:spacing w:after="0" w:line="312" w:lineRule="auto"/>
        <w:rPr>
          <w:sz w:val="20"/>
          <w:szCs w:val="20"/>
          <w:color w:val="auto"/>
        </w:rPr>
      </w:pPr>
      <w:r>
        <w:rPr>
          <w:rFonts w:ascii="Arial" w:cs="Arial" w:eastAsia="Arial" w:hAnsi="Arial"/>
          <w:sz w:val="16"/>
          <w:szCs w:val="16"/>
          <w:color w:val="auto"/>
        </w:rPr>
        <w:t>In March 2009, we amended the Revolving Facility to increase the portion of the portfolio that could be invested in “CCC” rated investments in return for an increased interest rate and expedited amortization. As a result of these transactions, we expected to have additional cushion under our borrowing base under the Revolving Facility that would allow us to better manage our capital in times of declining asset prices and market dislocation.</w:t>
      </w:r>
    </w:p>
    <w:p>
      <w:pPr>
        <w:spacing w:after="0" w:line="147" w:lineRule="exact"/>
        <w:rPr>
          <w:sz w:val="20"/>
          <w:szCs w:val="20"/>
          <w:color w:val="auto"/>
        </w:rPr>
      </w:pPr>
    </w:p>
    <w:p>
      <w:pPr>
        <w:ind w:right="100" w:firstLine="913"/>
        <w:spacing w:after="0" w:line="279" w:lineRule="auto"/>
        <w:rPr>
          <w:sz w:val="20"/>
          <w:szCs w:val="20"/>
          <w:color w:val="auto"/>
        </w:rPr>
      </w:pPr>
      <w:r>
        <w:rPr>
          <w:rFonts w:ascii="Arial" w:cs="Arial" w:eastAsia="Arial" w:hAnsi="Arial"/>
          <w:sz w:val="17"/>
          <w:szCs w:val="17"/>
          <w:color w:val="auto"/>
        </w:rPr>
        <w:t>On July 30, 2009, we exceeded the permissible borrowing limit under the Revolving Facility for 30 consecutive days, resulting in an event of default under the Revolving Facility. As a result of this event of default, our lender had the right to accelerate repayment of the outstanding indebtedness under the Revolving Facility and to foreclose and liquidate the collateral pledged thereunder. Acceleration of the outstanding indebtedness and/or liquidation of the collateral could have had a material adverse effect on our liquidity, financial condition and operations.</w:t>
      </w:r>
    </w:p>
    <w:p>
      <w:pPr>
        <w:spacing w:after="0" w:line="171" w:lineRule="exact"/>
        <w:rPr>
          <w:sz w:val="20"/>
          <w:szCs w:val="20"/>
          <w:color w:val="auto"/>
        </w:rPr>
      </w:pPr>
    </w:p>
    <w:p>
      <w:pPr>
        <w:ind w:right="300" w:firstLine="913"/>
        <w:spacing w:after="0" w:line="257" w:lineRule="auto"/>
        <w:rPr>
          <w:sz w:val="20"/>
          <w:szCs w:val="20"/>
          <w:color w:val="auto"/>
        </w:rPr>
      </w:pPr>
      <w:r>
        <w:rPr>
          <w:rFonts w:ascii="Arial" w:cs="Arial" w:eastAsia="Arial" w:hAnsi="Arial"/>
          <w:sz w:val="18"/>
          <w:szCs w:val="18"/>
          <w:color w:val="auto"/>
        </w:rPr>
        <w:t>On July 30, 2010, we used the net proceeds from (i) the stock purchase transaction and (ii) a portion of the funds available to us under the $45.0 million senior secured revolving credit facility (the “Credit Facility”) with Madison Capital Funding LLC, in each case, described in “Note 13. Recapitalization Transaction” below, to pay the full amount of principal and accrued interest, including default interest, outstanding under the Revolving Facility. As a result, the Revolving Facility was terminated in connection therewith. Substantially all of our total assets, other than those held by SBIC LP, have been pledged under the Credit Facility to secure our obligations thereunder.</w:t>
      </w:r>
    </w:p>
    <w:p>
      <w:pPr>
        <w:spacing w:after="0" w:line="188"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On February 24, 2012, we amended our senior secured revolving credit facility with Madison Capital Funding LLC to, among other things:</w:t>
      </w:r>
    </w:p>
    <w:p>
      <w:pPr>
        <w:spacing w:after="0" w:line="142" w:lineRule="exact"/>
        <w:rPr>
          <w:sz w:val="20"/>
          <w:szCs w:val="20"/>
          <w:color w:val="auto"/>
        </w:rPr>
      </w:pPr>
    </w:p>
    <w:p>
      <w:pPr>
        <w:ind w:left="1460" w:hanging="547"/>
        <w:spacing w:after="0"/>
        <w:tabs>
          <w:tab w:leader="none" w:pos="1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expand the borrowing capacity under the credit facility from $40.0 million to $45.0 million;</w:t>
      </w:r>
    </w:p>
    <w:p>
      <w:pPr>
        <w:spacing w:after="0" w:line="130" w:lineRule="exact"/>
        <w:rPr>
          <w:rFonts w:ascii="Arial" w:cs="Arial" w:eastAsia="Arial" w:hAnsi="Arial"/>
          <w:sz w:val="18"/>
          <w:szCs w:val="18"/>
          <w:color w:val="auto"/>
        </w:rPr>
      </w:pPr>
    </w:p>
    <w:p>
      <w:pPr>
        <w:jc w:val="both"/>
        <w:ind w:left="1460" w:hanging="547"/>
        <w:spacing w:after="0" w:line="312" w:lineRule="auto"/>
        <w:tabs>
          <w:tab w:leader="none" w:pos="14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extend the period during which we may make and repay borrowings under the credit facility from July 30, 2013 to February 24, 2015 (the “Revolving Period”). The Revolving Period may upon the occurrence of an event of default, by action of the lenders or automatically. All borrowings and other amounts payable under the credit facility are due and payable five years after the end of the Revolving Period; and</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hanging="547"/>
        <w:spacing w:after="0"/>
        <w:tabs>
          <w:tab w:leader="none" w:pos="14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remove the condition that we may not acquire additional loan assets without the prior written consent of Madison Capital Funding LLC.</w:t>
      </w:r>
    </w:p>
    <w:p>
      <w:pPr>
        <w:spacing w:after="0" w:line="248" w:lineRule="exact"/>
        <w:rPr>
          <w:sz w:val="20"/>
          <w:szCs w:val="20"/>
          <w:color w:val="auto"/>
        </w:rPr>
      </w:pPr>
    </w:p>
    <w:p>
      <w:pPr>
        <w:ind w:right="20" w:firstLine="913"/>
        <w:spacing w:after="0" w:line="288" w:lineRule="auto"/>
        <w:rPr>
          <w:sz w:val="20"/>
          <w:szCs w:val="20"/>
          <w:color w:val="auto"/>
        </w:rPr>
      </w:pPr>
      <w:r>
        <w:rPr>
          <w:rFonts w:ascii="Arial" w:cs="Arial" w:eastAsia="Arial" w:hAnsi="Arial"/>
          <w:sz w:val="16"/>
          <w:szCs w:val="16"/>
          <w:color w:val="auto"/>
        </w:rPr>
        <w:t>As of August 31, 2014 and February 28, 2014, there was $8.9 million and $0.0 million outstanding under the Credit Facility, respectively, and the Company was in compliance with all of the limitations and requirements of the Credit Facility. The carrying amount of the amount outstanding under the Credit Facility approximates its fair value. $2.3 million of financing costs related to the Credit Facility have been capitalized and are being amortized over the term of the facility. For the three months ended August 31, 2014 and 2013, we recorded $0.2 million and $0.1 million of interest expense related to the Credit Facility, respectively. For the three months ended August 31, 2014 and 2013, we recorded $0.1 million and $0.1 million of amortization of deferred financing costs related to the Credit Facility, respectively. The interest rates during the three and six months ended August 31, 2014 on the outstanding borrowings under the Credit Facility were 7.50% and 7.50%, respectively. The interest rates during the three and six months ended August 31, 2013 on the outstanding borrowings under the Credit Facility were 7.50% and 7.50%, respectively. For the six months ended August 31, 2014 and 2013, we recorded $0.4 million and $0.6 million of interest expense related to the Credit Facility, respectively. For the six months ended August 31, 2014 and 2013, we recorded $0.2 million and $0.2 million of amortization of deferred financing costs related to the Credit Facility, respectively.</w:t>
      </w:r>
    </w:p>
    <w:p>
      <w:pPr>
        <w:spacing w:after="0" w:line="169" w:lineRule="exact"/>
        <w:rPr>
          <w:sz w:val="20"/>
          <w:szCs w:val="20"/>
          <w:color w:val="auto"/>
        </w:rPr>
      </w:pPr>
    </w:p>
    <w:p>
      <w:pPr>
        <w:ind w:right="40" w:firstLine="913"/>
        <w:spacing w:after="0" w:line="288" w:lineRule="auto"/>
        <w:rPr>
          <w:sz w:val="20"/>
          <w:szCs w:val="20"/>
          <w:color w:val="auto"/>
        </w:rPr>
      </w:pPr>
      <w:r>
        <w:rPr>
          <w:rFonts w:ascii="Arial" w:cs="Arial" w:eastAsia="Arial" w:hAnsi="Arial"/>
          <w:sz w:val="16"/>
          <w:szCs w:val="16"/>
          <w:color w:val="auto"/>
        </w:rPr>
        <w:t>The Credit Facility contains limitations as to how borrowed funds may be used, such as restrictions on industry concentrations, asset size, weighted average life, currency denomination and collateral interests. The Credit Facility also includes certain requirements relating to portfolio performance, the violation of which could result in the limit of further advances and, in some cases, result in an event of default, allowing the lenders to accelerate repayment of amounts owed thereunder. The Credit Facility has an eight year term, consisting of a three year period (the “Revolving Period”), under which the Company may make and repay borrowings, and a final maturity five years from the end of the Revolving Period. Availability on the Credit Facility will be subject to a borrowing base calculation, based on, among other things, applicable advance rates (which vary from 50.0% to 75.0% of par or fair value depending on the type of loan asset) and the value of certain “eligible” loan assets included as part of the Borrowing Base. Funds may be borrowed at the greater of the prevailing LIBOR rate and 2.00%, plus an applicable margin of 5.50%. At the Company’s option, funds may be borrowed based on an alternative base rate, which in no event will be less than 3.00%, and the applicable margin over such alternative base rate is 4.50%. In addition, the Company will pay the lenders a commitment fee of 0.75% per year on the unused amount of the Credit Facility for the duration of the Revolving Period.</w:t>
      </w:r>
    </w:p>
    <w:p>
      <w:pPr>
        <w:spacing w:after="0" w:line="169"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Our borrowing base under the Credit Facility was $42.2 million subject to the Credit Facility cap of $45.0 million at August 31, 2014 For purposes of determining the borrowing base, most assets are assigned the values set forth in our most recent Annual Report on Form 10-K or Quarterly Report on Form 10-Q filed with the SEC. Accordingly, the August 31, 2014 borrowing base relies upon the valuations set forth in the Annual Report on Form 10-K for the year ended February 28, 2014. The valuations presented in this Quarterly Report on Form 10-Q will not be incorporated into the borrowing base until after this Quarterly Report on Form 10-Q is filed with the SEC.</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SBA Debentures</w:t>
      </w:r>
    </w:p>
    <w:p>
      <w:pPr>
        <w:spacing w:after="0" w:line="117" w:lineRule="exact"/>
        <w:rPr>
          <w:sz w:val="20"/>
          <w:szCs w:val="20"/>
          <w:color w:val="auto"/>
        </w:rPr>
      </w:pPr>
    </w:p>
    <w:p>
      <w:pPr>
        <w:ind w:right="40" w:firstLine="913"/>
        <w:spacing w:after="0" w:line="255" w:lineRule="auto"/>
        <w:rPr>
          <w:sz w:val="20"/>
          <w:szCs w:val="20"/>
          <w:color w:val="auto"/>
        </w:rPr>
      </w:pPr>
      <w:r>
        <w:rPr>
          <w:rFonts w:ascii="Arial" w:cs="Arial" w:eastAsia="Arial" w:hAnsi="Arial"/>
          <w:sz w:val="18"/>
          <w:szCs w:val="18"/>
          <w:color w:val="auto"/>
        </w:rPr>
        <w:t>SBIC LP is able to borrow funds from the SBA against regulatory capital (which approximates equity capital) that is paid in and is subject to customary regulatory requirements including but not limited to an examination by the SBA. As of August 31, 2014, we have funded SBIC LP with $45.5 million of equity capital, and have $64.0 million of SBA-guaranteed debentures outstanding. SBA debentures are non-recourse to us, have a 10-year maturity, and may be prepaid at any time without penalty. The interest rate of SBA debentures is fixed at the time of issuance, often referred to as pooling, at a market-driven spread over 10-year U.S. Treasury Notes. SBA current regulations limit the amount that SBIC LP may borrow to a maximum of $150.0 million, which is up to twice its potential regulatory capital.</w:t>
      </w:r>
    </w:p>
    <w:p>
      <w:pPr>
        <w:spacing w:after="0" w:line="193" w:lineRule="exact"/>
        <w:rPr>
          <w:sz w:val="20"/>
          <w:szCs w:val="20"/>
          <w:color w:val="auto"/>
        </w:rPr>
      </w:pPr>
    </w:p>
    <w:p>
      <w:pPr>
        <w:ind w:right="40" w:firstLine="913"/>
        <w:spacing w:after="0" w:line="290" w:lineRule="auto"/>
        <w:rPr>
          <w:sz w:val="20"/>
          <w:szCs w:val="20"/>
          <w:color w:val="auto"/>
        </w:rPr>
      </w:pPr>
      <w:r>
        <w:rPr>
          <w:rFonts w:ascii="Arial" w:cs="Arial" w:eastAsia="Arial" w:hAnsi="Arial"/>
          <w:sz w:val="16"/>
          <w:szCs w:val="16"/>
          <w:color w:val="auto"/>
        </w:rPr>
        <w:t>SBICs are designed to stimulate the flow of private equity capital to eligible small businesses. Under SBA regulations, SBICs may make loans to eligible small businesses and invest in the equity securities of small businesses. Under present SBA regulations, eligible small businesses include businesses that have a tangible net worth not exceeding $18.0 million and have average annual fully taxed net income not exceeding $6.0 million for the two most recent fiscal years. In addition, an SBIC must devote 25.0% of its investment activity to ‘‘smaller’’ concerns as defined by the SBA. A smaller concern is one that has a tangible net worth not exceeding $6.0 million and has average annual fully taxed net income not exceeding $2.0 million for the two most recent fiscal years. SBA regulations also provide alternative size standard criteria to determine eligibility, which depend on the industry in which the business is engaged and are based on such factors as the number of employees and gross sales. According to SBA regulations, SBICs may make long-term loans to small businesses, invest in the equity securities of such businesses and provide them with consulting and advisory services.</w:t>
      </w:r>
    </w:p>
    <w:p>
      <w:pPr>
        <w:spacing w:after="0" w:line="166" w:lineRule="exact"/>
        <w:rPr>
          <w:sz w:val="20"/>
          <w:szCs w:val="20"/>
          <w:color w:val="auto"/>
        </w:rPr>
      </w:pPr>
    </w:p>
    <w:p>
      <w:pPr>
        <w:ind w:right="100" w:firstLine="913"/>
        <w:spacing w:after="0" w:line="257" w:lineRule="auto"/>
        <w:rPr>
          <w:sz w:val="20"/>
          <w:szCs w:val="20"/>
          <w:color w:val="auto"/>
        </w:rPr>
      </w:pPr>
      <w:r>
        <w:rPr>
          <w:rFonts w:ascii="Arial" w:cs="Arial" w:eastAsia="Arial" w:hAnsi="Arial"/>
          <w:sz w:val="18"/>
          <w:szCs w:val="18"/>
          <w:color w:val="auto"/>
        </w:rPr>
        <w:t>SBIC LP is subject to regulation and oversight by the SBA, including requirements with respect to maintaining certain minimum financial ratios and other covenants. Receipt of an SBIC license does not assure that SBIC LP will receive SBA guaranteed debenture funding, which is dependent upon SBIC LP continuing to be in compliance with SBA regulations and policies. The SBA, as a creditor, will have a superior claim to SBIC LP’s assets over our stockholders and debtholders in the event we liquidate SBIC LP or the SBA exercises its remedies under the SBA-guaranteed debentures issued by SBIC LP upon an event of default.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The Company received exemptive relief from the Securities and Exchange Commission to permit it to exclude the debt of SBIC LP guaranteed by the SBA from the definition of senior securities in the 200.0% asset coverage test under the 1940 Act. This allows the Company increased flexibility under the 200.0% asset coverage test by permitting it to borrow up to $150.0 million more than it would otherwise be able to absent the receipt of this exemptive relief.</w:t>
      </w:r>
    </w:p>
    <w:p>
      <w:pPr>
        <w:spacing w:after="0" w:line="187"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As of August 31, 2014 and February 28, 2014, there was $64.0 million and $50.0 million outstanding of SBA debentures, respectively. The carrying amount of the amount outstanding of SBA debentures approximates its fair value. $2.1 million of financing costs related to the SBA debentures have been capitalized and are being amortized over the term of the commitment and drawdown. For the three and six months ended August 31, 2014, the Company recorded $0.4 million and $0.8 million, respectively, of interest expense related to the SBA debentures. For the three and six months ended August 31, 2013, the Company recorded $0.3 million and $0.6 million, respectively, of interest expense related to the SBA debentures. For the three and six months ended August 31, 2014, the Company recorded $0.1 million and $0.1 million, respectively, of amortization of deferred financing costs related to the SBA debentures. For the three and six months ended August 31, 2013, the Company recorded $0.05 million and $0.1 million, respectively, of amortization of deferred financing costs related to the SBA debentures. The weighted average interest rate during the six months ended August 31, 2014 and 2013 on the outstanding borrowings of the SBA debentures was 3.16% and 2.90%, respectively.</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w:t>
      </w:r>
    </w:p>
    <w:p>
      <w:pPr>
        <w:spacing w:after="0" w:line="117" w:lineRule="exact"/>
        <w:rPr>
          <w:sz w:val="20"/>
          <w:szCs w:val="20"/>
          <w:color w:val="auto"/>
        </w:rPr>
      </w:pPr>
    </w:p>
    <w:p>
      <w:pPr>
        <w:ind w:right="40" w:firstLine="913"/>
        <w:spacing w:after="0" w:line="264" w:lineRule="auto"/>
        <w:rPr>
          <w:sz w:val="20"/>
          <w:szCs w:val="20"/>
          <w:color w:val="auto"/>
        </w:rPr>
      </w:pPr>
      <w:r>
        <w:rPr>
          <w:rFonts w:ascii="Arial" w:cs="Arial" w:eastAsia="Arial" w:hAnsi="Arial"/>
          <w:sz w:val="18"/>
          <w:szCs w:val="18"/>
          <w:color w:val="auto"/>
        </w:rPr>
        <w:t>On May 10, 2013, the Company issued $42.0 million in aggregate principal amount of 7.50% fixed-rate notes due 2020 (the “Notes”). The Notes will mature on May 31, 2020, and may be redeemed in whole or in part at any time or from time to time at the Company’s option on or after May 31, 2016. Interest will be payable quarterly beginning August 15, 2013.</w:t>
      </w:r>
    </w:p>
    <w:p>
      <w:pPr>
        <w:spacing w:after="0" w:line="181" w:lineRule="exact"/>
        <w:rPr>
          <w:sz w:val="20"/>
          <w:szCs w:val="20"/>
          <w:color w:val="auto"/>
        </w:rPr>
      </w:pPr>
    </w:p>
    <w:p>
      <w:pPr>
        <w:ind w:right="100" w:firstLine="913"/>
        <w:spacing w:after="0" w:line="277" w:lineRule="auto"/>
        <w:rPr>
          <w:sz w:val="20"/>
          <w:szCs w:val="20"/>
          <w:color w:val="auto"/>
        </w:rPr>
      </w:pPr>
      <w:r>
        <w:rPr>
          <w:rFonts w:ascii="Arial" w:cs="Arial" w:eastAsia="Arial" w:hAnsi="Arial"/>
          <w:sz w:val="18"/>
          <w:szCs w:val="18"/>
          <w:color w:val="auto"/>
        </w:rPr>
        <w:t>On May 17, 2013, the Company closed an additional $6.3 million in aggregate principal amount of the Notes, pursuant to the full exercise of the underwriters’ option to purchase additional Notes.</w:t>
      </w:r>
    </w:p>
    <w:p>
      <w:pPr>
        <w:spacing w:after="0" w:line="170" w:lineRule="exact"/>
        <w:rPr>
          <w:sz w:val="20"/>
          <w:szCs w:val="20"/>
          <w:color w:val="auto"/>
        </w:rPr>
      </w:pPr>
    </w:p>
    <w:p>
      <w:pPr>
        <w:ind w:firstLine="913"/>
        <w:spacing w:after="0" w:line="255" w:lineRule="auto"/>
        <w:rPr>
          <w:sz w:val="20"/>
          <w:szCs w:val="20"/>
          <w:color w:val="auto"/>
        </w:rPr>
      </w:pPr>
      <w:r>
        <w:rPr>
          <w:rFonts w:ascii="Arial" w:cs="Arial" w:eastAsia="Arial" w:hAnsi="Arial"/>
          <w:sz w:val="18"/>
          <w:szCs w:val="18"/>
          <w:color w:val="auto"/>
        </w:rPr>
        <w:t>As of August 31, 2014, the carrying amount and fair value of the Notes was $48.3 million and $49.4 million, respectively. The fair value of the Notes, which are publicly traded, is based upon closing market quotes as of the measurement date and would be classified as a level 1 liability within the fair value hierarchy. As of August 31, 2014, $2.5 million of financing costs related to the Notes have been capitalized and are being amortized over the term of the Notes. For the three and six months ended August 31, 2014, we recorded $0.9 million and $1.8 million, respectively, of interest expense and $0.1 million and $0.2 million, respectively, of amortization of deferred financing costs related to the Notes. For the three and six months ended August 31, 2013, we recorded $0.9 million and $1.1 million, respectively, of interest expense and $0.09 million and $0.1 million, respectively, of amortization of deferred financing costs related to the Notes.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Commitments and Contingencies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shows our payment obligations for repayment of debt and other contractual obligations at August 31,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800" w:type="dxa"/>
            <w:vAlign w:val="bottom"/>
            <w:tcBorders>
              <w:bottom w:val="single" w:sz="8" w:color="auto"/>
            </w:tcBorders>
            <w:gridSpan w:val="5"/>
          </w:tcPr>
          <w:p>
            <w:pPr>
              <w:ind w:left="140"/>
              <w:spacing w:after="0"/>
              <w:rPr>
                <w:sz w:val="20"/>
                <w:szCs w:val="20"/>
                <w:color w:val="auto"/>
              </w:rPr>
            </w:pPr>
            <w:r>
              <w:rPr>
                <w:rFonts w:ascii="Arial" w:cs="Arial" w:eastAsia="Arial" w:hAnsi="Arial"/>
                <w:sz w:val="14"/>
                <w:szCs w:val="14"/>
                <w:b w:val="1"/>
                <w:bCs w:val="1"/>
                <w:color w:val="auto"/>
              </w:rPr>
              <w:t>Payment Due by Period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380" w:type="dxa"/>
            <w:vAlign w:val="bottom"/>
          </w:tcPr>
          <w:p>
            <w:pPr>
              <w:spacing w:after="0"/>
              <w:rPr>
                <w:sz w:val="10"/>
                <w:szCs w:val="10"/>
                <w:color w:val="auto"/>
              </w:rPr>
            </w:pPr>
          </w:p>
        </w:tc>
        <w:tc>
          <w:tcPr>
            <w:tcW w:w="2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00" w:type="dxa"/>
            <w:vAlign w:val="bottom"/>
          </w:tcPr>
          <w:p>
            <w:pPr>
              <w:spacing w:after="0"/>
              <w:rPr>
                <w:sz w:val="10"/>
                <w:szCs w:val="10"/>
                <w:color w:val="auto"/>
              </w:rPr>
            </w:pPr>
          </w:p>
        </w:tc>
        <w:tc>
          <w:tcPr>
            <w:tcW w:w="780" w:type="dxa"/>
            <w:vAlign w:val="bottom"/>
            <w:gridSpan w:val="2"/>
          </w:tcPr>
          <w:p>
            <w:pPr>
              <w:jc w:val="center"/>
              <w:ind w:right="140"/>
              <w:spacing w:after="0" w:line="119" w:lineRule="exact"/>
              <w:rPr>
                <w:sz w:val="20"/>
                <w:szCs w:val="20"/>
                <w:color w:val="auto"/>
              </w:rPr>
            </w:pPr>
            <w:r>
              <w:rPr>
                <w:rFonts w:ascii="Arial" w:cs="Arial" w:eastAsia="Arial" w:hAnsi="Arial"/>
                <w:sz w:val="13"/>
                <w:szCs w:val="13"/>
                <w:b w:val="1"/>
                <w:bCs w:val="1"/>
                <w:color w:val="auto"/>
                <w:w w:val="99"/>
              </w:rPr>
              <w:t>Less Than</w:t>
            </w:r>
          </w:p>
        </w:tc>
        <w:tc>
          <w:tcPr>
            <w:tcW w:w="6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1 - 3</w:t>
            </w:r>
          </w:p>
        </w:tc>
        <w:tc>
          <w:tcPr>
            <w:tcW w:w="78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3 - 5</w:t>
            </w:r>
          </w:p>
        </w:tc>
        <w:tc>
          <w:tcPr>
            <w:tcW w:w="40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38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1 Year</w:t>
            </w:r>
          </w:p>
        </w:tc>
        <w:tc>
          <w:tcPr>
            <w:tcW w:w="260" w:type="dxa"/>
            <w:vAlign w:val="bottom"/>
          </w:tcPr>
          <w:p>
            <w:pPr>
              <w:spacing w:after="0"/>
              <w:rPr>
                <w:sz w:val="14"/>
                <w:szCs w:val="14"/>
                <w:color w:val="auto"/>
              </w:rPr>
            </w:pPr>
          </w:p>
        </w:tc>
        <w:tc>
          <w:tcPr>
            <w:tcW w:w="360" w:type="dxa"/>
            <w:vAlign w:val="bottom"/>
          </w:tcPr>
          <w:p>
            <w:pPr>
              <w:ind w:left="20"/>
              <w:spacing w:after="0"/>
              <w:rPr>
                <w:sz w:val="20"/>
                <w:szCs w:val="20"/>
                <w:color w:val="auto"/>
              </w:rPr>
            </w:pPr>
            <w:r>
              <w:rPr>
                <w:rFonts w:ascii="Arial" w:cs="Arial" w:eastAsia="Arial" w:hAnsi="Arial"/>
                <w:sz w:val="14"/>
                <w:szCs w:val="14"/>
                <w:b w:val="1"/>
                <w:bCs w:val="1"/>
                <w:color w:val="auto"/>
                <w:w w:val="83"/>
              </w:rPr>
              <w:t>Years</w:t>
            </w:r>
          </w:p>
        </w:tc>
        <w:tc>
          <w:tcPr>
            <w:tcW w:w="42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4380" w:type="dxa"/>
            <w:vAlign w:val="bottom"/>
          </w:tcPr>
          <w:p>
            <w:pPr>
              <w:spacing w:after="0"/>
              <w:rPr>
                <w:sz w:val="12"/>
                <w:szCs w:val="12"/>
                <w:color w:val="auto"/>
              </w:rPr>
            </w:pPr>
          </w:p>
        </w:tc>
        <w:tc>
          <w:tcPr>
            <w:tcW w:w="2280" w:type="dxa"/>
            <w:vAlign w:val="bottom"/>
          </w:tcPr>
          <w:p>
            <w:pPr>
              <w:spacing w:after="0"/>
              <w:rPr>
                <w:sz w:val="12"/>
                <w:szCs w:val="12"/>
                <w:color w:val="auto"/>
              </w:rPr>
            </w:pPr>
          </w:p>
        </w:tc>
        <w:tc>
          <w:tcPr>
            <w:tcW w:w="98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 in thousands)</w:t>
            </w: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38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480" w:type="dxa"/>
            <w:vAlign w:val="bottom"/>
            <w:gridSpan w:val="2"/>
            <w:shd w:val="clear" w:color="auto" w:fill="CCEEFF"/>
          </w:tcPr>
          <w:p>
            <w:pPr>
              <w:jc w:val="right"/>
              <w:ind w:right="48"/>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121,200</w:t>
            </w:r>
          </w:p>
        </w:tc>
        <w:tc>
          <w:tcPr>
            <w:tcW w:w="98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8"/>
              </w:rPr>
              <w:t>$  8,900</w:t>
            </w:r>
          </w:p>
        </w:tc>
        <w:tc>
          <w:tcPr>
            <w:tcW w:w="2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$ 112,300</w:t>
            </w:r>
          </w:p>
        </w:tc>
        <w:tc>
          <w:tcPr>
            <w:tcW w:w="0" w:type="dxa"/>
            <w:vAlign w:val="bottom"/>
          </w:tcPr>
          <w:p>
            <w:pPr>
              <w:spacing w:after="0"/>
              <w:rPr>
                <w:sz w:val="1"/>
                <w:szCs w:val="1"/>
                <w:color w:val="auto"/>
              </w:rPr>
            </w:pPr>
          </w:p>
        </w:tc>
      </w:tr>
      <w:tr>
        <w:trPr>
          <w:trHeight w:val="20"/>
        </w:trPr>
        <w:tc>
          <w:tcPr>
            <w:tcW w:w="43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The Company’s off-balance sheet arrangements consisted of $13.1 million and $12.2 million of unfunded commitments to provide debt financing to its portfolio companies or to fund limited partnership interests as of August 31, 2014 and February 28, 2014, respectively. Such commitments are generally up to the Company’s discretion to approve, or the satisfaction of certain financial and nonfinancial covenants and involve, to varying degrees, elements of credit risk in excess of the amount recognized in the Company’s Consolidated Statement of Assets and Liabilities and are not reflected in the Company’s Consolidated Statements of Assets and Liabilities.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Directors Fees</w:t>
      </w:r>
    </w:p>
    <w:p>
      <w:pPr>
        <w:spacing w:after="0" w:line="121" w:lineRule="exact"/>
        <w:rPr>
          <w:sz w:val="20"/>
          <w:szCs w:val="20"/>
          <w:color w:val="auto"/>
        </w:rPr>
      </w:pPr>
    </w:p>
    <w:p>
      <w:pPr>
        <w:ind w:firstLine="913"/>
        <w:spacing w:after="0" w:line="269" w:lineRule="auto"/>
        <w:rPr>
          <w:sz w:val="20"/>
          <w:szCs w:val="20"/>
          <w:color w:val="auto"/>
        </w:rPr>
      </w:pPr>
      <w:r>
        <w:rPr>
          <w:rFonts w:ascii="Arial" w:cs="Arial" w:eastAsia="Arial" w:hAnsi="Arial"/>
          <w:sz w:val="17"/>
          <w:szCs w:val="17"/>
          <w:color w:val="auto"/>
        </w:rPr>
        <w:t>The independent directors receive an annual fee of $40,000. They also receive $2,500 plus reimbursement of reasonable out-of-pocket expenses incurred in connection with attending each board meeting and receive $1,000 plus reimbursement of reasonable out-of-pocket expenses incurred in connection with attending each committee meeting. In addition, the chairman of the Audit Committee receives an annual fee of $5,000 and the chairman of each other committee receives an annual fee of $2,000 for their additional services in these capacities. In addition, we have purchased directors’ and officers’ liability insurance on behalf of our directors and officers. Independent directors have the option to receive their directors’ fees in the form of our common stock issued at a price per share equal to the greater of net asset value or the market price at the time of payment. No compensation is paid to directors who are “interested persons” of the Company (as such term is defined in the 1940 Act). For the three months ended August 31, 2014 and 2013, we accrued $0.05 million and $0.05 million for directors’ fees expense, respectively. For the six months ended August 31, 2014 and 2013, we accrued $0.1 million and $0.1 million for directors’ fees expense, respectively. As of August 31, 2014 and February 28, 2014, $0.05 million and $0.05 million in directors’ fees expense were unpaid and included in accounts payable and accrued expenses in the consolidated statements of assets and liabilities. As of August 31, 2014, we had not issued any common stock to our directors as compensation for their services.</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Stockholders’ Equity</w:t>
      </w:r>
    </w:p>
    <w:p>
      <w:pPr>
        <w:spacing w:after="0" w:line="121" w:lineRule="exact"/>
        <w:rPr>
          <w:sz w:val="20"/>
          <w:szCs w:val="20"/>
          <w:color w:val="auto"/>
        </w:rPr>
      </w:pPr>
    </w:p>
    <w:p>
      <w:pPr>
        <w:ind w:right="320" w:firstLine="913"/>
        <w:spacing w:after="0" w:line="277" w:lineRule="auto"/>
        <w:rPr>
          <w:sz w:val="20"/>
          <w:szCs w:val="20"/>
          <w:color w:val="auto"/>
        </w:rPr>
      </w:pPr>
      <w:r>
        <w:rPr>
          <w:rFonts w:ascii="Arial" w:cs="Arial" w:eastAsia="Arial" w:hAnsi="Arial"/>
          <w:sz w:val="18"/>
          <w:szCs w:val="18"/>
          <w:color w:val="auto"/>
        </w:rPr>
        <w:t>On May 16, 2006, GSC Group, Inc. capitalized the LLC, by contributing $1,000 in exchange for 67 shares, constituting all of the issued and outstanding shares of the LLC.</w:t>
      </w:r>
    </w:p>
    <w:p>
      <w:pPr>
        <w:spacing w:after="0" w:line="170" w:lineRule="exact"/>
        <w:rPr>
          <w:sz w:val="20"/>
          <w:szCs w:val="20"/>
          <w:color w:val="auto"/>
        </w:rPr>
      </w:pPr>
    </w:p>
    <w:p>
      <w:pPr>
        <w:ind w:right="100" w:firstLine="913"/>
        <w:spacing w:after="0" w:line="259" w:lineRule="auto"/>
        <w:rPr>
          <w:sz w:val="20"/>
          <w:szCs w:val="20"/>
          <w:color w:val="auto"/>
        </w:rPr>
      </w:pPr>
      <w:r>
        <w:rPr>
          <w:rFonts w:ascii="Arial" w:cs="Arial" w:eastAsia="Arial" w:hAnsi="Arial"/>
          <w:sz w:val="18"/>
          <w:szCs w:val="18"/>
          <w:color w:val="auto"/>
        </w:rPr>
        <w:t>On March 20, 2007, the Company issued 95,995.5 and 8,136.2 shares of common stock, priced at $150.00 per share, to GSC Group and certain individual employees of GSC Group, respectively, in exchange for the general partnership interest and a limited partnership interest in GSC Partners CDO III GP, LP, collectively valued at $15.6 million. At this time, the 6.7 shares owned by GSC Group in the LLC were exchanged for 6.7 shares of the Company.</w:t>
      </w:r>
    </w:p>
    <w:p>
      <w:pPr>
        <w:spacing w:after="0" w:line="187" w:lineRule="exact"/>
        <w:rPr>
          <w:sz w:val="20"/>
          <w:szCs w:val="20"/>
          <w:color w:val="auto"/>
        </w:rPr>
      </w:pPr>
    </w:p>
    <w:p>
      <w:pPr>
        <w:ind w:right="420" w:firstLine="913"/>
        <w:spacing w:after="0" w:line="264" w:lineRule="auto"/>
        <w:rPr>
          <w:sz w:val="20"/>
          <w:szCs w:val="20"/>
          <w:color w:val="auto"/>
        </w:rPr>
      </w:pPr>
      <w:r>
        <w:rPr>
          <w:rFonts w:ascii="Arial" w:cs="Arial" w:eastAsia="Arial" w:hAnsi="Arial"/>
          <w:sz w:val="18"/>
          <w:szCs w:val="18"/>
          <w:color w:val="auto"/>
        </w:rPr>
        <w:t>On March 28, 2007, the Company completed its IPO of 725,000 shares of common stock, priced at $150.00 per share, before underwriting discounts and commissions. Total proceeds received from the IPO, net of $7.1 million in underwriter’s discount and commissions, and $1.0 million in offering costs, were $100.7 million.</w:t>
      </w:r>
    </w:p>
    <w:p>
      <w:pPr>
        <w:spacing w:after="0" w:line="181"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On November 13, 2009, we declared a dividend of $18.25 per share payable on December 31, 2009. Shareholders had the option to receive payment of the dividend in cash, shares of common stock, or a combination of cash and shares of common stock, provided that the aggregate cash payable to all shareholders was limited to $2.1 million or $2.50 per share. Based on shareholder elections, the dividend consisted of $2.1 million in cash and 864,872.5 of newly issued shares of common stock.</w:t>
      </w:r>
    </w:p>
    <w:p>
      <w:pPr>
        <w:spacing w:after="0" w:line="187" w:lineRule="exact"/>
        <w:rPr>
          <w:sz w:val="20"/>
          <w:szCs w:val="20"/>
          <w:color w:val="auto"/>
        </w:rPr>
      </w:pPr>
    </w:p>
    <w:p>
      <w:pPr>
        <w:ind w:right="180" w:firstLine="913"/>
        <w:spacing w:after="0" w:line="277" w:lineRule="auto"/>
        <w:rPr>
          <w:sz w:val="20"/>
          <w:szCs w:val="20"/>
          <w:color w:val="auto"/>
        </w:rPr>
      </w:pPr>
      <w:r>
        <w:rPr>
          <w:rFonts w:ascii="Arial" w:cs="Arial" w:eastAsia="Arial" w:hAnsi="Arial"/>
          <w:sz w:val="18"/>
          <w:szCs w:val="18"/>
          <w:color w:val="auto"/>
        </w:rPr>
        <w:t>On July 30, 2010, our Manager and its affiliates purchased 986,842 shares of common stock at $15.20 per share. Total proceeds received from this sale were $15.0 million. See “Note 13. Recapitalization Transaction.”</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On November 12, 2010, we declared a dividend of $4.40 per share payable on December 29, 2010. Shareholders had the option to receive payment of the dividend in cash, shares of common stock, or a combination of cash and shares of common stock, provided that the aggregate cash payable to all shareholders was limited to approximately $1.2 million or $0.44 per share. Based on shareholder elections, the dividend consisted of approximately $1.2 million in cash and 596,235 shares of common stock.</w:t>
      </w:r>
    </w:p>
    <w:p>
      <w:pPr>
        <w:spacing w:after="0" w:line="187"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On November 15, 2011, we declared a dividend of $3.00 per share payable on December 30, 2011. Shareholders had the option to receive payment of the dividend in cash, shares of common stock, or a combination of cash and shares of common stock, provided that the aggregate cash payable to all shareholders was limited to approximately $2.0 million or $0.60 per share. Based on shareholder elections, the dividend consisted of approximately $2.0 million in cash and 599,584 shares of common stock.</w:t>
      </w:r>
    </w:p>
    <w:p>
      <w:pPr>
        <w:spacing w:after="0" w:line="187" w:lineRule="exact"/>
        <w:rPr>
          <w:sz w:val="20"/>
          <w:szCs w:val="20"/>
          <w:color w:val="auto"/>
        </w:rPr>
      </w:pPr>
    </w:p>
    <w:p>
      <w:pPr>
        <w:ind w:right="240" w:firstLine="913"/>
        <w:spacing w:after="0" w:line="259" w:lineRule="auto"/>
        <w:rPr>
          <w:sz w:val="20"/>
          <w:szCs w:val="20"/>
          <w:color w:val="auto"/>
        </w:rPr>
      </w:pPr>
      <w:r>
        <w:rPr>
          <w:rFonts w:ascii="Arial" w:cs="Arial" w:eastAsia="Arial" w:hAnsi="Arial"/>
          <w:sz w:val="18"/>
          <w:szCs w:val="18"/>
          <w:color w:val="auto"/>
        </w:rPr>
        <w:t>On November 9, 2012, the Company declared a dividend of $4.25 per share payable on December 31, 2012. Shareholders had the option to receive payment of the dividend in cash, shares of common stock, or a combination of cash and shares of common stock, provided that the aggregate cash payable to all shareholders was limited to approximately $3.3 million or $0.85 per share. Based on shareholder elections, the dividend consisted of approximately $3.3 million in cash and 853,455 shares of common stock.</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40"/>
          </w:cols>
          <w:pgMar w:left="240" w:top="45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On October 30, 2013, the Company declared a dividend of $2.65 per share payable on December 27, 2013. Shareholders had the option to receive payment of the dividend in cash, shares of common stock, or a combination of cash and shares of common stock, provided that the aggregate cash payable to all shareholders was limited to approximately $2.5 million or $0.53 per share. Based on shareholder elections, the dividend consisted of approximately $2.5 million in cash and 649,500 shares of common stock.</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Earnings Per Share</w:t>
      </w:r>
    </w:p>
    <w:p>
      <w:pPr>
        <w:spacing w:after="0" w:line="121" w:lineRule="exact"/>
        <w:rPr>
          <w:sz w:val="20"/>
          <w:szCs w:val="20"/>
          <w:color w:val="auto"/>
        </w:rPr>
      </w:pPr>
    </w:p>
    <w:p>
      <w:pPr>
        <w:jc w:val="both"/>
        <w:ind w:right="140" w:firstLine="913"/>
        <w:spacing w:after="0" w:line="286" w:lineRule="auto"/>
        <w:rPr>
          <w:sz w:val="20"/>
          <w:szCs w:val="20"/>
          <w:color w:val="auto"/>
        </w:rPr>
      </w:pPr>
      <w:r>
        <w:rPr>
          <w:rFonts w:ascii="Arial" w:cs="Arial" w:eastAsia="Arial" w:hAnsi="Arial"/>
          <w:sz w:val="17"/>
          <w:szCs w:val="17"/>
          <w:color w:val="auto"/>
        </w:rPr>
        <w:t>In accordance with the provisions of FASB ASC 260, “Earnings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166" w:lineRule="exact"/>
        <w:rPr>
          <w:sz w:val="20"/>
          <w:szCs w:val="20"/>
          <w:color w:val="auto"/>
        </w:rPr>
      </w:pPr>
    </w:p>
    <w:p>
      <w:pPr>
        <w:ind w:right="400" w:firstLine="913"/>
        <w:spacing w:after="0" w:line="342" w:lineRule="auto"/>
        <w:rPr>
          <w:sz w:val="20"/>
          <w:szCs w:val="20"/>
          <w:color w:val="auto"/>
        </w:rPr>
      </w:pPr>
      <w:r>
        <w:rPr>
          <w:rFonts w:ascii="Arial" w:cs="Arial" w:eastAsia="Arial" w:hAnsi="Arial"/>
          <w:sz w:val="16"/>
          <w:szCs w:val="16"/>
          <w:color w:val="auto"/>
        </w:rPr>
        <w:t>The following information sets forth the computation of the weighted average basic and diluted net increase in net assets per share from operations for the three and six months ended August 31, 2014 and 2013 (dollars in thousands except share and per share amounts):</w:t>
      </w:r>
    </w:p>
    <w:p>
      <w:pPr>
        <w:spacing w:after="0" w:line="143"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1080" w:type="dxa"/>
            <w:vAlign w:val="bottom"/>
          </w:tcPr>
          <w:p>
            <w:pPr>
              <w:spacing w:after="0"/>
              <w:rPr>
                <w:sz w:val="14"/>
                <w:szCs w:val="14"/>
                <w:color w:val="auto"/>
              </w:rPr>
            </w:pPr>
          </w:p>
        </w:tc>
        <w:tc>
          <w:tcPr>
            <w:tcW w:w="4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80" w:type="dxa"/>
            <w:vAlign w:val="bottom"/>
            <w:gridSpan w:val="6"/>
          </w:tcPr>
          <w:p>
            <w:pPr>
              <w:jc w:val="right"/>
              <w:ind w:right="980"/>
              <w:spacing w:after="0"/>
              <w:rPr>
                <w:sz w:val="20"/>
                <w:szCs w:val="20"/>
                <w:color w:val="auto"/>
              </w:rPr>
            </w:pPr>
            <w:r>
              <w:rPr>
                <w:rFonts w:ascii="Arial" w:cs="Arial" w:eastAsia="Arial" w:hAnsi="Arial"/>
                <w:sz w:val="14"/>
                <w:szCs w:val="14"/>
                <w:b w:val="1"/>
                <w:bCs w:val="1"/>
                <w:color w:val="auto"/>
              </w:rPr>
              <w:t>For the three months ended</w:t>
            </w:r>
          </w:p>
        </w:tc>
        <w:tc>
          <w:tcPr>
            <w:tcW w:w="80" w:type="dxa"/>
            <w:vAlign w:val="bottom"/>
          </w:tcPr>
          <w:p>
            <w:pPr>
              <w:spacing w:after="0"/>
              <w:rPr>
                <w:sz w:val="14"/>
                <w:szCs w:val="14"/>
                <w:color w:val="auto"/>
              </w:rPr>
            </w:pPr>
          </w:p>
        </w:tc>
        <w:tc>
          <w:tcPr>
            <w:tcW w:w="23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For the six months ended</w:t>
            </w:r>
          </w:p>
        </w:tc>
        <w:tc>
          <w:tcPr>
            <w:tcW w:w="0" w:type="dxa"/>
            <w:vAlign w:val="bottom"/>
          </w:tcPr>
          <w:p>
            <w:pPr>
              <w:spacing w:after="0"/>
              <w:rPr>
                <w:sz w:val="1"/>
                <w:szCs w:val="1"/>
                <w:color w:val="auto"/>
              </w:rPr>
            </w:pPr>
          </w:p>
        </w:tc>
      </w:tr>
      <w:tr>
        <w:trPr>
          <w:trHeight w:val="119"/>
        </w:trPr>
        <w:tc>
          <w:tcPr>
            <w:tcW w:w="51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Basic and diluted</w:t>
            </w:r>
          </w:p>
        </w:tc>
        <w:tc>
          <w:tcPr>
            <w:tcW w:w="114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August 31,</w:t>
            </w:r>
          </w:p>
        </w:tc>
        <w:tc>
          <w:tcPr>
            <w:tcW w:w="340" w:type="dxa"/>
            <w:vAlign w:val="bottom"/>
            <w:tcBorders>
              <w:top w:val="single" w:sz="8" w:color="auto"/>
            </w:tcBorders>
          </w:tcPr>
          <w:p>
            <w:pPr>
              <w:spacing w:after="0"/>
              <w:rPr>
                <w:sz w:val="10"/>
                <w:szCs w:val="10"/>
                <w:color w:val="auto"/>
              </w:rPr>
            </w:pPr>
          </w:p>
        </w:tc>
        <w:tc>
          <w:tcPr>
            <w:tcW w:w="8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August 31,</w:t>
            </w:r>
          </w:p>
        </w:tc>
        <w:tc>
          <w:tcPr>
            <w:tcW w:w="680" w:type="dxa"/>
            <w:vAlign w:val="bottom"/>
          </w:tcPr>
          <w:p>
            <w:pPr>
              <w:spacing w:after="0"/>
              <w:rPr>
                <w:sz w:val="10"/>
                <w:szCs w:val="10"/>
                <w:color w:val="auto"/>
              </w:rPr>
            </w:pPr>
          </w:p>
        </w:tc>
        <w:tc>
          <w:tcPr>
            <w:tcW w:w="1480" w:type="dxa"/>
            <w:vAlign w:val="bottom"/>
            <w:tcBorders>
              <w:top w:val="single" w:sz="8" w:color="auto"/>
            </w:tcBorders>
            <w:gridSpan w:val="3"/>
          </w:tcPr>
          <w:p>
            <w:pPr>
              <w:ind w:left="80"/>
              <w:spacing w:after="0" w:line="119" w:lineRule="exact"/>
              <w:rPr>
                <w:sz w:val="20"/>
                <w:szCs w:val="20"/>
                <w:color w:val="auto"/>
              </w:rPr>
            </w:pPr>
            <w:r>
              <w:rPr>
                <w:rFonts w:ascii="Arial" w:cs="Arial" w:eastAsia="Arial" w:hAnsi="Arial"/>
                <w:sz w:val="13"/>
                <w:szCs w:val="13"/>
                <w:b w:val="1"/>
                <w:bCs w:val="1"/>
                <w:color w:val="auto"/>
              </w:rPr>
              <w:t>August 31,</w:t>
            </w:r>
          </w:p>
        </w:tc>
        <w:tc>
          <w:tcPr>
            <w:tcW w:w="8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August 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16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jc w:val="right"/>
              <w:ind w:right="197"/>
              <w:spacing w:after="0"/>
              <w:rPr>
                <w:sz w:val="20"/>
                <w:szCs w:val="20"/>
                <w:color w:val="auto"/>
              </w:rPr>
            </w:pPr>
            <w:r>
              <w:rPr>
                <w:rFonts w:ascii="Arial" w:cs="Arial" w:eastAsia="Arial" w:hAnsi="Arial"/>
                <w:sz w:val="14"/>
                <w:szCs w:val="14"/>
                <w:b w:val="1"/>
                <w:bCs w:val="1"/>
                <w:color w:val="auto"/>
              </w:rPr>
              <w:t>2014</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right"/>
              <w:ind w:right="17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0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increase</w:t>
            </w:r>
          </w:p>
        </w:tc>
        <w:tc>
          <w:tcPr>
            <w:tcW w:w="4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(decrease) in net assets from operations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4,894</w:t>
            </w:r>
          </w:p>
        </w:tc>
        <w:tc>
          <w:tcPr>
            <w:tcW w:w="6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60" w:type="dxa"/>
            <w:vAlign w:val="bottom"/>
            <w:gridSpan w:val="2"/>
          </w:tcPr>
          <w:p>
            <w:pPr>
              <w:spacing w:after="0"/>
              <w:rPr>
                <w:sz w:val="20"/>
                <w:szCs w:val="20"/>
                <w:color w:val="auto"/>
              </w:rPr>
            </w:pPr>
            <w:r>
              <w:rPr>
                <w:rFonts w:ascii="Arial" w:cs="Arial" w:eastAsia="Arial" w:hAnsi="Arial"/>
                <w:sz w:val="18"/>
                <w:szCs w:val="18"/>
                <w:color w:val="auto"/>
              </w:rPr>
              <w:t>Weighted average common shares outstanding</w:t>
            </w:r>
          </w:p>
        </w:tc>
        <w:tc>
          <w:tcPr>
            <w:tcW w:w="80" w:type="dxa"/>
            <w:vAlign w:val="bottom"/>
          </w:tcPr>
          <w:p>
            <w:pPr>
              <w:spacing w:after="0"/>
              <w:rPr>
                <w:sz w:val="18"/>
                <w:szCs w:val="18"/>
                <w:color w:val="auto"/>
              </w:rPr>
            </w:pPr>
          </w:p>
        </w:tc>
        <w:tc>
          <w:tcPr>
            <w:tcW w:w="106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5,379,616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80"/>
              <w:spacing w:after="0"/>
              <w:rPr>
                <w:sz w:val="20"/>
                <w:szCs w:val="20"/>
                <w:color w:val="auto"/>
              </w:rPr>
            </w:pPr>
            <w:r>
              <w:rPr>
                <w:rFonts w:ascii="Arial" w:cs="Arial" w:eastAsia="Arial" w:hAnsi="Arial"/>
                <w:sz w:val="18"/>
                <w:szCs w:val="18"/>
                <w:color w:val="auto"/>
                <w:w w:val="84"/>
              </w:rPr>
              <w:t>4,730,116</w:t>
            </w:r>
          </w:p>
        </w:tc>
        <w:tc>
          <w:tcPr>
            <w:tcW w:w="80" w:type="dxa"/>
            <w:vAlign w:val="bottom"/>
          </w:tcPr>
          <w:p>
            <w:pPr>
              <w:spacing w:after="0"/>
              <w:rPr>
                <w:sz w:val="18"/>
                <w:szCs w:val="18"/>
                <w:color w:val="auto"/>
              </w:rPr>
            </w:pPr>
          </w:p>
        </w:tc>
        <w:tc>
          <w:tcPr>
            <w:tcW w:w="1400" w:type="dxa"/>
            <w:vAlign w:val="bottom"/>
            <w:gridSpan w:val="2"/>
          </w:tcPr>
          <w:p>
            <w:pPr>
              <w:jc w:val="right"/>
              <w:ind w:right="660"/>
              <w:spacing w:after="0"/>
              <w:rPr>
                <w:sz w:val="20"/>
                <w:szCs w:val="20"/>
                <w:color w:val="auto"/>
              </w:rPr>
            </w:pPr>
            <w:r>
              <w:rPr>
                <w:rFonts w:ascii="Arial" w:cs="Arial" w:eastAsia="Arial" w:hAnsi="Arial"/>
                <w:sz w:val="18"/>
                <w:szCs w:val="18"/>
                <w:color w:val="auto"/>
                <w:w w:val="89"/>
              </w:rPr>
              <w:t>5,379,616</w:t>
            </w:r>
          </w:p>
        </w:tc>
        <w:tc>
          <w:tcPr>
            <w:tcW w:w="80" w:type="dxa"/>
            <w:vAlign w:val="bottom"/>
          </w:tcPr>
          <w:p>
            <w:pPr>
              <w:spacing w:after="0"/>
              <w:rPr>
                <w:sz w:val="18"/>
                <w:szCs w:val="18"/>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4,730,116</w:t>
            </w:r>
          </w:p>
        </w:tc>
        <w:tc>
          <w:tcPr>
            <w:tcW w:w="0" w:type="dxa"/>
            <w:vAlign w:val="bottom"/>
          </w:tcPr>
          <w:p>
            <w:pPr>
              <w:spacing w:after="0"/>
              <w:rPr>
                <w:sz w:val="1"/>
                <w:szCs w:val="1"/>
                <w:color w:val="auto"/>
              </w:rPr>
            </w:pPr>
          </w:p>
        </w:tc>
      </w:tr>
      <w:tr>
        <w:trPr>
          <w:trHeight w:val="216"/>
        </w:trPr>
        <w:tc>
          <w:tcPr>
            <w:tcW w:w="5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(loss) per common share-basic and 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0.58</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(0.01)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0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0.91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0.79</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Dividend</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Company did not declare any dividend payments during the quarters ended August 31, 2014 and August 31, 2013.</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00"/>
          </w:cols>
          <w:pgMar w:left="240" w:top="459" w:right="5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Financial Highlights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is a schedule of financial highlights for the six months ended August 31, 2014 and 2013:</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8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For the six months ended</w:t>
            </w:r>
          </w:p>
        </w:tc>
      </w:tr>
      <w:tr>
        <w:trPr>
          <w:trHeight w:val="119"/>
        </w:trPr>
        <w:tc>
          <w:tcPr>
            <w:tcW w:w="20" w:type="dxa"/>
            <w:vAlign w:val="bottom"/>
          </w:tcPr>
          <w:p>
            <w:pPr>
              <w:spacing w:after="0"/>
              <w:rPr>
                <w:sz w:val="10"/>
                <w:szCs w:val="10"/>
                <w:color w:val="auto"/>
              </w:rPr>
            </w:pPr>
          </w:p>
        </w:tc>
        <w:tc>
          <w:tcPr>
            <w:tcW w:w="5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right"/>
              <w:ind w:right="580"/>
              <w:spacing w:after="0" w:line="119" w:lineRule="exact"/>
              <w:rPr>
                <w:sz w:val="20"/>
                <w:szCs w:val="20"/>
                <w:color w:val="auto"/>
              </w:rPr>
            </w:pPr>
            <w:r>
              <w:rPr>
                <w:rFonts w:ascii="Arial" w:cs="Arial" w:eastAsia="Arial" w:hAnsi="Arial"/>
                <w:sz w:val="13"/>
                <w:szCs w:val="13"/>
                <w:b w:val="1"/>
                <w:bCs w:val="1"/>
                <w:color w:val="auto"/>
              </w:rPr>
              <w:t>August 31,</w:t>
            </w:r>
          </w:p>
        </w:tc>
        <w:tc>
          <w:tcPr>
            <w:tcW w:w="26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92"/>
              <w:spacing w:after="0" w:line="119" w:lineRule="exact"/>
              <w:rPr>
                <w:sz w:val="20"/>
                <w:szCs w:val="20"/>
                <w:color w:val="auto"/>
              </w:rPr>
            </w:pPr>
            <w:r>
              <w:rPr>
                <w:rFonts w:ascii="Arial" w:cs="Arial" w:eastAsia="Arial" w:hAnsi="Arial"/>
                <w:sz w:val="13"/>
                <w:szCs w:val="13"/>
                <w:b w:val="1"/>
                <w:bCs w:val="1"/>
                <w:color w:val="auto"/>
              </w:rPr>
              <w:t>August 31,</w:t>
            </w:r>
          </w:p>
        </w:tc>
        <w:tc>
          <w:tcPr>
            <w:tcW w:w="200" w:type="dxa"/>
            <w:vAlign w:val="bottom"/>
          </w:tcPr>
          <w:p>
            <w:pPr>
              <w:spacing w:after="0"/>
              <w:rPr>
                <w:sz w:val="10"/>
                <w:szCs w:val="10"/>
                <w:color w:val="auto"/>
              </w:rPr>
            </w:pPr>
          </w:p>
        </w:tc>
      </w:tr>
      <w:tr>
        <w:trPr>
          <w:trHeight w:val="171"/>
        </w:trPr>
        <w:tc>
          <w:tcPr>
            <w:tcW w:w="20" w:type="dxa"/>
            <w:vAlign w:val="bottom"/>
          </w:tcPr>
          <w:p>
            <w:pPr>
              <w:spacing w:after="0"/>
              <w:rPr>
                <w:sz w:val="14"/>
                <w:szCs w:val="14"/>
                <w:color w:val="auto"/>
              </w:rPr>
            </w:pPr>
          </w:p>
        </w:tc>
        <w:tc>
          <w:tcPr>
            <w:tcW w:w="5240" w:type="dxa"/>
            <w:vAlign w:val="bottom"/>
            <w:tcBorders>
              <w:bottom w:val="single" w:sz="8" w:color="CCEEFF"/>
            </w:tcBorders>
          </w:tcPr>
          <w:p>
            <w:pPr>
              <w:spacing w:after="0"/>
              <w:rPr>
                <w:sz w:val="14"/>
                <w:szCs w:val="14"/>
                <w:color w:val="auto"/>
              </w:rPr>
            </w:pPr>
          </w:p>
        </w:tc>
        <w:tc>
          <w:tcPr>
            <w:tcW w:w="5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3"/>
              <w:spacing w:after="0"/>
              <w:rPr>
                <w:sz w:val="20"/>
                <w:szCs w:val="20"/>
                <w:color w:val="auto"/>
              </w:rPr>
            </w:pPr>
            <w:r>
              <w:rPr>
                <w:rFonts w:ascii="Arial" w:cs="Arial" w:eastAsia="Arial" w:hAnsi="Arial"/>
                <w:sz w:val="14"/>
                <w:szCs w:val="14"/>
                <w:b w:val="1"/>
                <w:bCs w:val="1"/>
                <w:color w:val="auto"/>
              </w:rPr>
              <w:t>2014</w:t>
            </w:r>
          </w:p>
        </w:tc>
        <w:tc>
          <w:tcPr>
            <w:tcW w:w="40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2013</w:t>
            </w:r>
          </w:p>
        </w:tc>
        <w:tc>
          <w:tcPr>
            <w:tcW w:w="200" w:type="dxa"/>
            <w:vAlign w:val="bottom"/>
            <w:tcBorders>
              <w:bottom w:val="single" w:sz="8" w:color="CCEEFF"/>
            </w:tcBorders>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52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Per share data:</w:t>
            </w:r>
          </w:p>
        </w:tc>
        <w:tc>
          <w:tcPr>
            <w:tcW w:w="5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21.36</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22.98</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income(1)</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5240" w:type="dxa"/>
            <w:vAlign w:val="bottom"/>
          </w:tcPr>
          <w:p>
            <w:pPr>
              <w:spacing w:after="0" w:line="201" w:lineRule="exact"/>
              <w:rPr>
                <w:sz w:val="20"/>
                <w:szCs w:val="20"/>
                <w:color w:val="auto"/>
              </w:rPr>
            </w:pPr>
            <w:r>
              <w:rPr>
                <w:rFonts w:ascii="Arial" w:cs="Arial" w:eastAsia="Arial" w:hAnsi="Arial"/>
                <w:sz w:val="18"/>
                <w:szCs w:val="18"/>
                <w:color w:val="auto"/>
                <w:w w:val="98"/>
              </w:rPr>
              <w:t>Net realized and unrealized gains and (losses) on investments and</w:t>
            </w: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237"/>
        </w:trPr>
        <w:tc>
          <w:tcPr>
            <w:tcW w:w="20" w:type="dxa"/>
            <w:vAlign w:val="bottom"/>
          </w:tcPr>
          <w:p>
            <w:pPr>
              <w:spacing w:after="0"/>
              <w:rPr>
                <w:sz w:val="20"/>
                <w:szCs w:val="20"/>
                <w:color w:val="auto"/>
              </w:rPr>
            </w:pPr>
          </w:p>
        </w:tc>
        <w:tc>
          <w:tcPr>
            <w:tcW w:w="5240" w:type="dxa"/>
            <w:vAlign w:val="bottom"/>
          </w:tcPr>
          <w:p>
            <w:pPr>
              <w:ind w:left="160"/>
              <w:spacing w:after="0"/>
              <w:rPr>
                <w:sz w:val="20"/>
                <w:szCs w:val="20"/>
                <w:color w:val="auto"/>
              </w:rPr>
            </w:pPr>
            <w:r>
              <w:rPr>
                <w:rFonts w:ascii="Arial" w:cs="Arial" w:eastAsia="Arial" w:hAnsi="Arial"/>
                <w:sz w:val="18"/>
                <w:szCs w:val="18"/>
                <w:color w:val="auto"/>
              </w:rPr>
              <w:t>derivatives</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0.14</w:t>
            </w:r>
          </w:p>
        </w:tc>
        <w:tc>
          <w:tcPr>
            <w:tcW w:w="4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(0.21)</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from operations</w:t>
            </w:r>
          </w:p>
        </w:tc>
        <w:tc>
          <w:tcPr>
            <w:tcW w:w="5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0.91</w:t>
            </w:r>
          </w:p>
        </w:tc>
        <w:tc>
          <w:tcPr>
            <w:tcW w:w="4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0.79</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Net asset value at end of period</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22.27</w:t>
            </w:r>
          </w:p>
        </w:tc>
        <w:tc>
          <w:tcPr>
            <w:tcW w:w="400" w:type="dxa"/>
            <w:vAlign w:val="bottom"/>
          </w:tcPr>
          <w:p>
            <w:pPr>
              <w:spacing w:after="0"/>
              <w:rPr>
                <w:sz w:val="18"/>
                <w:szCs w:val="18"/>
                <w:color w:val="auto"/>
              </w:rPr>
            </w:pP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23.77</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119,817,820</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112,445,315</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5,379,616</w:t>
            </w: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4,730,116</w:t>
            </w: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end of period</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w:t>
            </w:r>
          </w:p>
        </w:tc>
        <w:tc>
          <w:tcPr>
            <w:tcW w:w="4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2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Total return based on market value(2)</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1.31%</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7.58%</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Total return based on net asset value(3)</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b w:val="1"/>
                <w:bCs w:val="1"/>
                <w:color w:val="auto"/>
              </w:rPr>
              <w:t>Ratio/Supplemental data:</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Ratio of net investment income to average, net assets(4)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7.09%</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8.62%</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Ratio of operating expenses to average net assets(4)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6.38%</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5.73%</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Ratio of incentive management fees to average net assets(4)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2.01%</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1.42%</w:t>
            </w:r>
          </w:p>
        </w:tc>
      </w:tr>
      <w:tr>
        <w:trPr>
          <w:trHeight w:val="216"/>
        </w:trPr>
        <w:tc>
          <w:tcPr>
            <w:tcW w:w="20" w:type="dxa"/>
            <w:vAlign w:val="bottom"/>
          </w:tcPr>
          <w:p>
            <w:pPr>
              <w:spacing w:after="0"/>
              <w:rPr>
                <w:sz w:val="18"/>
                <w:szCs w:val="18"/>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Ratio of debt related expenses to average net assets(4)</w:t>
            </w: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6.17%</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4.97%</w:t>
            </w:r>
          </w:p>
        </w:tc>
      </w:tr>
      <w:tr>
        <w:trPr>
          <w:trHeight w:val="216"/>
        </w:trPr>
        <w:tc>
          <w:tcPr>
            <w:tcW w:w="20" w:type="dxa"/>
            <w:vAlign w:val="bottom"/>
          </w:tcPr>
          <w:p>
            <w:pPr>
              <w:spacing w:after="0"/>
              <w:rPr>
                <w:sz w:val="18"/>
                <w:szCs w:val="18"/>
                <w:color w:val="auto"/>
              </w:rPr>
            </w:pPr>
          </w:p>
        </w:tc>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Ratio of total expenses to average net assets(4)</w:t>
            </w: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14.56%</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12.11%</w:t>
            </w:r>
          </w:p>
        </w:tc>
      </w:tr>
      <w:tr>
        <w:trPr>
          <w:trHeight w:val="230"/>
        </w:trPr>
        <w:tc>
          <w:tcPr>
            <w:tcW w:w="20" w:type="dxa"/>
            <w:vAlign w:val="bottom"/>
          </w:tcPr>
          <w:p>
            <w:pPr>
              <w:spacing w:after="0"/>
              <w:rPr>
                <w:sz w:val="20"/>
                <w:szCs w:val="20"/>
                <w:color w:val="auto"/>
              </w:rPr>
            </w:pPr>
          </w:p>
        </w:tc>
        <w:tc>
          <w:tcPr>
            <w:tcW w:w="5240" w:type="dxa"/>
            <w:vAlign w:val="bottom"/>
          </w:tcPr>
          <w:p>
            <w:pPr>
              <w:spacing w:after="0"/>
              <w:rPr>
                <w:sz w:val="20"/>
                <w:szCs w:val="20"/>
                <w:color w:val="auto"/>
              </w:rPr>
            </w:pPr>
            <w:r>
              <w:rPr>
                <w:rFonts w:ascii="Arial" w:cs="Arial" w:eastAsia="Arial" w:hAnsi="Arial"/>
                <w:sz w:val="18"/>
                <w:szCs w:val="18"/>
                <w:color w:val="auto"/>
              </w:rPr>
              <w:t>Portfolio turnover rate(5)</w:t>
            </w: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11.35%</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32.41%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289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40" w:lineRule="exact"/>
        <w:rPr>
          <w:sz w:val="20"/>
          <w:szCs w:val="20"/>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Net investment income per share is calculated using the weighted average shares outstanding during the period.</w:t>
      </w:r>
    </w:p>
    <w:p>
      <w:pPr>
        <w:spacing w:after="0" w:line="23" w:lineRule="exact"/>
        <w:rPr>
          <w:rFonts w:ascii="Arial" w:cs="Arial" w:eastAsia="Arial" w:hAnsi="Arial"/>
          <w:sz w:val="18"/>
          <w:szCs w:val="18"/>
          <w:color w:val="auto"/>
        </w:rPr>
      </w:pPr>
    </w:p>
    <w:p>
      <w:pPr>
        <w:ind w:left="460" w:right="60" w:hanging="452"/>
        <w:spacing w:after="0" w:line="250"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Total investment return is calculated assuming a purchase of common shares at the current market value on the first day and a sale at the current market value on the last day of the periods reported. Dividends and distributions, if any, are assumed for purposes of this calculation to be reinvested at prices obtained under the Company’s dividend reinvestment plan. Total investment return does not reflect brokerage commissions. Total investment returns covering less than a full period are not annualized.</w:t>
      </w:r>
    </w:p>
    <w:p>
      <w:pPr>
        <w:spacing w:after="0" w:line="1" w:lineRule="exact"/>
        <w:rPr>
          <w:rFonts w:ascii="Arial" w:cs="Arial" w:eastAsia="Arial" w:hAnsi="Arial"/>
          <w:sz w:val="18"/>
          <w:szCs w:val="18"/>
          <w:color w:val="auto"/>
        </w:rPr>
      </w:pPr>
    </w:p>
    <w:p>
      <w:pPr>
        <w:jc w:val="both"/>
        <w:ind w:left="460" w:right="220" w:hanging="452"/>
        <w:spacing w:after="0" w:line="281"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Total investment return is calculated assuming a purchase of common shares at the current net asset value on the first day and a sale at the current net asset value on the last day of the periods reported. Dividends and distributions, if any, are assumed for purposes of this calculation to be reinvested at prices obtained under the Company’s dividend reinvestment plan. Total investment return does not reflect brokerage commissions.</w:t>
      </w:r>
    </w:p>
    <w:p>
      <w:pPr>
        <w:spacing w:after="0" w:line="2" w:lineRule="exact"/>
        <w:rPr>
          <w:rFonts w:ascii="Arial" w:cs="Arial" w:eastAsia="Arial" w:hAnsi="Arial"/>
          <w:sz w:val="16"/>
          <w:szCs w:val="16"/>
          <w:color w:val="auto"/>
        </w:rPr>
      </w:pPr>
    </w:p>
    <w:p>
      <w:pPr>
        <w:ind w:left="460" w:hanging="452"/>
        <w:spacing w:after="0"/>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Ratios are annualized.</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Portfolio turnover rate is calculated using the lesser of year-to-date sales or year-to-date purchases over the average of the invested assets at fair value.</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Recapitalization Transaction</w:t>
      </w:r>
    </w:p>
    <w:p>
      <w:pPr>
        <w:spacing w:after="0" w:line="121" w:lineRule="exact"/>
        <w:rPr>
          <w:sz w:val="20"/>
          <w:szCs w:val="20"/>
          <w:color w:val="auto"/>
        </w:rPr>
      </w:pPr>
    </w:p>
    <w:p>
      <w:pPr>
        <w:ind w:firstLine="913"/>
        <w:spacing w:after="0" w:line="287" w:lineRule="auto"/>
        <w:rPr>
          <w:sz w:val="20"/>
          <w:szCs w:val="20"/>
          <w:color w:val="auto"/>
        </w:rPr>
      </w:pPr>
      <w:r>
        <w:rPr>
          <w:rFonts w:ascii="Arial" w:cs="Arial" w:eastAsia="Arial" w:hAnsi="Arial"/>
          <w:sz w:val="16"/>
          <w:szCs w:val="16"/>
          <w:color w:val="auto"/>
        </w:rPr>
        <w:t>In July 2010, we consummated a recapitalization transaction that was necessitated by the fact that we had exceeded permissible borrowing limits under the Revolving Facility in July 2009, which resulted in an event of default under the Revolving Facility. As a result of the event of default under the Revolving Facility, the lender had the right to accelerate repayment of the outstanding indebtedness under the Revolving Facility and to foreclose and liquidate the collateral pledged thereunder. We engaged the investment banking firm of Stifel, Nicolaus &amp; Company to evaluate strategic transaction opportunities and consider alternatives for us in December 2008. On April 14, 2010, we entered into a stock purchase agreement with our Manager and certain of its affiliates and an assignment, assumption and novation agreement with our Manager, pursuant to which we assumed certain rights and obligations of our Manager under a debt commitment letter our Manager received from Madison Capital Funding LLC, indicating Madison Capital Funding’s willingness to provide us with the Credit Facility, subject to the satisfaction of certain terms and conditions. In addition, we and GSCP (NJ), L.P., our then external investment adviser, entered into a termination and release agreement, to be effective as of the closing of the transaction contemplated by the stock purchase agreement, pursuant to which GSCP (NJ), L.P., among other things, agreed to waive any and all accrued and unpaid deferred incentive management fees up to and as of the closing of the transaction contemplated by the stock purchase agreement but continued to be entitled to receive the base management fees earned through the date of the closing of the transaction contemplated by the stock purchase agreement.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20" w:firstLine="913"/>
        <w:spacing w:after="0" w:line="277" w:lineRule="auto"/>
        <w:rPr>
          <w:sz w:val="20"/>
          <w:szCs w:val="20"/>
          <w:color w:val="auto"/>
        </w:rPr>
      </w:pPr>
      <w:r>
        <w:rPr>
          <w:rFonts w:ascii="Arial" w:cs="Arial" w:eastAsia="Arial" w:hAnsi="Arial"/>
          <w:sz w:val="18"/>
          <w:szCs w:val="18"/>
          <w:color w:val="auto"/>
        </w:rPr>
        <w:t>On July 30, 2010, the transactions contemplated by the stock purchase agreement with our Manager and certain of its affiliates was completed, and included the following actions:</w:t>
      </w:r>
    </w:p>
    <w:p>
      <w:pPr>
        <w:spacing w:after="0" w:line="76" w:lineRule="exact"/>
        <w:rPr>
          <w:sz w:val="20"/>
          <w:szCs w:val="20"/>
          <w:color w:val="auto"/>
        </w:rPr>
      </w:pPr>
    </w:p>
    <w:p>
      <w:pPr>
        <w:ind w:left="1460" w:hanging="547"/>
        <w:spacing w:after="0"/>
        <w:tabs>
          <w:tab w:leader="none" w:pos="1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private sale of shares of our common stock for $15.0 million in aggregate purchase price to our Manager and certain of its affiliates;</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closing of the $40.0 million Credit Facility with Madison Capital Funding;</w:t>
      </w:r>
    </w:p>
    <w:p>
      <w:pPr>
        <w:spacing w:after="0" w:line="130" w:lineRule="exact"/>
        <w:rPr>
          <w:rFonts w:ascii="Arial" w:cs="Arial" w:eastAsia="Arial" w:hAnsi="Arial"/>
          <w:sz w:val="18"/>
          <w:szCs w:val="18"/>
          <w:color w:val="auto"/>
        </w:rPr>
      </w:pPr>
    </w:p>
    <w:p>
      <w:pPr>
        <w:ind w:left="1460" w:right="320" w:hanging="547"/>
        <w:spacing w:after="0" w:line="342" w:lineRule="auto"/>
        <w:tabs>
          <w:tab w:leader="none" w:pos="1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execution of a registration rights agreement with the investors in the private sale transaction, pursuant to which we agreed to file a registration statement with the SEC to register for resale the shares of our common stock sold in the private sale transaction;</w:t>
      </w:r>
    </w:p>
    <w:p>
      <w:pPr>
        <w:spacing w:after="0" w:line="29" w:lineRule="exact"/>
        <w:rPr>
          <w:rFonts w:ascii="Arial" w:cs="Arial" w:eastAsia="Arial" w:hAnsi="Arial"/>
          <w:sz w:val="16"/>
          <w:szCs w:val="16"/>
          <w:color w:val="auto"/>
        </w:rPr>
      </w:pPr>
    </w:p>
    <w:p>
      <w:pPr>
        <w:ind w:left="1460" w:hanging="547"/>
        <w:spacing w:after="0" w:line="308" w:lineRule="auto"/>
        <w:tabs>
          <w:tab w:leader="none" w:pos="1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execution of a trademark license agreement with our Manager pursuant to which our Manager granted us a non-exclusive, royalty-free license to use the “Saratoga” name, for so long as our Manager or one of its affiliates remains our investment adviser;</w:t>
      </w:r>
    </w:p>
    <w:p>
      <w:pPr>
        <w:spacing w:after="0" w:line="51" w:lineRule="exact"/>
        <w:rPr>
          <w:rFonts w:ascii="Arial" w:cs="Arial" w:eastAsia="Arial" w:hAnsi="Arial"/>
          <w:sz w:val="17"/>
          <w:szCs w:val="17"/>
          <w:color w:val="auto"/>
        </w:rPr>
      </w:pPr>
    </w:p>
    <w:p>
      <w:pPr>
        <w:ind w:left="1460" w:right="420" w:hanging="547"/>
        <w:spacing w:after="0" w:line="308" w:lineRule="auto"/>
        <w:tabs>
          <w:tab w:leader="none" w:pos="1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replacing GSCP (NJ), L.P. as our investment adviser and administrator with our Manager by executing the Management Agreement, which was approved by our stockholders, and an administration agreement with our Manager;</w:t>
      </w:r>
    </w:p>
    <w:p>
      <w:pPr>
        <w:spacing w:after="0" w:line="51" w:lineRule="exact"/>
        <w:rPr>
          <w:rFonts w:ascii="Arial" w:cs="Arial" w:eastAsia="Arial" w:hAnsi="Arial"/>
          <w:sz w:val="17"/>
          <w:szCs w:val="17"/>
          <w:color w:val="auto"/>
        </w:rPr>
      </w:pPr>
    </w:p>
    <w:p>
      <w:pPr>
        <w:ind w:left="1460" w:right="220" w:hanging="547"/>
        <w:spacing w:after="0" w:line="264"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resignations of Robert F. Cummings, Jr. and Richard M. Hayden, both of whom are affiliates of GSCP (NJ) L.P., as members of the board of directors and the election of Christian L. Oberbeck and Richard A. Petrocelli, both of whom are affiliates of our Manager, as members of the board of directors;</w:t>
      </w:r>
    </w:p>
    <w:p>
      <w:pPr>
        <w:spacing w:after="0" w:line="86" w:lineRule="exact"/>
        <w:rPr>
          <w:rFonts w:ascii="Arial" w:cs="Arial" w:eastAsia="Arial" w:hAnsi="Arial"/>
          <w:sz w:val="18"/>
          <w:szCs w:val="18"/>
          <w:color w:val="auto"/>
        </w:rPr>
      </w:pPr>
    </w:p>
    <w:p>
      <w:pPr>
        <w:ind w:left="1460" w:right="220" w:hanging="547"/>
        <w:spacing w:after="0" w:line="277" w:lineRule="auto"/>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the resignation of all of our then existing executive officers and the appointment by our board of directors of Mr. Oberbeck as our chief executive officer and Mr. Petrocelli as our chief financial officer, secretary and chief compliance officer; and</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name change from “GSC Investment Corp.” to “Saratoga Investment Corp.”</w:t>
      </w:r>
    </w:p>
    <w:p>
      <w:pPr>
        <w:spacing w:after="0" w:line="225"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color w:val="auto"/>
        </w:rPr>
        <w:t>We used the net proceeds from the private sale transaction and a portion of the funds available to us under the Credit Facility to pay the full amount of principal and accrued interest, including default interest, outstanding under Revolving Facility. The Revolving Facility with Deutsche Bank was terminated in connection with our payment of all amounts outstanding thereunder on July 30, 2010.</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121" w:lineRule="exact"/>
        <w:rPr>
          <w:sz w:val="20"/>
          <w:szCs w:val="20"/>
          <w:color w:val="auto"/>
        </w:rPr>
      </w:pPr>
    </w:p>
    <w:p>
      <w:pPr>
        <w:jc w:val="both"/>
        <w:ind w:right="120" w:firstLine="913"/>
        <w:spacing w:after="0" w:line="286" w:lineRule="auto"/>
        <w:rPr>
          <w:sz w:val="20"/>
          <w:szCs w:val="20"/>
          <w:color w:val="auto"/>
        </w:rPr>
      </w:pPr>
      <w:r>
        <w:rPr>
          <w:rFonts w:ascii="Arial" w:cs="Arial" w:eastAsia="Arial" w:hAnsi="Arial"/>
          <w:sz w:val="17"/>
          <w:szCs w:val="17"/>
          <w:color w:val="auto"/>
        </w:rPr>
        <w:t>Management has evaluated subsequent events through the date of issuance of the consolidated financial statements included herein. There have been no further subsequent events that occurred during such period that would require disclosure in this Form 10-Q or would be required to be recognized in the consolidated financial statements as of and for the quarter ended August 31, 2014, except as disclosed below.</w:t>
      </w:r>
    </w:p>
    <w:p>
      <w:pPr>
        <w:spacing w:after="0" w:line="166"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On September 17, 2014, the Company entered into a second amendment to the Revolving Facility with Madison Capital Funding LLC to, among other things, (1) extend the commitment termination date from February 24, 2015 to September 17, 2017; (2) extend the maturity date of the Revolving Facility from February 24, 2020 to September 17, 2022 (unless terminated sooner upon certain events); (3) reduce the applicable margin rate on base rate borrowings from 4.50% to 3.75%; (4) reduce the applicable margin rate on LIBOR borrowings from 5.50% to 4.75%; (5) reduce the floor on base rate borrowings from 3.00% to 2.25%; and (6) reduce the floor on LIBOR borrowings from 2.00% to 1.25%.</w:t>
      </w:r>
    </w:p>
    <w:p>
      <w:pPr>
        <w:spacing w:after="0" w:line="173"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On September 24, 2014, the Company announced that its Board of Directors adopted a new dividend policy to pay a regular quarterly cash dividend to shareholders. The Company will pay a quarterly dividend of $0.18 per share for the quarter ended August 31, 2014, which will be payable on November 28, 2014 to all stockholders of record at the close of business on November 3, 2014. The second dividend of $0.22 per share for the quarter ended November 30, 2014, will be payable on February 27, 2015 to all stockholders of record at the close of business on February 2, 2015.</w:t>
      </w:r>
    </w:p>
    <w:p>
      <w:pPr>
        <w:spacing w:after="0" w:line="154"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On September 24, 2014, the Board of Directors also adopted a new dividend reinvestment plan (“DRIP”) that provides for the reinvestment of dividends on behalf of its stockholders, unless a stockholder has elected to receive dividends in cash. If the Company declares a dividend, its stockholders who have not “opted out” of the DRIP by the dividend record date will have their dividend automatically reinvested into additional shares of the Company’s common stock.</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60" w:firstLine="913"/>
        <w:spacing w:after="0" w:line="308" w:lineRule="auto"/>
        <w:rPr>
          <w:sz w:val="20"/>
          <w:szCs w:val="20"/>
          <w:color w:val="auto"/>
        </w:rPr>
      </w:pPr>
      <w:r>
        <w:rPr>
          <w:rFonts w:ascii="Arial" w:cs="Arial" w:eastAsia="Arial" w:hAnsi="Arial"/>
          <w:sz w:val="17"/>
          <w:szCs w:val="17"/>
          <w:color w:val="auto"/>
        </w:rPr>
        <w:t>On the same day, the Company also announced the approval of an open market share repurchase plan that allows it to repurchase up to 200,000 shares of its common stock at prices below its NAV as reported in its then most recently published financial statements.</w:t>
      </w:r>
    </w:p>
    <w:p>
      <w:pPr>
        <w:spacing w:after="0" w:line="34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21" w:lineRule="exact"/>
        <w:rPr>
          <w:sz w:val="20"/>
          <w:szCs w:val="20"/>
          <w:color w:val="auto"/>
        </w:rPr>
      </w:pPr>
    </w:p>
    <w:p>
      <w:pPr>
        <w:ind w:right="40" w:firstLine="913"/>
        <w:spacing w:after="0" w:line="302" w:lineRule="auto"/>
        <w:rPr>
          <w:sz w:val="20"/>
          <w:szCs w:val="20"/>
          <w:color w:val="auto"/>
        </w:rPr>
      </w:pPr>
      <w:r>
        <w:rPr>
          <w:rFonts w:ascii="Arial" w:cs="Arial" w:eastAsia="Arial" w:hAnsi="Arial"/>
          <w:sz w:val="16"/>
          <w:szCs w:val="16"/>
          <w:color w:val="auto"/>
        </w:rPr>
        <w:t>The following discussion should be read in conjunction with our financial statements and related notes and other financial information appearing elsewhere in this Quarterly Report on Form 10-Q. In addition to historical information, the following discussion and other parts of this Quarterly Report contain forward-looking information that involves risks and uncertainties. Our actual results could differ materially from those anticipated by such forward-looking information due to the factors discussed under Part I, Item 1A in our Annual Report on Form 10-K for the fiscal year ended February 28, 2014.</w:t>
      </w:r>
    </w:p>
    <w:p>
      <w:pPr>
        <w:spacing w:after="0" w:line="154" w:lineRule="exact"/>
        <w:rPr>
          <w:sz w:val="20"/>
          <w:szCs w:val="20"/>
          <w:color w:val="auto"/>
        </w:rPr>
      </w:pPr>
    </w:p>
    <w:p>
      <w:pPr>
        <w:ind w:right="140" w:firstLine="913"/>
        <w:spacing w:after="0" w:line="259" w:lineRule="auto"/>
        <w:rPr>
          <w:sz w:val="20"/>
          <w:szCs w:val="20"/>
          <w:color w:val="auto"/>
        </w:rPr>
      </w:pPr>
      <w:r>
        <w:rPr>
          <w:rFonts w:ascii="Arial" w:cs="Arial" w:eastAsia="Arial" w:hAnsi="Arial"/>
          <w:sz w:val="18"/>
          <w:szCs w:val="18"/>
          <w:color w:val="auto"/>
        </w:rPr>
        <w:t>The forward-looking statements are based on our beliefs, assumptions and expectations of our future performance, taking into account all information currently available to us. These beliefs, assumptions and expectations can change as a result of many possible events or factors, not all of which are known to us or are within our control. If a change occurs, our business, financial condition, liquidity and results of operations may vary materially from those expressed in our forward-looking statements.</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forward-looking statements contained in this Quarterly Report on Form 10-Q involve risks and uncertainties, including statements as to:</w:t>
      </w:r>
    </w:p>
    <w:p>
      <w:pPr>
        <w:spacing w:after="0" w:line="154" w:lineRule="exact"/>
        <w:rPr>
          <w:sz w:val="20"/>
          <w:szCs w:val="20"/>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business prospects and the prospects of our portfolio companies;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impact of investments that we expect to make;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contractual arrangements and relationships with third parties;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ability of our portfolio companies to achieve their objectives;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130" w:lineRule="exact"/>
        <w:rPr>
          <w:rFonts w:ascii="Arial" w:cs="Arial" w:eastAsia="Arial" w:hAnsi="Arial"/>
          <w:sz w:val="18"/>
          <w:szCs w:val="18"/>
          <w:color w:val="auto"/>
        </w:rPr>
      </w:pPr>
    </w:p>
    <w:p>
      <w:pPr>
        <w:ind w:left="1460" w:right="720" w:hanging="547"/>
        <w:spacing w:after="0" w:line="277" w:lineRule="auto"/>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our regulatory structure and tax treatment, including our ability to operate as a business development company, a small business investment company and a regulated investment company;</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ability of our investment adviser to locate suitable investments for us and to monitor and effectively administer our investments.</w:t>
      </w:r>
    </w:p>
    <w:p>
      <w:pPr>
        <w:spacing w:after="0" w:line="237" w:lineRule="exact"/>
        <w:rPr>
          <w:sz w:val="20"/>
          <w:szCs w:val="20"/>
          <w:color w:val="auto"/>
        </w:rPr>
      </w:pPr>
    </w:p>
    <w:p>
      <w:pPr>
        <w:jc w:val="both"/>
        <w:ind w:right="360" w:firstLine="913"/>
        <w:spacing w:after="0" w:line="264" w:lineRule="auto"/>
        <w:rPr>
          <w:sz w:val="20"/>
          <w:szCs w:val="20"/>
          <w:color w:val="auto"/>
        </w:rPr>
      </w:pPr>
      <w:r>
        <w:rPr>
          <w:rFonts w:ascii="Arial" w:cs="Arial" w:eastAsia="Arial" w:hAnsi="Arial"/>
          <w:sz w:val="18"/>
          <w:szCs w:val="18"/>
          <w:color w:val="auto"/>
        </w:rPr>
        <w:t>You should not place undue reliance on these forward-looking statements. The forward-looking statements made in this Quarterly Report on Form 10-Q relate only to events as of the date on which the statements are made. We undertake no obligation to update any forward-looking statement to reflect events or circumstances occurring after the date of this Quarterly Report on Form 10-Q.</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firstLine="913"/>
        <w:spacing w:after="0" w:line="271" w:lineRule="auto"/>
        <w:rPr>
          <w:sz w:val="20"/>
          <w:szCs w:val="20"/>
          <w:color w:val="auto"/>
        </w:rPr>
      </w:pPr>
      <w:r>
        <w:rPr>
          <w:rFonts w:ascii="Arial" w:cs="Arial" w:eastAsia="Arial" w:hAnsi="Arial"/>
          <w:sz w:val="17"/>
          <w:szCs w:val="17"/>
          <w:color w:val="auto"/>
        </w:rPr>
        <w:t>We are a Maryland corporation that has elected to be treated as a business development company (“BDC”) under the Investment Company Act of 1940 (the “1940 Act”). Our investment objective is to generate current income and, to a lesser extent, capital appreciation from our investments. We invest primarily in leveraged loans and mezzanine debt issued by private U.S. middle market companies, which we define as companies having EBITDA of between $5 million and $50 million, both through direct lending and through participation in loan syndicates. We may also invest up to 30.0% of the portfolio in opportunistic investments in order to seek to enhance returns to stockholders. Such investments may include investments in distressed debt, which may include securities of companies in bankruptcy, foreign debt, private equity, securities of public companies that are not thinly traded and structured finance vehicles such as collateralized loan obligation funds. We have elected and qualified to be treated as a regulated investment company (“RIC”) under Subchapter M of the Internal Revenue Code of 1986, as amended (the “Code”).</w:t>
      </w:r>
    </w:p>
    <w:p>
      <w:pPr>
        <w:spacing w:after="0" w:line="328"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Corporate History</w:t>
      </w:r>
    </w:p>
    <w:p>
      <w:pPr>
        <w:spacing w:after="0" w:line="117" w:lineRule="exact"/>
        <w:rPr>
          <w:sz w:val="20"/>
          <w:szCs w:val="20"/>
          <w:color w:val="auto"/>
        </w:rPr>
      </w:pPr>
    </w:p>
    <w:p>
      <w:pPr>
        <w:ind w:right="20" w:firstLine="913"/>
        <w:spacing w:after="0" w:line="279" w:lineRule="auto"/>
        <w:rPr>
          <w:sz w:val="20"/>
          <w:szCs w:val="20"/>
          <w:color w:val="auto"/>
        </w:rPr>
      </w:pPr>
      <w:r>
        <w:rPr>
          <w:rFonts w:ascii="Arial" w:cs="Arial" w:eastAsia="Arial" w:hAnsi="Arial"/>
          <w:sz w:val="17"/>
          <w:szCs w:val="17"/>
          <w:color w:val="auto"/>
        </w:rPr>
        <w:t>We commenced operations, at the time known as GSC Investment Corp., on March 23, 2007 and completed an initial public offering of shares of common stock on March 28, 2007. Prior to July 30, 2010, we were externally managed and advised by GSCP (NJ), L.P., an entity affiliated with GSC Group, Inc. In connection with the consummation of a recapitalization transaction on July 30, 2010, as described below we engaged Saratoga Investment Advisors (“SIA”) to replace GSCP (NJ), L.P. as our investment adviser and changed our name to Saratoga Investment Corp.</w:t>
      </w:r>
    </w:p>
    <w:p>
      <w:pPr>
        <w:sectPr>
          <w:pgSz w:w="11900" w:h="16838" w:orient="portrait"/>
          <w:cols w:equalWidth="0" w:num="1">
            <w:col w:w="11400"/>
          </w:cols>
          <w:pgMar w:left="240" w:top="459" w:right="259" w:bottom="1440" w:gutter="0" w:footer="0" w:header="0"/>
        </w:sectPr>
      </w:pP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00"/>
          </w:cols>
          <w:pgMar w:left="240" w:top="459" w:right="259" w:bottom="1440" w:gutter="0" w:footer="0" w:header="0"/>
          <w:type w:val="continuous"/>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69" w:lineRule="auto"/>
        <w:rPr>
          <w:sz w:val="20"/>
          <w:szCs w:val="20"/>
          <w:color w:val="auto"/>
        </w:rPr>
      </w:pPr>
      <w:r>
        <w:rPr>
          <w:rFonts w:ascii="Arial" w:cs="Arial" w:eastAsia="Arial" w:hAnsi="Arial"/>
          <w:sz w:val="17"/>
          <w:szCs w:val="17"/>
          <w:color w:val="auto"/>
        </w:rPr>
        <w:t>As a result of the event of default under a revolving securitized credit facility with Deutsche Bank we previously had in place, in December 2008 we engaged the investment banking firm of Stifel, Nicolaus &amp; Company to evaluate strategic transaction opportunities and consider alternatives for us. On April 14, 2010, GSC Investment Corp. entered into a stock purchase agreement with Saratoga Investment Advisors and certain of its affiliates and an assignment, assumption and novation agreement with Saratoga Investment Advisors, pursuant to which GSC Investment Corp. assumed certain rights and obligations of Saratoga Investment Advisors under a debt commitment letter Saratoga Investment Advisors received from Madison Capital Funding LLC, which indicated Madison Capital Funding’s willingness to provide GSC Investment Corp. with a $40.0 million senior secured revolving credit facility, subject to the satisfaction of certain terms and conditions. In addition, GSC Investment Corp. and GSCP (NJ), L.P. entered into a termination and release agreement, to be effective as of the closing of the transaction contemplated by the stock purchase agreement, pursuant to which GSCP (NJ), L.P., among other things, agreed to waive any and all accrued and unpaid deferred incentive management fees up to and as of the closing of the transaction contemplated by the stock purchase agreement but continued to be entitled to receive the base management fees earned through the date of the closing of the transaction contemplated by the stock purchase agreement.</w:t>
      </w:r>
    </w:p>
    <w:p>
      <w:pPr>
        <w:spacing w:after="0" w:line="183" w:lineRule="exact"/>
        <w:rPr>
          <w:sz w:val="20"/>
          <w:szCs w:val="20"/>
          <w:color w:val="auto"/>
        </w:rPr>
      </w:pPr>
    </w:p>
    <w:p>
      <w:pPr>
        <w:jc w:val="both"/>
        <w:ind w:right="140" w:firstLine="913"/>
        <w:spacing w:after="0" w:line="312" w:lineRule="auto"/>
        <w:rPr>
          <w:sz w:val="20"/>
          <w:szCs w:val="20"/>
          <w:color w:val="auto"/>
        </w:rPr>
      </w:pPr>
      <w:r>
        <w:rPr>
          <w:rFonts w:ascii="Arial" w:cs="Arial" w:eastAsia="Arial" w:hAnsi="Arial"/>
          <w:sz w:val="16"/>
          <w:szCs w:val="16"/>
          <w:color w:val="auto"/>
        </w:rPr>
        <w:t>On July 30, 2010, the transactions contemplated by the stock purchase agreement with Saratoga Investment Advisors and certain of its affiliates were completed, the private sale of 986,842 shares of our common stock for $15.0 million in aggregate purchase price to Saratoga Investment Advisors and certain of its affiliates closed, the Company entered into the Credit Facility, and the Company began doing business as Saratoga Investment Corp.</w:t>
      </w:r>
    </w:p>
    <w:p>
      <w:pPr>
        <w:spacing w:after="0" w:line="147" w:lineRule="exact"/>
        <w:rPr>
          <w:sz w:val="20"/>
          <w:szCs w:val="20"/>
          <w:color w:val="auto"/>
        </w:rPr>
      </w:pPr>
    </w:p>
    <w:p>
      <w:pPr>
        <w:ind w:right="300" w:firstLine="913"/>
        <w:spacing w:after="0" w:line="259" w:lineRule="auto"/>
        <w:rPr>
          <w:sz w:val="20"/>
          <w:szCs w:val="20"/>
          <w:color w:val="auto"/>
        </w:rPr>
      </w:pPr>
      <w:r>
        <w:rPr>
          <w:rFonts w:ascii="Arial" w:cs="Arial" w:eastAsia="Arial" w:hAnsi="Arial"/>
          <w:sz w:val="18"/>
          <w:szCs w:val="18"/>
          <w:color w:val="auto"/>
        </w:rPr>
        <w:t>We used the net proceeds from the private sale transaction and a portion of the funds available to us under the Credit Facility to pay the full amount of principal and accrued interest, including default interest, outstanding under our revolving securitized credit facility with Deutsche Bank. The revolving securitized credit facility with Deutsche Bank was terminated in connection with our payment of all amounts outstanding thereunder on July 30, 2010.</w:t>
      </w:r>
    </w:p>
    <w:p>
      <w:pPr>
        <w:spacing w:after="0" w:line="187"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On August 12, 2010, we effected a one-for-ten reverse stock split of our outstanding common stock. As a result of the reverse stock split, every ten shares of our common stock were converted into one share of our common stock. Any fractional shares received as a result of the reverse stock split were redeemed for cash. The total cash payment in lieu of shares was $230. Immediately after the reverse stock split, we had 2,680,842 shares of our common stock outstanding.</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 January 2011, we registered for public resale the 982,842 shares of our common stock issued to Saratoga Investment Advisors and certain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its affiliates.</w:t>
      </w:r>
    </w:p>
    <w:p>
      <w:pPr>
        <w:spacing w:after="0" w:line="211" w:lineRule="exact"/>
        <w:rPr>
          <w:sz w:val="20"/>
          <w:szCs w:val="20"/>
          <w:color w:val="auto"/>
        </w:rPr>
      </w:pPr>
    </w:p>
    <w:p>
      <w:pPr>
        <w:ind w:right="340" w:firstLine="913"/>
        <w:spacing w:after="0" w:line="277" w:lineRule="auto"/>
        <w:rPr>
          <w:sz w:val="20"/>
          <w:szCs w:val="20"/>
          <w:color w:val="auto"/>
        </w:rPr>
      </w:pPr>
      <w:r>
        <w:rPr>
          <w:rFonts w:ascii="Arial" w:cs="Arial" w:eastAsia="Arial" w:hAnsi="Arial"/>
          <w:sz w:val="18"/>
          <w:szCs w:val="18"/>
          <w:color w:val="auto"/>
        </w:rPr>
        <w:t>On March 28, 2012, our wholly-owned subsidiary, Saratoga Investment Corp. SBIC, LP (“SBIC LP”), received a Small Business Investment Company (“SBIC”) license from the Small Business Administration (“SBA”).</w:t>
      </w:r>
    </w:p>
    <w:p>
      <w:pPr>
        <w:spacing w:after="0" w:line="170"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In May 2013, we issued $48.3 million in aggregate principal amount of our 7.50% unsecured notes due 2020 for net proceeds of $46.1 million after deducting underwriting commissions of $1.9 million and offering costs of $0.3 million. The proceeds included the underwriters’ full exercise of their overallotment option. Interest on these notes is paid quarterly in arrears on February 15, May 15, August 15 and November 15, at a rate of 7.50% per year, beginning August 15, 2013. The notes mature on May 31, 2020 and may be redeemed in whole or in part at any time or from time to time at our option on or after May 31, 2016. The notes are listed on the NYSE under the trading symbol “SAQ” with a par value of $25.00 per share.</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color w:val="auto"/>
        </w:rPr>
        <w:t>The preparation of financial statements in accordance with U.S. generally accepted accounting principles (“U.S. GAAP”) requires management to make certain estimates and assumptions affecting amounts reported in the Company’s consolidated financial statements. We have identified investment valuation, revenue recognition and the recognition of capital gains incentive fee expense as our most critical accounting estimates. We continuously evaluate our estimates, including those related to the matters described below. These estimates are based on the information that is currently available to us and on various other assumptions that we believe to be reasonable under the circumstances. Actual results could differ materially from those estimates under different assumptions or conditions. A discussion of our critical accounting policies follows.</w:t>
      </w:r>
    </w:p>
    <w:p>
      <w:pPr>
        <w:spacing w:after="0" w:line="287"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Investment Valuation</w:t>
      </w:r>
    </w:p>
    <w:p>
      <w:pPr>
        <w:spacing w:after="0" w:line="117" w:lineRule="exact"/>
        <w:rPr>
          <w:sz w:val="20"/>
          <w:szCs w:val="20"/>
          <w:color w:val="auto"/>
        </w:rPr>
      </w:pPr>
    </w:p>
    <w:p>
      <w:pPr>
        <w:ind w:right="380" w:firstLine="913"/>
        <w:spacing w:after="0" w:line="277" w:lineRule="auto"/>
        <w:rPr>
          <w:sz w:val="20"/>
          <w:szCs w:val="20"/>
          <w:color w:val="auto"/>
        </w:rPr>
      </w:pPr>
      <w:r>
        <w:rPr>
          <w:rFonts w:ascii="Arial" w:cs="Arial" w:eastAsia="Arial" w:hAnsi="Arial"/>
          <w:sz w:val="18"/>
          <w:szCs w:val="18"/>
          <w:color w:val="auto"/>
        </w:rPr>
        <w:t xml:space="preserve">The Company accounts for its investments at fair value in accordance with the Financial Accounting Standards Board (“FASB”) Accounting Standards Codification (“ASC”) Topic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xml:space="preserve"> (“ASC 820”). ASC 820</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defines fair value, establishes a framework for measuring fair value, establishes a fair value hierarchy based on the quality of inputs used to measure fair value and enhances disclosure requirements for fair value measurements. ASC 820 requires the Company to assume that its investments are to be sold at the statement of assets and liabilities date in the principal market to independent market participants, or in the absence of a principal market, in the most advantageous market, which may be a hypothetical market. Market participants are defined as buyers and sellers in the principal or most advantageous market that are independent, knowledgeable, and willing and able to transact.</w:t>
      </w:r>
    </w:p>
    <w:p>
      <w:pPr>
        <w:spacing w:after="0" w:line="188" w:lineRule="exact"/>
        <w:rPr>
          <w:sz w:val="20"/>
          <w:szCs w:val="20"/>
          <w:color w:val="auto"/>
        </w:rPr>
      </w:pPr>
    </w:p>
    <w:p>
      <w:pPr>
        <w:ind w:right="140" w:firstLine="913"/>
        <w:spacing w:after="0" w:line="253" w:lineRule="auto"/>
        <w:rPr>
          <w:sz w:val="20"/>
          <w:szCs w:val="20"/>
          <w:color w:val="auto"/>
        </w:rPr>
      </w:pPr>
      <w:r>
        <w:rPr>
          <w:rFonts w:ascii="Arial" w:cs="Arial" w:eastAsia="Arial" w:hAnsi="Arial"/>
          <w:sz w:val="18"/>
          <w:szCs w:val="18"/>
          <w:color w:val="auto"/>
        </w:rPr>
        <w:t>Investments for which market quotations are readily available are fair valued at such market quotations obtained from independent third party pricing services and market makers subject to any decision by our board of directors to approve a fair value determination to reflect significant events affecting the value of these investments. We value investments for which market quotations are not readily available at fair value as approved, in good faith, by our board of directors based on input from Saratoga Investment Advisers, the audit committee of our board of directors and a third party independent valuation firm. Determinations of fair value may involve subjective judgments and estimates. The types of factors that may be considered in determining the fair value of our investments include the nature and realizable value of any collateral, the portfolio company’s ability to make payments, market yield trend analysis, the markets in which the portfolio company does business, comparison to publicly traded companies, discounted cash flow and other relevant factors. We undertake a multi-step valuation process each quarter when valuing investments for which market quotations are not readily available, as described below:</w:t>
      </w:r>
    </w:p>
    <w:p>
      <w:pPr>
        <w:spacing w:after="0" w:line="103" w:lineRule="exact"/>
        <w:rPr>
          <w:sz w:val="20"/>
          <w:szCs w:val="20"/>
          <w:color w:val="auto"/>
        </w:rPr>
      </w:pPr>
    </w:p>
    <w:p>
      <w:pPr>
        <w:ind w:left="1460" w:right="680" w:hanging="547"/>
        <w:spacing w:after="0" w:line="277"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investment is initially valued by the responsible investment professionals of Saratoga Investment Advisors and preliminary valuation conclusions are documented and discussed with our senior management; and</w:t>
      </w:r>
    </w:p>
    <w:p>
      <w:pPr>
        <w:spacing w:after="0" w:line="75" w:lineRule="exact"/>
        <w:rPr>
          <w:rFonts w:ascii="Arial" w:cs="Arial" w:eastAsia="Arial" w:hAnsi="Arial"/>
          <w:sz w:val="18"/>
          <w:szCs w:val="18"/>
          <w:color w:val="auto"/>
        </w:rPr>
      </w:pPr>
    </w:p>
    <w:p>
      <w:pPr>
        <w:ind w:left="1460" w:right="60" w:hanging="547"/>
        <w:spacing w:after="0" w:line="264" w:lineRule="auto"/>
        <w:tabs>
          <w:tab w:leader="none" w:pos="1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independent valuation firm engaged by our board of directors reviews approximately one quarter of these preliminary valuations each quarter so that the valuation of each investment for which market quotes are not readily available is reviewed by the independent valuation firm at least annually.</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In addition, all our investments are subject to the following valuation process:</w:t>
      </w:r>
    </w:p>
    <w:p>
      <w:pPr>
        <w:spacing w:after="0" w:line="131" w:lineRule="exact"/>
        <w:rPr>
          <w:sz w:val="20"/>
          <w:szCs w:val="20"/>
          <w:color w:val="auto"/>
        </w:rPr>
      </w:pPr>
    </w:p>
    <w:p>
      <w:pPr>
        <w:jc w:val="both"/>
        <w:ind w:left="1460" w:right="280" w:hanging="547"/>
        <w:spacing w:after="0" w:line="342" w:lineRule="auto"/>
        <w:tabs>
          <w:tab w:leader="none" w:pos="1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audit committee of our board of directors reviews each preliminary valuation and Saratoga Investment Advisors and independent valuation firm (if applicable) will supplement the preliminary valuation to reflect any comments provided by the audit committee; and</w:t>
      </w:r>
    </w:p>
    <w:p>
      <w:pPr>
        <w:spacing w:after="0" w:line="29" w:lineRule="exact"/>
        <w:rPr>
          <w:rFonts w:ascii="Arial" w:cs="Arial" w:eastAsia="Arial" w:hAnsi="Arial"/>
          <w:sz w:val="16"/>
          <w:szCs w:val="16"/>
          <w:color w:val="auto"/>
        </w:rPr>
      </w:pPr>
    </w:p>
    <w:p>
      <w:pPr>
        <w:ind w:left="1460" w:right="280" w:hanging="547"/>
        <w:spacing w:after="0" w:line="342" w:lineRule="auto"/>
        <w:tabs>
          <w:tab w:leader="none" w:pos="1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Our board of directors discusses the valuations and approves the fair value of each investment, in good faith, based on the input of Saratoga Investment Advisors, independent valuation firm (to the extent applicable) and the audit committee of our board of directors.</w:t>
      </w:r>
    </w:p>
    <w:p>
      <w:pPr>
        <w:spacing w:after="0" w:line="124" w:lineRule="exact"/>
        <w:rPr>
          <w:sz w:val="20"/>
          <w:szCs w:val="20"/>
          <w:color w:val="auto"/>
        </w:rPr>
      </w:pPr>
    </w:p>
    <w:p>
      <w:pPr>
        <w:ind w:right="20" w:firstLine="913"/>
        <w:spacing w:after="0" w:line="290" w:lineRule="auto"/>
        <w:rPr>
          <w:sz w:val="20"/>
          <w:szCs w:val="20"/>
          <w:color w:val="auto"/>
        </w:rPr>
      </w:pPr>
      <w:r>
        <w:rPr>
          <w:rFonts w:ascii="Arial" w:cs="Arial" w:eastAsia="Arial" w:hAnsi="Arial"/>
          <w:sz w:val="16"/>
          <w:szCs w:val="16"/>
          <w:color w:val="auto"/>
        </w:rPr>
        <w:t>Our investment in Saratoga Investment Corp. CLO 2013-1, Ltd. (“Saratoga CLO”) is carried at fair value, which is based on a discounted cash flow model that utilizes prepayment, re-investment and loss assumptions based on historical experience and projected performance, economic factors, the characteristics of the underlying cash flow, and comparable yields for equity interests in collateralized loan obligation funds similar to Saratoga CLO, when available, as determined by SIA and recommended to our board of directors. Specifically, we use Intex cash flow models, or an appropriate substitute, to form the basis for the valuation of our investment in Saratoga CLO. The models use a set of assumptions including projected default rates, recovery rates, reinvestment rate and prepayment rates in order to arrive at estimated valuations. The assumptions are based on available market data and projections provided by third parties as well as management estimates. We use the output from the Intex models (i.e., the estimated cash flows) to perform a discounted cash flows analysis on expected future cash flows to determine a valuation for our investment in Saratoga CLO.</w:t>
      </w:r>
    </w:p>
    <w:p>
      <w:pPr>
        <w:spacing w:after="0" w:line="274"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Income Recognition</w:t>
      </w:r>
    </w:p>
    <w:p>
      <w:pPr>
        <w:spacing w:after="0" w:line="117" w:lineRule="exact"/>
        <w:rPr>
          <w:sz w:val="20"/>
          <w:szCs w:val="20"/>
          <w:color w:val="auto"/>
        </w:rPr>
      </w:pPr>
    </w:p>
    <w:p>
      <w:pPr>
        <w:ind w:firstLine="913"/>
        <w:spacing w:after="0" w:line="302" w:lineRule="auto"/>
        <w:rPr>
          <w:sz w:val="20"/>
          <w:szCs w:val="20"/>
          <w:color w:val="auto"/>
        </w:rPr>
      </w:pPr>
      <w:r>
        <w:rPr>
          <w:rFonts w:ascii="Arial" w:cs="Arial" w:eastAsia="Arial" w:hAnsi="Arial"/>
          <w:sz w:val="16"/>
          <w:szCs w:val="16"/>
          <w:color w:val="auto"/>
        </w:rPr>
        <w:t>Interest income, adjusted for amortization of premium and accretion of discount, is recorded on an accrual basis to the extent that such amounts are expected to be collected. The Company stops accruing interest on its investments when it is determined that interest is no longer collectible. Discounts and premiums on investments purchased are accreted/amortized over the life of the respective investment using the effective yield method. The amortized cost of investments represents the original cost adjusted for the accretion of discounts and amortizations of premium on investments.</w:t>
      </w:r>
    </w:p>
    <w:p>
      <w:pPr>
        <w:spacing w:after="0" w:line="154" w:lineRule="exact"/>
        <w:rPr>
          <w:sz w:val="20"/>
          <w:szCs w:val="20"/>
          <w:color w:val="auto"/>
        </w:rPr>
      </w:pPr>
    </w:p>
    <w:p>
      <w:pPr>
        <w:ind w:right="40" w:firstLine="913"/>
        <w:spacing w:after="0" w:line="257" w:lineRule="auto"/>
        <w:rPr>
          <w:sz w:val="20"/>
          <w:szCs w:val="20"/>
          <w:color w:val="auto"/>
        </w:rPr>
      </w:pPr>
      <w:r>
        <w:rPr>
          <w:rFonts w:ascii="Arial" w:cs="Arial" w:eastAsia="Arial" w:hAnsi="Arial"/>
          <w:sz w:val="18"/>
          <w:szCs w:val="18"/>
          <w:color w:val="auto"/>
        </w:rPr>
        <w:t>Loans are generally placed on non-accrual status when there is reasonable doubt that principal or interest will be collected. Accrued interest is generally reserved when a loan is placed on non-accrual status. Interest payments received on non-accrual loans may be recognized as a reduction in principal depending upon management’s judgment regarding collectability. Non-accrual loans are restored to accrual status when past due principal and interest is paid and, in management’s judgment, are likely to remain current, although we may make exceptions to this general rule if the loan has sufficient collateral value and is in the process of collection.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80" w:firstLine="913"/>
        <w:spacing w:after="0" w:line="257" w:lineRule="auto"/>
        <w:rPr>
          <w:sz w:val="20"/>
          <w:szCs w:val="20"/>
          <w:color w:val="auto"/>
        </w:rPr>
      </w:pPr>
      <w:r>
        <w:rPr>
          <w:rFonts w:ascii="Arial" w:cs="Arial" w:eastAsia="Arial" w:hAnsi="Arial"/>
          <w:sz w:val="18"/>
          <w:szCs w:val="18"/>
          <w:color w:val="auto"/>
        </w:rPr>
        <w:t xml:space="preserve">Interest income on our investment in Saratoga CLO is recorded using the effective interest method in accordance with the provisions of ASC Topic 325-40, </w:t>
      </w:r>
      <w:r>
        <w:rPr>
          <w:rFonts w:ascii="Arial" w:cs="Arial" w:eastAsia="Arial" w:hAnsi="Arial"/>
          <w:sz w:val="18"/>
          <w:szCs w:val="18"/>
          <w:i w:val="1"/>
          <w:iCs w:val="1"/>
          <w:color w:val="auto"/>
        </w:rPr>
        <w:t>Investments-Other, Beneficial Interests in Securitized Financial Assets</w:t>
      </w:r>
      <w:r>
        <w:rPr>
          <w:rFonts w:ascii="Arial" w:cs="Arial" w:eastAsia="Arial" w:hAnsi="Arial"/>
          <w:sz w:val="18"/>
          <w:szCs w:val="18"/>
          <w:color w:val="auto"/>
        </w:rPr>
        <w:t>,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i w:val="1"/>
          <w:iCs w:val="1"/>
          <w:color w:val="auto"/>
        </w:rPr>
        <w:t>Paid-in-Kind Interest</w:t>
      </w:r>
    </w:p>
    <w:p>
      <w:pPr>
        <w:spacing w:after="0" w:line="117"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The Company holds debt investments in its portfolio that contain a payment-in-kind (“PIK”) interest provision. The PIK interest, which represents contractually deferred interest added to the investment balance that is generally due at maturity, is generally recorded on the accrual basis to the extent such amounts are expected to be collected. We stop accruing PIK interest if we do not expect the issuer to be able to pay all principal and interest when due.</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Capital Gains Incentive Fee</w:t>
      </w:r>
    </w:p>
    <w:p>
      <w:pPr>
        <w:spacing w:after="0" w:line="117" w:lineRule="exact"/>
        <w:rPr>
          <w:sz w:val="20"/>
          <w:szCs w:val="20"/>
          <w:color w:val="auto"/>
        </w:rPr>
      </w:pPr>
    </w:p>
    <w:p>
      <w:pPr>
        <w:ind w:right="140" w:firstLine="913"/>
        <w:spacing w:after="0" w:line="257" w:lineRule="auto"/>
        <w:rPr>
          <w:sz w:val="20"/>
          <w:szCs w:val="20"/>
          <w:color w:val="auto"/>
        </w:rPr>
      </w:pPr>
      <w:r>
        <w:rPr>
          <w:rFonts w:ascii="Arial" w:cs="Arial" w:eastAsia="Arial" w:hAnsi="Arial"/>
          <w:sz w:val="18"/>
          <w:szCs w:val="18"/>
          <w:color w:val="auto"/>
        </w:rPr>
        <w:t>The Company records an expense accrual relating to the capital gains incentive fee payable by the Company to its investment adviser when the unrealized gains on its investments exceed all realized capital losses on its investments given the fact that a capital gains incentive fee would be owed to the investment adviser if the Company were to liquidate its investment portfolio at such time. The actual incentive fee payable to the Company’s investment adviser related to capital gains will be determined and payable in arrears at the end of each fiscal year and will include only realized capital gains for the period.</w:t>
      </w:r>
    </w:p>
    <w:p>
      <w:pPr>
        <w:spacing w:after="0" w:line="296"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Revenues</w:t>
      </w:r>
    </w:p>
    <w:p>
      <w:pPr>
        <w:spacing w:after="0" w:line="117" w:lineRule="exact"/>
        <w:rPr>
          <w:sz w:val="20"/>
          <w:szCs w:val="20"/>
          <w:color w:val="auto"/>
        </w:rPr>
      </w:pPr>
    </w:p>
    <w:p>
      <w:pPr>
        <w:ind w:right="20" w:firstLine="913"/>
        <w:spacing w:after="0" w:line="253" w:lineRule="auto"/>
        <w:rPr>
          <w:sz w:val="20"/>
          <w:szCs w:val="20"/>
          <w:color w:val="auto"/>
        </w:rPr>
      </w:pPr>
      <w:r>
        <w:rPr>
          <w:rFonts w:ascii="Arial" w:cs="Arial" w:eastAsia="Arial" w:hAnsi="Arial"/>
          <w:sz w:val="18"/>
          <w:szCs w:val="18"/>
          <w:color w:val="auto"/>
        </w:rPr>
        <w:t>We generate revenue in the form of interest income and capital gains on the debt investments that we hold and capital gains, if any, on equity interests that we may acquire. We expect our debt investments, whether in the form of leveraged loans or mezzanine debt, to have terms of up to ten years, and to bear interest at either a fixed or floating rate. Interest on debt will be payable generally either quarterly or semi-annually. In some cases, our debt investments may provide for a portion of the interest to be PIK. To the extent interest is paid-in-kind, it will be payable through the increase of the principal amount of the obligation by the amount of interest due on the then-outstanding aggregate principal amount of such obligation. The principal amount of the debt and any accrued but unpaid interest will generally become due at the maturity date. In addition, we may generate revenue in the form of commitment, origination, structuring or diligence fees, fees for providing managerial assistance or investment management services and possibly consulting fees. Any such fees will be generated in connection with our investments and recognized as earned. We may also invest in preferred equity securities that pay dividends on a current basis.</w:t>
      </w:r>
    </w:p>
    <w:p>
      <w:pPr>
        <w:spacing w:after="0" w:line="197" w:lineRule="exact"/>
        <w:rPr>
          <w:sz w:val="20"/>
          <w:szCs w:val="20"/>
          <w:color w:val="auto"/>
        </w:rPr>
      </w:pPr>
    </w:p>
    <w:p>
      <w:pPr>
        <w:ind w:firstLine="913"/>
        <w:spacing w:after="0" w:line="297" w:lineRule="auto"/>
        <w:rPr>
          <w:sz w:val="20"/>
          <w:szCs w:val="20"/>
          <w:color w:val="auto"/>
        </w:rPr>
      </w:pPr>
      <w:r>
        <w:rPr>
          <w:rFonts w:ascii="Arial" w:cs="Arial" w:eastAsia="Arial" w:hAnsi="Arial"/>
          <w:sz w:val="16"/>
          <w:szCs w:val="16"/>
          <w:color w:val="auto"/>
        </w:rPr>
        <w:t>On January 22, 2008, we entered into a collateral management agreement with Saratoga CLO, pursuant to which we act as its collateral manager. The Saratoga CLO was refinanced in October 2013 and its reinvestment period ends in October 2016. The Saratoga CLO remains 100% owned and managed by Saratoga Investment Corp. We receive a senior collateral management fee of 0.25% and a subordinate collateral management fee of 0.25% of the outstanding principal amount of Saratoga CLO’s assets, paid quarterly to the extent of available proceeds. We are also entitled to an incentive management fee equal to 20.0% of excess cash flow to the extent the Saratoga CLO subordinated notes receive an internal rate of return equal to or greater than 12.0%.</w:t>
      </w:r>
    </w:p>
    <w:p>
      <w:pPr>
        <w:spacing w:after="0" w:line="158" w:lineRule="exact"/>
        <w:rPr>
          <w:sz w:val="20"/>
          <w:szCs w:val="20"/>
          <w:color w:val="auto"/>
        </w:rPr>
      </w:pPr>
    </w:p>
    <w:p>
      <w:pPr>
        <w:ind w:right="80" w:firstLine="913"/>
        <w:spacing w:after="0" w:line="279" w:lineRule="auto"/>
        <w:rPr>
          <w:sz w:val="20"/>
          <w:szCs w:val="20"/>
          <w:color w:val="auto"/>
        </w:rPr>
      </w:pPr>
      <w:r>
        <w:rPr>
          <w:rFonts w:ascii="Arial" w:cs="Arial" w:eastAsia="Arial" w:hAnsi="Arial"/>
          <w:sz w:val="17"/>
          <w:szCs w:val="17"/>
          <w:color w:val="auto"/>
        </w:rPr>
        <w:t>We recognize interest income on our investment in the subordinated notes of Saratoga CLO using the effective interest method, based on the anticipated yield and the estimated cash flows over the projected life of the investment. Yields are revised when there are changes in actual or estimated cash flows due to changes in prepayments and/or re-investments, credit losses or asset pricing. Changes in estimated yield are recognized as an adjustment to the estimated yield over the remaining life of the investment from the date the estimated yield was changed.</w:t>
      </w:r>
    </w:p>
    <w:p>
      <w:pPr>
        <w:spacing w:after="0" w:line="28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Expenses</w:t>
      </w:r>
    </w:p>
    <w:p>
      <w:pPr>
        <w:spacing w:after="0" w:line="117" w:lineRule="exact"/>
        <w:rPr>
          <w:sz w:val="20"/>
          <w:szCs w:val="20"/>
          <w:color w:val="auto"/>
        </w:rPr>
      </w:pPr>
    </w:p>
    <w:p>
      <w:pPr>
        <w:ind w:right="320" w:firstLine="913"/>
        <w:spacing w:after="0" w:line="279" w:lineRule="auto"/>
        <w:rPr>
          <w:sz w:val="20"/>
          <w:szCs w:val="20"/>
          <w:color w:val="auto"/>
        </w:rPr>
      </w:pPr>
      <w:r>
        <w:rPr>
          <w:rFonts w:ascii="Arial" w:cs="Arial" w:eastAsia="Arial" w:hAnsi="Arial"/>
          <w:sz w:val="17"/>
          <w:szCs w:val="17"/>
          <w:color w:val="auto"/>
        </w:rPr>
        <w:t>Our primary operating expenses include the payment of investment advisory and management fees, professional fees, directors and officers insurance, fees paid to independent directors and administrator expenses, including our allocable portion of our administrator’s overhead. Our investment advisory and management fees compensate our investment adviser for its work in identifying, evaluating, negotiating, closing and monitoring our investments. We bear all other costs and expenses of our operations and transactions, including those relating to:</w:t>
      </w:r>
    </w:p>
    <w:p>
      <w:pPr>
        <w:spacing w:after="0" w:line="77" w:lineRule="exact"/>
        <w:rPr>
          <w:sz w:val="20"/>
          <w:szCs w:val="20"/>
          <w:color w:val="auto"/>
        </w:rPr>
      </w:pPr>
    </w:p>
    <w:p>
      <w:pPr>
        <w:ind w:left="1460" w:hanging="547"/>
        <w:spacing w:after="0"/>
        <w:tabs>
          <w:tab w:leader="none" w:pos="1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organization;</w:t>
      </w:r>
    </w:p>
    <w:p>
      <w:pPr>
        <w:spacing w:after="0" w:line="130" w:lineRule="exact"/>
        <w:rPr>
          <w:rFonts w:ascii="Arial" w:cs="Arial" w:eastAsia="Arial" w:hAnsi="Arial"/>
          <w:sz w:val="18"/>
          <w:szCs w:val="18"/>
          <w:color w:val="auto"/>
        </w:rPr>
      </w:pPr>
    </w:p>
    <w:p>
      <w:pPr>
        <w:ind w:left="5620" w:right="2760" w:hanging="4707"/>
        <w:spacing w:after="0" w:line="449" w:lineRule="auto"/>
        <w:tabs>
          <w:tab w:leader="none" w:pos="1463" w:val="left"/>
        </w:tabs>
        <w:numPr>
          <w:ilvl w:val="0"/>
          <w:numId w:val="21"/>
        </w:numPr>
        <w:rPr>
          <w:rFonts w:ascii="Arial" w:cs="Arial" w:eastAsia="Arial" w:hAnsi="Arial"/>
          <w:sz w:val="18"/>
          <w:szCs w:val="18"/>
          <w:color w:val="auto"/>
        </w:rPr>
      </w:pPr>
      <w:r>
        <w:rPr>
          <w:rFonts w:ascii="Arial" w:cs="Arial" w:eastAsia="Arial" w:hAnsi="Arial"/>
          <w:sz w:val="18"/>
          <w:szCs w:val="18"/>
          <w:color w:val="auto"/>
        </w:rPr>
        <w:t>calculating our net asset value (including the cost and expenses of any independent valuation firm); 41</w:t>
      </w:r>
    </w:p>
    <w:p>
      <w:pPr>
        <w:sectPr>
          <w:pgSz w:w="11900" w:h="16838" w:orient="portrait"/>
          <w:cols w:equalWidth="0" w:num="1">
            <w:col w:w="11380"/>
          </w:cols>
          <w:pgMar w:left="240" w:top="459" w:right="2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460" w:right="260" w:hanging="547"/>
        <w:spacing w:after="0" w:line="342" w:lineRule="auto"/>
        <w:tabs>
          <w:tab w:leader="none" w:pos="14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expenses incurred by our investment adviser payable to third parties, including agents, consultants or other advisers, in monitoring our financial and legal affairs and in monitoring our investments and performing due diligence on our prospective portfolio companies;</w:t>
      </w:r>
    </w:p>
    <w:p>
      <w:pPr>
        <w:spacing w:after="0" w:line="29" w:lineRule="exact"/>
        <w:rPr>
          <w:rFonts w:ascii="Arial" w:cs="Arial" w:eastAsia="Arial" w:hAnsi="Arial"/>
          <w:sz w:val="16"/>
          <w:szCs w:val="16"/>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interest payable on debt, if any, incurred to finance our investments;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offerings of our common stock and other securities;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investment advisory and management fees;</w:t>
      </w:r>
    </w:p>
    <w:p>
      <w:pPr>
        <w:spacing w:after="0" w:line="130" w:lineRule="exact"/>
        <w:rPr>
          <w:rFonts w:ascii="Arial" w:cs="Arial" w:eastAsia="Arial" w:hAnsi="Arial"/>
          <w:sz w:val="18"/>
          <w:szCs w:val="18"/>
          <w:color w:val="auto"/>
        </w:rPr>
      </w:pPr>
    </w:p>
    <w:p>
      <w:pPr>
        <w:ind w:left="1460" w:right="580" w:hanging="547"/>
        <w:spacing w:after="0" w:line="277"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fees payable to third parties, including agents, consultants or other advisers, relating to, or associated with, evaluating and making investments;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transfer agent and custodial fees;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federal and state registration fees;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all costs of registration and listing our common stock on any securities exchange;</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federal, state and local taxes;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independent directors’ fees and expenses;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of preparing and filing reports or other documents required by governmental bodies (including the SEC and the SBA);</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of any reports, proxy statements or other notices to common stockholders including printing costs;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fidelity bond, directors and officers errors and omissions liability insurance, and any other insurance premiums;</w:t>
      </w:r>
    </w:p>
    <w:p>
      <w:pPr>
        <w:spacing w:after="0" w:line="130" w:lineRule="exact"/>
        <w:rPr>
          <w:rFonts w:ascii="Arial" w:cs="Arial" w:eastAsia="Arial" w:hAnsi="Arial"/>
          <w:sz w:val="18"/>
          <w:szCs w:val="18"/>
          <w:color w:val="auto"/>
        </w:rPr>
      </w:pPr>
    </w:p>
    <w:p>
      <w:pPr>
        <w:ind w:left="1460" w:right="400" w:hanging="547"/>
        <w:spacing w:after="0" w:line="277"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direct costs and expenses of administration, including printing, mailing, long distance telephone, copying, secretarial and other staff, independent auditors and outside legal costs; and</w:t>
      </w:r>
    </w:p>
    <w:p>
      <w:pPr>
        <w:spacing w:after="0" w:line="75" w:lineRule="exact"/>
        <w:rPr>
          <w:rFonts w:ascii="Arial" w:cs="Arial" w:eastAsia="Arial" w:hAnsi="Arial"/>
          <w:sz w:val="18"/>
          <w:szCs w:val="18"/>
          <w:color w:val="auto"/>
        </w:rPr>
      </w:pPr>
    </w:p>
    <w:p>
      <w:pPr>
        <w:ind w:left="1460" w:hanging="547"/>
        <w:spacing w:after="0" w:line="259" w:lineRule="auto"/>
        <w:tabs>
          <w:tab w:leader="none" w:pos="1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administration fees and all other expenses incurred by us or, if applicable, the administrator in connection with administering our business (including payments under the administration agreement based upon our allocable portion of the administrator’s overhead in performing its obligations under an administration agreement, including rent and the allocable portion of the cost of our officers and their respective staffs (including travel expenses)).</w:t>
      </w:r>
    </w:p>
    <w:p>
      <w:pPr>
        <w:spacing w:after="0" w:line="187" w:lineRule="exact"/>
        <w:rPr>
          <w:sz w:val="20"/>
          <w:szCs w:val="20"/>
          <w:color w:val="auto"/>
        </w:rPr>
      </w:pPr>
    </w:p>
    <w:p>
      <w:pPr>
        <w:ind w:right="60" w:firstLine="913"/>
        <w:spacing w:after="0" w:line="279" w:lineRule="auto"/>
        <w:rPr>
          <w:sz w:val="20"/>
          <w:szCs w:val="20"/>
          <w:color w:val="auto"/>
        </w:rPr>
      </w:pPr>
      <w:r>
        <w:rPr>
          <w:rFonts w:ascii="Arial" w:cs="Arial" w:eastAsia="Arial" w:hAnsi="Arial"/>
          <w:sz w:val="17"/>
          <w:szCs w:val="17"/>
          <w:color w:val="auto"/>
        </w:rPr>
        <w:t>Pursuant to the investment advisory and management agreement that we had with GSCP (NJ), L.P., our former investment adviser and administrator, we had agreed to pay GSCP (NJ), L.P. as investment adviser a quarterly base management fee of 1.75% of the average value of our total assets (other than cash or cash equivalents but including assets purchased with borrowed funds) at the end of the two most recently completed fiscal quarters, and appropriately adjusted for any share issuances or repurchases during the applicable fiscal quarter, and an incentive fee.</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incentive fee had two parts:</w:t>
      </w:r>
    </w:p>
    <w:p>
      <w:pPr>
        <w:spacing w:after="0" w:line="131" w:lineRule="exact"/>
        <w:rPr>
          <w:sz w:val="20"/>
          <w:szCs w:val="20"/>
          <w:color w:val="auto"/>
        </w:rPr>
      </w:pPr>
    </w:p>
    <w:p>
      <w:pPr>
        <w:ind w:left="1460" w:right="60" w:hanging="547"/>
        <w:spacing w:after="0" w:line="273" w:lineRule="auto"/>
        <w:tabs>
          <w:tab w:leader="none" w:pos="14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A fee, payable quarterly in arrears, equal to 20.0% of our pre-incentive fee net investment income, expressed as a rate of return on the value of the net assets at the end of the immediately preceding quarter, that exceeded a 1.875% quarterly (7.5% annualized) hurdle rate measured as of the end of each fiscal quarter. Under this provision, in any fiscal quarter, our investment adviser received no incentive fee unless our pre-incentive fee net investment income exceeded the hurdle rate of 1.875%. Amounts received as a return of capital were not included in calculating this portion of the incentive fee. Since the hurdle rate was based on net assets, a return of less than the hurdle rate on total assets could still have resulted in an incentive fee.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459" w:right="2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left="1460" w:right="200" w:hanging="547"/>
        <w:spacing w:after="0" w:line="264" w:lineRule="auto"/>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fee, payable at the end of each fiscal year, equal to 20.0% of our net realized capital gains, if any, computed net of all realized capital losses and unrealized capital depreciation, in each case on a cumulative basis, less the aggregate amount of capital gains incentive fees paid to the investment adviser through such date.</w:t>
      </w:r>
    </w:p>
    <w:p>
      <w:pPr>
        <w:spacing w:after="0" w:line="18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deferred cash payment of any incentive fee otherwise earned by our former investment adviser if, during the then most recent four full fiscal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quarters ending on or prior to the date such payment was to be made, the sum of (a) our aggregate distributions to our stockholders and (b) our change in net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assets (defined as total assets less liabilities) (before taking into account any incentive fees payable during that period) was less than 7.5% of our net assets at</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beginning of such period. These calculations were appropriately pro-rated for the first three fiscal quarters of operation and adjusted for any share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issuances or repurchases during the applicable period. Such incentive fee would become payable on the next date on which such test had been satisfied for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most recent four full fiscal quarters or upon certain terminations of the investment advisory and management agreement. We commenced deferring cash</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payment of incentive fees during the quarterly period ended August 31, 2007, and continued to defer such payments through the quarterly period ended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May 31, 2010. As of July 30, 2010, the date on which GSCP (NJ), L.P. ceased to be our investment adviser and administrator, we owed GSCP (NJ), L.P.</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$2.9 million in fees for services previously provided to us; of which $0.3 million has been paid by us. GSCP (NJ), L.P. agreed to waive payment by us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remaining $2.6 million in connection with the consummation of the stock purchase transaction with Saratoga Investment Advisors and certain of its affiliates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described elsewhere in this Annual Report.</w:t>
      </w:r>
    </w:p>
    <w:p>
      <w:pPr>
        <w:spacing w:after="0" w:line="211" w:lineRule="exact"/>
        <w:rPr>
          <w:sz w:val="20"/>
          <w:szCs w:val="20"/>
          <w:color w:val="auto"/>
        </w:rPr>
      </w:pPr>
    </w:p>
    <w:p>
      <w:pPr>
        <w:ind w:right="280" w:firstLine="913"/>
        <w:spacing w:after="0" w:line="264" w:lineRule="auto"/>
        <w:rPr>
          <w:sz w:val="20"/>
          <w:szCs w:val="20"/>
          <w:color w:val="auto"/>
        </w:rPr>
      </w:pPr>
      <w:r>
        <w:rPr>
          <w:rFonts w:ascii="Arial" w:cs="Arial" w:eastAsia="Arial" w:hAnsi="Arial"/>
          <w:sz w:val="18"/>
          <w:szCs w:val="18"/>
          <w:color w:val="auto"/>
        </w:rPr>
        <w:t>The terms of the investment advisory and management agreement with Saratoga Investment Advisors, our current investment adviser, are substantially similar to the terms of the investment advisory and management agreement we had entered into with GSCP (NJ), L.P., our former investment adviser, except for the following material distinctions in the fee terms:</w:t>
      </w:r>
    </w:p>
    <w:p>
      <w:pPr>
        <w:spacing w:after="0" w:line="87" w:lineRule="exact"/>
        <w:rPr>
          <w:sz w:val="20"/>
          <w:szCs w:val="20"/>
          <w:color w:val="auto"/>
        </w:rPr>
      </w:pPr>
    </w:p>
    <w:p>
      <w:pPr>
        <w:ind w:left="1460" w:hanging="547"/>
        <w:spacing w:after="0" w:line="293" w:lineRule="auto"/>
        <w:tabs>
          <w:tab w:leader="none" w:pos="14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The capital gains portion of the incentive fee was reset with respect to gains and losses from May 31, 2010, and therefore losses and gains incurred prior to such time will not be taken into account when calculating the capital gains fee payable to Saratoga Investment Advisors and, as a result, Saratoga Investment Advisors will be entitled to 20.0% of net gains that arise after May 31, 2010. In addition, the cost basis for computing realized gains and losses on investments held by us as of May 31, 2010 equal the fair value of such investment as of such date. Under the investment advisory and management agreement with our former investment adviser, GSCP (NJ), L.P., the capital gains fee was calculated from March 21, 2007, and the gains were substantially outweighed by losses.</w:t>
      </w:r>
    </w:p>
    <w:p>
      <w:pPr>
        <w:spacing w:after="0" w:line="70" w:lineRule="exact"/>
        <w:rPr>
          <w:rFonts w:ascii="Arial" w:cs="Arial" w:eastAsia="Arial" w:hAnsi="Arial"/>
          <w:sz w:val="16"/>
          <w:szCs w:val="16"/>
          <w:color w:val="auto"/>
        </w:rPr>
      </w:pPr>
    </w:p>
    <w:p>
      <w:pPr>
        <w:ind w:left="1460" w:right="80" w:hanging="547"/>
        <w:spacing w:after="0" w:line="255"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Under the “catch up” provision, 100.0% of our pre-incentive fee net investment income with respect to that portion of such pre-incentive fee net investment income that exceeds 1.875% (7.5% annualized) but is less than or equal to 2.344% in any fiscal quarter is payable to Saratoga Investment Advisors. This will enable Saratoga Investment Advisors to receive 20.0% of all net investment income as such amount approaches 2.344% in any quarter, and Saratoga Investment Advisors will receive 20.0% of any additional net investment income. Under the investment advisory and management agreement with our former investment adviser, GSCP (NJ), L.P. only received 20.0% of the excess net investment income over 1.875%.</w:t>
      </w:r>
    </w:p>
    <w:p>
      <w:pPr>
        <w:spacing w:after="0" w:line="98" w:lineRule="exact"/>
        <w:rPr>
          <w:rFonts w:ascii="Arial" w:cs="Arial" w:eastAsia="Arial" w:hAnsi="Arial"/>
          <w:sz w:val="18"/>
          <w:szCs w:val="18"/>
          <w:color w:val="auto"/>
        </w:rPr>
      </w:pPr>
    </w:p>
    <w:p>
      <w:pPr>
        <w:ind w:left="1460" w:right="100" w:hanging="547"/>
        <w:spacing w:after="0" w:line="277" w:lineRule="auto"/>
        <w:tabs>
          <w:tab w:leader="none" w:pos="14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We will no longer have deferral rights regarding incentive fees in the event that the distributions to stockholders and change in net assets is less than 7.5% for the preceding four fiscal quarters.</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To the extent that any of our leveraged loans are denominated in a currency other than U.S. dollars, we may enter into currency hedging contracts to reduce our exposure to fluctuations in currency exchange rates. We may also enter into interest rate hedging agreements. Such hedging activities, which will be subject to compliance with applicable legal requirements, may include the use of interest rate caps, futures, options and forward contracts. Costs incurred in entering into or settling such contracts will be borne by 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Corporate Debt Portfolio Overview</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4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At August 31,</w:t>
            </w:r>
          </w:p>
        </w:tc>
        <w:tc>
          <w:tcPr>
            <w:tcW w:w="1440" w:type="dxa"/>
            <w:vAlign w:val="bottom"/>
            <w:gridSpan w:val="3"/>
          </w:tcPr>
          <w:p>
            <w:pPr>
              <w:ind w:left="160"/>
              <w:spacing w:after="0"/>
              <w:rPr>
                <w:sz w:val="20"/>
                <w:szCs w:val="20"/>
                <w:color w:val="auto"/>
              </w:rPr>
            </w:pPr>
            <w:r>
              <w:rPr>
                <w:rFonts w:ascii="Arial" w:cs="Arial" w:eastAsia="Arial" w:hAnsi="Arial"/>
                <w:sz w:val="14"/>
                <w:szCs w:val="14"/>
                <w:b w:val="1"/>
                <w:bCs w:val="1"/>
                <w:color w:val="auto"/>
              </w:rPr>
              <w:t>At February 28,</w:t>
            </w:r>
          </w:p>
        </w:tc>
      </w:tr>
      <w:tr>
        <w:trPr>
          <w:trHeight w:val="171"/>
        </w:trPr>
        <w:tc>
          <w:tcPr>
            <w:tcW w:w="49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93"/>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71"/>
              <w:spacing w:after="0"/>
              <w:rPr>
                <w:sz w:val="20"/>
                <w:szCs w:val="20"/>
                <w:color w:val="auto"/>
              </w:rPr>
            </w:pPr>
            <w:r>
              <w:rPr>
                <w:rFonts w:ascii="Arial" w:cs="Arial" w:eastAsia="Arial" w:hAnsi="Arial"/>
                <w:sz w:val="14"/>
                <w:szCs w:val="14"/>
                <w:b w:val="1"/>
                <w:bCs w:val="1"/>
                <w:color w:val="auto"/>
              </w:rPr>
              <w:t>2014</w:t>
            </w:r>
          </w:p>
        </w:tc>
        <w:tc>
          <w:tcPr>
            <w:tcW w:w="280" w:type="dxa"/>
            <w:vAlign w:val="bottom"/>
          </w:tcPr>
          <w:p>
            <w:pPr>
              <w:spacing w:after="0"/>
              <w:rPr>
                <w:sz w:val="14"/>
                <w:szCs w:val="14"/>
                <w:color w:val="auto"/>
              </w:rPr>
            </w:pPr>
          </w:p>
        </w:tc>
      </w:tr>
      <w:tr>
        <w:trPr>
          <w:trHeight w:val="142"/>
        </w:trPr>
        <w:tc>
          <w:tcPr>
            <w:tcW w:w="49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2"/>
          </w:tcPr>
          <w:p>
            <w:pPr>
              <w:ind w:left="700"/>
              <w:spacing w:after="0" w:line="142" w:lineRule="exact"/>
              <w:rPr>
                <w:sz w:val="20"/>
                <w:szCs w:val="20"/>
                <w:color w:val="auto"/>
              </w:rPr>
            </w:pPr>
            <w:r>
              <w:rPr>
                <w:rFonts w:ascii="Arial" w:cs="Arial" w:eastAsia="Arial" w:hAnsi="Arial"/>
                <w:sz w:val="14"/>
                <w:szCs w:val="14"/>
                <w:b w:val="1"/>
                <w:bCs w:val="1"/>
                <w:color w:val="auto"/>
                <w:w w:val="93"/>
              </w:rPr>
              <w:t>($ in millions)</w:t>
            </w: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Number of investments(1)</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64</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8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Number of portfolio companies(1)</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313"/>
              <w:spacing w:after="0"/>
              <w:rPr>
                <w:sz w:val="20"/>
                <w:szCs w:val="20"/>
                <w:color w:val="auto"/>
              </w:rPr>
            </w:pPr>
            <w:r>
              <w:rPr>
                <w:rFonts w:ascii="Arial" w:cs="Arial" w:eastAsia="Arial" w:hAnsi="Arial"/>
                <w:sz w:val="18"/>
                <w:szCs w:val="18"/>
                <w:color w:val="auto"/>
              </w:rPr>
              <w:t>39</w:t>
            </w:r>
          </w:p>
        </w:tc>
        <w:tc>
          <w:tcPr>
            <w:tcW w:w="3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Average investment size(1)</w:t>
            </w:r>
          </w:p>
        </w:tc>
        <w:tc>
          <w:tcPr>
            <w:tcW w:w="11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3.4</w:t>
            </w: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8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Weighted average maturity(1)</w:t>
            </w: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3.9yrs</w:t>
            </w:r>
          </w:p>
        </w:tc>
        <w:tc>
          <w:tcPr>
            <w:tcW w:w="3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4.3yrs</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Number of industries(1)</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18</w:t>
            </w:r>
          </w:p>
        </w:tc>
        <w:tc>
          <w:tcPr>
            <w:tcW w:w="3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8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Average investment per portfolio company(1)</w:t>
            </w:r>
          </w:p>
        </w:tc>
        <w:tc>
          <w:tcPr>
            <w:tcW w:w="1160" w:type="dxa"/>
            <w:vAlign w:val="bottom"/>
            <w:gridSpan w:val="2"/>
          </w:tcPr>
          <w:p>
            <w:pPr>
              <w:ind w:left="106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313"/>
              <w:spacing w:after="0"/>
              <w:rPr>
                <w:sz w:val="20"/>
                <w:szCs w:val="20"/>
                <w:color w:val="auto"/>
              </w:rPr>
            </w:pPr>
            <w:r>
              <w:rPr>
                <w:rFonts w:ascii="Arial" w:cs="Arial" w:eastAsia="Arial" w:hAnsi="Arial"/>
                <w:sz w:val="18"/>
                <w:szCs w:val="18"/>
                <w:color w:val="auto"/>
              </w:rPr>
              <w:t>5.5</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5.0</w:t>
            </w:r>
          </w:p>
        </w:tc>
        <w:tc>
          <w:tcPr>
            <w:tcW w:w="280" w:type="dxa"/>
            <w:vAlign w:val="bottom"/>
          </w:tcPr>
          <w:p>
            <w:pPr>
              <w:spacing w:after="0"/>
              <w:rPr>
                <w:sz w:val="18"/>
                <w:szCs w:val="18"/>
                <w:color w:val="auto"/>
              </w:rPr>
            </w:pP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Non-performing or delinquent investments(1)</w:t>
            </w:r>
          </w:p>
        </w:tc>
        <w:tc>
          <w:tcPr>
            <w:tcW w:w="11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ind w:right="313"/>
              <w:spacing w:after="0"/>
              <w:rPr>
                <w:sz w:val="20"/>
                <w:szCs w:val="20"/>
                <w:color w:val="auto"/>
              </w:rPr>
            </w:pPr>
            <w:r>
              <w:rPr>
                <w:rFonts w:ascii="Arial" w:cs="Arial" w:eastAsia="Arial" w:hAnsi="Arial"/>
                <w:sz w:val="18"/>
                <w:szCs w:val="18"/>
                <w:color w:val="auto"/>
              </w:rPr>
              <w:t>0.4</w:t>
            </w:r>
          </w:p>
        </w:tc>
        <w:tc>
          <w:tcPr>
            <w:tcW w:w="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Fixed rate debt (% of interest bearing portfolio)(2)</w:t>
            </w:r>
          </w:p>
        </w:tc>
        <w:tc>
          <w:tcPr>
            <w:tcW w:w="1160" w:type="dxa"/>
            <w:vAlign w:val="bottom"/>
            <w:gridSpan w:val="2"/>
          </w:tcPr>
          <w:p>
            <w:pPr>
              <w:ind w:left="106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w w:val="99"/>
              </w:rPr>
              <w:t>76.6(37.8)%</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70.6(40.1)%</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current coupon(2)</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13.0%</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w:t>
            </w:r>
          </w:p>
        </w:tc>
      </w:tr>
      <w:tr>
        <w:trPr>
          <w:trHeight w:val="216"/>
        </w:trPr>
        <w:tc>
          <w:tcPr>
            <w:tcW w:w="4900" w:type="dxa"/>
            <w:vAlign w:val="bottom"/>
          </w:tcPr>
          <w:p>
            <w:pPr>
              <w:spacing w:after="0"/>
              <w:rPr>
                <w:sz w:val="20"/>
                <w:szCs w:val="20"/>
                <w:color w:val="auto"/>
              </w:rPr>
            </w:pPr>
            <w:r>
              <w:rPr>
                <w:rFonts w:ascii="Arial" w:cs="Arial" w:eastAsia="Arial" w:hAnsi="Arial"/>
                <w:sz w:val="18"/>
                <w:szCs w:val="18"/>
                <w:color w:val="auto"/>
              </w:rPr>
              <w:t>Floating rate debt (% of interest bearing portfolio)(2)</w:t>
            </w:r>
          </w:p>
        </w:tc>
        <w:tc>
          <w:tcPr>
            <w:tcW w:w="1160" w:type="dxa"/>
            <w:vAlign w:val="bottom"/>
            <w:gridSpan w:val="2"/>
          </w:tcPr>
          <w:p>
            <w:pPr>
              <w:ind w:left="106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93"/>
              <w:spacing w:after="0"/>
              <w:rPr>
                <w:sz w:val="20"/>
                <w:szCs w:val="20"/>
                <w:color w:val="auto"/>
              </w:rPr>
            </w:pPr>
            <w:r>
              <w:rPr>
                <w:rFonts w:ascii="Arial" w:cs="Arial" w:eastAsia="Arial" w:hAnsi="Arial"/>
                <w:sz w:val="18"/>
                <w:szCs w:val="18"/>
                <w:color w:val="auto"/>
                <w:w w:val="90"/>
              </w:rPr>
              <w:t>126.0(62.2)%</w:t>
            </w:r>
          </w:p>
        </w:tc>
        <w:tc>
          <w:tcPr>
            <w:tcW w:w="380" w:type="dxa"/>
            <w:vAlign w:val="bottom"/>
          </w:tcPr>
          <w:p>
            <w:pPr>
              <w:ind w:left="1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80"/>
              <w:spacing w:after="0"/>
              <w:rPr>
                <w:sz w:val="20"/>
                <w:szCs w:val="20"/>
                <w:color w:val="auto"/>
              </w:rPr>
            </w:pPr>
            <w:r>
              <w:rPr>
                <w:rFonts w:ascii="Arial" w:cs="Arial" w:eastAsia="Arial" w:hAnsi="Arial"/>
                <w:sz w:val="18"/>
                <w:szCs w:val="18"/>
                <w:color w:val="auto"/>
                <w:w w:val="88"/>
              </w:rPr>
              <w:t>105.4(59.9)%</w:t>
            </w:r>
          </w:p>
        </w:tc>
      </w:tr>
      <w:tr>
        <w:trPr>
          <w:trHeight w:val="216"/>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current spread over LIBOR(2)</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53"/>
              <w:spacing w:after="0"/>
              <w:rPr>
                <w:sz w:val="20"/>
                <w:szCs w:val="20"/>
                <w:color w:val="auto"/>
              </w:rPr>
            </w:pPr>
            <w:r>
              <w:rPr>
                <w:rFonts w:ascii="Arial" w:cs="Arial" w:eastAsia="Arial" w:hAnsi="Arial"/>
                <w:sz w:val="18"/>
                <w:szCs w:val="18"/>
                <w:color w:val="auto"/>
              </w:rPr>
              <w:t>8.5%</w:t>
            </w:r>
          </w:p>
        </w:tc>
        <w:tc>
          <w:tcPr>
            <w:tcW w:w="3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Excludes our investment in the subordinated notes of Saratoga CLO.</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Excludes our investment in the subordinated notes of Saratoga CLO and investments in common stocks.</w:t>
      </w:r>
    </w:p>
    <w:p>
      <w:pPr>
        <w:spacing w:after="0" w:line="211"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color w:val="auto"/>
        </w:rPr>
        <w:t>During the three months ended August 31, 2014, we made $31.8 million investments in new or existing portfolio companies and had $15.7 million in aggregate amount of exits and repayments resulting in net investments of $16.1 million for the period. During the three months ended August 31, 2013, we made $54.9 million investments in the new or existing portfolio companies and had $29.6 million in aggregate amount of exits and repayments resulting in net investments of $25.3 million for the period.</w:t>
      </w:r>
    </w:p>
    <w:p>
      <w:pPr>
        <w:spacing w:after="0" w:line="187" w:lineRule="exact"/>
        <w:rPr>
          <w:sz w:val="20"/>
          <w:szCs w:val="20"/>
          <w:color w:val="auto"/>
        </w:rPr>
      </w:pPr>
    </w:p>
    <w:p>
      <w:pPr>
        <w:ind w:right="40" w:firstLine="913"/>
        <w:spacing w:after="0" w:line="259" w:lineRule="auto"/>
        <w:rPr>
          <w:sz w:val="20"/>
          <w:szCs w:val="20"/>
          <w:color w:val="auto"/>
        </w:rPr>
      </w:pPr>
      <w:r>
        <w:rPr>
          <w:rFonts w:ascii="Arial" w:cs="Arial" w:eastAsia="Arial" w:hAnsi="Arial"/>
          <w:sz w:val="18"/>
          <w:szCs w:val="18"/>
          <w:color w:val="auto"/>
        </w:rPr>
        <w:t>During the six months ended August 31, 2014, we made $53.3 million investments in new or existing portfolio companies and had $24.4 million in aggregate amount of exits and repayments resulting in net investments of $28.9 million for the period. During the six months ended August 31, 2013, we made $87.9 million investments in new or existing portfolio companies and had $54.9 million in aggregate amount of exits and repayments resulting in net investments of $33.0 million for the period.</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portfolio composition based on fair value at August 31, 2014 and February 28, 2014 was as follows: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i w:val="1"/>
          <w:iCs w:val="1"/>
          <w:color w:val="auto"/>
        </w:rPr>
        <w:t>Portfolio composition</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260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At August 31, 2014</w:t>
            </w:r>
          </w:p>
        </w:tc>
        <w:tc>
          <w:tcPr>
            <w:tcW w:w="21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rPr>
              <w:t>At February 28, 2014</w:t>
            </w:r>
          </w:p>
        </w:tc>
        <w:tc>
          <w:tcPr>
            <w:tcW w:w="0" w:type="dxa"/>
            <w:vAlign w:val="bottom"/>
          </w:tcPr>
          <w:p>
            <w:pPr>
              <w:spacing w:after="0"/>
              <w:rPr>
                <w:sz w:val="1"/>
                <w:szCs w:val="1"/>
                <w:color w:val="auto"/>
              </w:rPr>
            </w:pPr>
          </w:p>
        </w:tc>
      </w:tr>
      <w:tr>
        <w:trPr>
          <w:trHeight w:val="119"/>
        </w:trPr>
        <w:tc>
          <w:tcPr>
            <w:tcW w:w="5740" w:type="dxa"/>
            <w:vAlign w:val="bottom"/>
          </w:tcPr>
          <w:p>
            <w:pPr>
              <w:spacing w:after="0"/>
              <w:rPr>
                <w:sz w:val="10"/>
                <w:szCs w:val="10"/>
                <w:color w:val="auto"/>
              </w:rPr>
            </w:pPr>
          </w:p>
        </w:tc>
        <w:tc>
          <w:tcPr>
            <w:tcW w:w="1340" w:type="dxa"/>
            <w:vAlign w:val="bottom"/>
            <w:tcBorders>
              <w:top w:val="single" w:sz="8" w:color="auto"/>
            </w:tcBorders>
            <w:gridSpan w:val="2"/>
            <w:vMerge w:val="restart"/>
          </w:tcPr>
          <w:p>
            <w:pPr>
              <w:jc w:val="center"/>
              <w:ind w:right="660"/>
              <w:spacing w:after="0"/>
              <w:rPr>
                <w:sz w:val="20"/>
                <w:szCs w:val="20"/>
                <w:color w:val="auto"/>
              </w:rPr>
            </w:pPr>
            <w:r>
              <w:rPr>
                <w:rFonts w:ascii="Arial" w:cs="Arial" w:eastAsia="Arial" w:hAnsi="Arial"/>
                <w:sz w:val="14"/>
                <w:szCs w:val="14"/>
                <w:b w:val="1"/>
                <w:bCs w:val="1"/>
                <w:color w:val="auto"/>
                <w:w w:val="90"/>
              </w:rPr>
              <w:t>Percentage</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660" w:type="dxa"/>
            <w:vAlign w:val="bottom"/>
          </w:tcPr>
          <w:p>
            <w:pPr>
              <w:spacing w:after="0"/>
              <w:rPr>
                <w:sz w:val="10"/>
                <w:szCs w:val="10"/>
                <w:color w:val="auto"/>
              </w:rPr>
            </w:pPr>
          </w:p>
        </w:tc>
        <w:tc>
          <w:tcPr>
            <w:tcW w:w="1360" w:type="dxa"/>
            <w:vAlign w:val="bottom"/>
            <w:tcBorders>
              <w:top w:val="single" w:sz="8" w:color="auto"/>
            </w:tcBorders>
            <w:gridSpan w:val="2"/>
            <w:vMerge w:val="restart"/>
          </w:tcPr>
          <w:p>
            <w:pPr>
              <w:jc w:val="center"/>
              <w:ind w:right="680"/>
              <w:spacing w:after="0"/>
              <w:rPr>
                <w:sz w:val="20"/>
                <w:szCs w:val="20"/>
                <w:color w:val="auto"/>
              </w:rPr>
            </w:pPr>
            <w:r>
              <w:rPr>
                <w:rFonts w:ascii="Arial" w:cs="Arial" w:eastAsia="Arial" w:hAnsi="Arial"/>
                <w:sz w:val="14"/>
                <w:szCs w:val="14"/>
                <w:b w:val="1"/>
                <w:bCs w:val="1"/>
                <w:color w:val="auto"/>
                <w:w w:val="90"/>
              </w:rPr>
              <w:t>Percentage</w:t>
            </w:r>
          </w:p>
        </w:tc>
        <w:tc>
          <w:tcPr>
            <w:tcW w:w="6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rPr>
              <w:t>Weighted</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2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Average</w:t>
            </w:r>
          </w:p>
        </w:tc>
        <w:tc>
          <w:tcPr>
            <w:tcW w:w="1360" w:type="dxa"/>
            <w:vAlign w:val="bottom"/>
            <w:gridSpan w:val="2"/>
            <w:vMerge w:val="continue"/>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740" w:type="dxa"/>
            <w:vAlign w:val="bottom"/>
          </w:tcPr>
          <w:p>
            <w:pPr>
              <w:spacing w:after="0"/>
              <w:rPr>
                <w:sz w:val="12"/>
                <w:szCs w:val="12"/>
                <w:color w:val="auto"/>
              </w:rPr>
            </w:pPr>
          </w:p>
        </w:tc>
        <w:tc>
          <w:tcPr>
            <w:tcW w:w="13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4"/>
              </w:rPr>
              <w:t>of Total</w:t>
            </w:r>
          </w:p>
        </w:tc>
        <w:tc>
          <w:tcPr>
            <w:tcW w:w="1260" w:type="dxa"/>
            <w:vAlign w:val="bottom"/>
            <w:gridSpan w:val="2"/>
          </w:tcPr>
          <w:p>
            <w:pPr>
              <w:jc w:val="center"/>
              <w:ind w:right="640"/>
              <w:spacing w:after="0" w:line="149" w:lineRule="exact"/>
              <w:rPr>
                <w:sz w:val="20"/>
                <w:szCs w:val="20"/>
                <w:color w:val="auto"/>
              </w:rPr>
            </w:pPr>
            <w:r>
              <w:rPr>
                <w:rFonts w:ascii="Arial" w:cs="Arial" w:eastAsia="Arial" w:hAnsi="Arial"/>
                <w:sz w:val="14"/>
                <w:szCs w:val="14"/>
                <w:b w:val="1"/>
                <w:bCs w:val="1"/>
                <w:color w:val="auto"/>
                <w:w w:val="98"/>
              </w:rPr>
              <w:t>Current</w:t>
            </w:r>
          </w:p>
        </w:tc>
        <w:tc>
          <w:tcPr>
            <w:tcW w:w="13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4"/>
              </w:rPr>
              <w:t>of Total</w:t>
            </w:r>
          </w:p>
        </w:tc>
        <w:tc>
          <w:tcPr>
            <w:tcW w:w="8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8"/>
              </w:rPr>
              <w:t>Current</w:t>
            </w:r>
          </w:p>
        </w:tc>
        <w:tc>
          <w:tcPr>
            <w:tcW w:w="0" w:type="dxa"/>
            <w:vAlign w:val="bottom"/>
          </w:tcPr>
          <w:p>
            <w:pPr>
              <w:spacing w:after="0"/>
              <w:rPr>
                <w:sz w:val="1"/>
                <w:szCs w:val="1"/>
                <w:color w:val="auto"/>
              </w:rPr>
            </w:pPr>
          </w:p>
        </w:tc>
      </w:tr>
      <w:tr>
        <w:trPr>
          <w:trHeight w:val="171"/>
        </w:trPr>
        <w:tc>
          <w:tcPr>
            <w:tcW w:w="574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66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6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Portfolio</w:t>
            </w:r>
          </w:p>
        </w:tc>
        <w:tc>
          <w:tcPr>
            <w:tcW w:w="6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Yield</w:t>
            </w:r>
          </w:p>
        </w:tc>
        <w:tc>
          <w:tcPr>
            <w:tcW w:w="2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Middle market loans</w:t>
            </w:r>
          </w:p>
        </w:tc>
        <w:tc>
          <w:tcPr>
            <w:tcW w:w="13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11.3%</w:t>
            </w:r>
          </w:p>
        </w:tc>
        <w:tc>
          <w:tcPr>
            <w:tcW w:w="12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6.5%</w:t>
            </w:r>
          </w:p>
        </w:tc>
        <w:tc>
          <w:tcPr>
            <w:tcW w:w="13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15.7%</w:t>
            </w:r>
          </w:p>
        </w:tc>
        <w:tc>
          <w:tcPr>
            <w:tcW w:w="8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First lien term loans</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48.9</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11.0</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39.0</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134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12.4</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11.5</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13.5</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Senior secured notes</w:t>
            </w:r>
          </w:p>
        </w:tc>
        <w:tc>
          <w:tcPr>
            <w:tcW w:w="1340" w:type="dxa"/>
            <w:vAlign w:val="bottom"/>
            <w:gridSpan w:val="2"/>
          </w:tcPr>
          <w:p>
            <w:pPr>
              <w:jc w:val="right"/>
              <w:ind w:right="660"/>
              <w:spacing w:after="0"/>
              <w:rPr>
                <w:sz w:val="20"/>
                <w:szCs w:val="20"/>
                <w:color w:val="auto"/>
              </w:rPr>
            </w:pPr>
            <w:r>
              <w:rPr>
                <w:rFonts w:ascii="Arial" w:cs="Arial" w:eastAsia="Arial" w:hAnsi="Arial"/>
                <w:sz w:val="18"/>
                <w:szCs w:val="18"/>
                <w:color w:val="auto"/>
              </w:rPr>
              <w:t>10.6</w:t>
            </w: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14.7</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14.6</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14.2</w:t>
            </w: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Saratoga CLO subordinated notes</w:t>
            </w:r>
          </w:p>
        </w:tc>
        <w:tc>
          <w:tcPr>
            <w:tcW w:w="680" w:type="dxa"/>
            <w:vAlign w:val="bottom"/>
          </w:tcPr>
          <w:p>
            <w:pPr>
              <w:jc w:val="right"/>
              <w:spacing w:after="0"/>
              <w:rPr>
                <w:sz w:val="20"/>
                <w:szCs w:val="20"/>
                <w:color w:val="auto"/>
              </w:rPr>
            </w:pPr>
            <w:r>
              <w:rPr>
                <w:rFonts w:ascii="Arial" w:cs="Arial" w:eastAsia="Arial" w:hAnsi="Arial"/>
                <w:sz w:val="18"/>
                <w:szCs w:val="18"/>
                <w:color w:val="auto"/>
              </w:rPr>
              <w:t>8.5</w:t>
            </w:r>
          </w:p>
        </w:tc>
        <w:tc>
          <w:tcPr>
            <w:tcW w:w="66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23.9</w:t>
            </w:r>
          </w:p>
        </w:tc>
        <w:tc>
          <w:tcPr>
            <w:tcW w:w="1360" w:type="dxa"/>
            <w:vAlign w:val="bottom"/>
            <w:gridSpan w:val="2"/>
          </w:tcPr>
          <w:p>
            <w:pPr>
              <w:jc w:val="right"/>
              <w:ind w:right="680"/>
              <w:spacing w:after="0"/>
              <w:rPr>
                <w:sz w:val="20"/>
                <w:szCs w:val="20"/>
                <w:color w:val="auto"/>
              </w:rPr>
            </w:pPr>
            <w:r>
              <w:rPr>
                <w:rFonts w:ascii="Arial" w:cs="Arial" w:eastAsia="Arial" w:hAnsi="Arial"/>
                <w:sz w:val="18"/>
                <w:szCs w:val="18"/>
                <w:color w:val="auto"/>
              </w:rPr>
              <w:t>9.5</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interests</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6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5.0</w:t>
            </w: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40" w:type="dxa"/>
            <w:vAlign w:val="bottom"/>
            <w:vMerge w:val="continue"/>
          </w:tcPr>
          <w:p>
            <w:pPr>
              <w:spacing w:after="0"/>
              <w:rPr>
                <w:sz w:val="19"/>
                <w:szCs w:val="19"/>
                <w:color w:val="auto"/>
              </w:rPr>
            </w:pPr>
          </w:p>
        </w:tc>
        <w:tc>
          <w:tcPr>
            <w:tcW w:w="1340" w:type="dxa"/>
            <w:vAlign w:val="bottom"/>
            <w:gridSpan w:val="2"/>
          </w:tcPr>
          <w:p>
            <w:pPr>
              <w:jc w:val="right"/>
              <w:ind w:right="500"/>
              <w:spacing w:after="0"/>
              <w:rPr>
                <w:sz w:val="20"/>
                <w:szCs w:val="20"/>
                <w:color w:val="auto"/>
              </w:rPr>
            </w:pPr>
            <w:r>
              <w:rPr>
                <w:rFonts w:ascii="Arial" w:cs="Arial" w:eastAsia="Arial" w:hAnsi="Arial"/>
                <w:sz w:val="18"/>
                <w:szCs w:val="18"/>
                <w:color w:val="auto"/>
              </w:rPr>
              <w:t>100.0%</w:t>
            </w:r>
          </w:p>
        </w:tc>
        <w:tc>
          <w:tcPr>
            <w:tcW w:w="1260" w:type="dxa"/>
            <w:vAlign w:val="bottom"/>
            <w:gridSpan w:val="2"/>
          </w:tcPr>
          <w:p>
            <w:pPr>
              <w:jc w:val="right"/>
              <w:ind w:right="520"/>
              <w:spacing w:after="0"/>
              <w:rPr>
                <w:sz w:val="20"/>
                <w:szCs w:val="20"/>
                <w:color w:val="auto"/>
              </w:rPr>
            </w:pPr>
            <w:r>
              <w:rPr>
                <w:rFonts w:ascii="Arial" w:cs="Arial" w:eastAsia="Arial" w:hAnsi="Arial"/>
                <w:sz w:val="18"/>
                <w:szCs w:val="18"/>
                <w:color w:val="auto"/>
              </w:rPr>
              <w:t>12.2%</w:t>
            </w:r>
          </w:p>
        </w:tc>
        <w:tc>
          <w:tcPr>
            <w:tcW w:w="1360" w:type="dxa"/>
            <w:vAlign w:val="bottom"/>
            <w:gridSpan w:val="2"/>
          </w:tcPr>
          <w:p>
            <w:pPr>
              <w:jc w:val="right"/>
              <w:ind w:right="520"/>
              <w:spacing w:after="0"/>
              <w:rPr>
                <w:sz w:val="20"/>
                <w:szCs w:val="20"/>
                <w:color w:val="auto"/>
              </w:rPr>
            </w:pPr>
            <w:r>
              <w:rPr>
                <w:rFonts w:ascii="Arial" w:cs="Arial" w:eastAsia="Arial" w:hAnsi="Arial"/>
                <w:sz w:val="18"/>
                <w:szCs w:val="18"/>
                <w:color w:val="auto"/>
              </w:rPr>
              <w:t>100.0%</w:t>
            </w: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913"/>
        <w:spacing w:after="0" w:line="270" w:lineRule="auto"/>
        <w:rPr>
          <w:sz w:val="20"/>
          <w:szCs w:val="20"/>
          <w:color w:val="auto"/>
        </w:rPr>
      </w:pPr>
      <w:r>
        <w:rPr>
          <w:rFonts w:ascii="Arial" w:cs="Arial" w:eastAsia="Arial" w:hAnsi="Arial"/>
          <w:sz w:val="17"/>
          <w:szCs w:val="17"/>
          <w:color w:val="auto"/>
        </w:rPr>
        <w:t>Our investment in the subordinated notes of Saratoga CLO represents a first loss position in a portfolio that, at August 31, 2014 and February 28, 2014, was composed of $304.4 million and $301.3 million, respectively, in aggregate principal amount of predominantly senior secured first lien term loans. This investment is subject to unique risks. (See “Risk Factors—Our investment in Saratoga CLO 2013-1 Ltd. constitutes a leveraged investment in a portfolio of predominantly senior secured first lien term loans and is subject to additional risks and volatility” in our Annual Report on Form 10-K for the fiscal year ended February 28, 2014.). We do not consolidate the Saratoga CLO portfolio in our financial statements. Accordingly, the metrics below do not include the underlying Saratoga CLO portfolio investments. However, at August 31, 2014, $297.6 million or 98.9% of the Saratoga CLO portfolio investments in terms of market value had a CMR (as defined below) color rating of green or yellow and no Saratoga CLO portfolio investments were in default. At February 28, 2014, $298.9 million or 99.5% of the Saratoga CLO portfolio investments in terms of market value had a CMR color rating of green or yellow and no Saratoga CLO portfolio investments were in default.</w:t>
      </w:r>
    </w:p>
    <w:p>
      <w:pPr>
        <w:sectPr>
          <w:pgSz w:w="11900" w:h="16838" w:orient="portrait"/>
          <w:cols w:equalWidth="0" w:num="1">
            <w:col w:w="11380"/>
          </w:cols>
          <w:pgMar w:left="240" w:top="459" w:right="279" w:bottom="1440" w:gutter="0" w:footer="0" w:header="0"/>
        </w:sectPr>
      </w:pP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44</w:t>
      </w:r>
    </w:p>
    <w:p>
      <w:pPr>
        <w:sectPr>
          <w:pgSz w:w="11900" w:h="16838" w:orient="portrait"/>
          <w:cols w:equalWidth="0" w:num="1">
            <w:col w:w="11380"/>
          </w:cols>
          <w:pgMar w:left="240" w:top="459" w:right="279" w:bottom="1440" w:gutter="0" w:footer="0" w:header="0"/>
          <w:type w:val="continuous"/>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Saratoga Investment Advisors normally grades all of our investments using a credit and monitoring rating system (“CMR”). The CMR consists of a single component: a color rating. The color rating is based on several criteria, including financial and operating strength, probability of default, and restructuring risk. The color ratings are characterized as follows: (Green)—strong credit; (Yellow)—satisfactory credit; (Red)—payment default risk, in payment default and/or significant restructuring activity.</w:t>
      </w:r>
    </w:p>
    <w:p>
      <w:pPr>
        <w:spacing w:after="0" w:line="29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CMR distribution of our investments at August 31, 2014 and February 28, 2014 was as follows:</w:t>
      </w:r>
    </w:p>
    <w:p>
      <w:pPr>
        <w:spacing w:after="0" w:line="22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i w:val="1"/>
          <w:iCs w:val="1"/>
          <w:color w:val="auto"/>
        </w:rPr>
        <w:t>Portfolio CMR distribution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23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At August 31, 2014</w:t>
            </w:r>
          </w:p>
        </w:tc>
        <w:tc>
          <w:tcPr>
            <w:tcW w:w="240" w:type="dxa"/>
            <w:vAlign w:val="bottom"/>
          </w:tcPr>
          <w:p>
            <w:pPr>
              <w:spacing w:after="0"/>
              <w:rPr>
                <w:sz w:val="14"/>
                <w:szCs w:val="14"/>
                <w:color w:val="auto"/>
              </w:rPr>
            </w:pPr>
          </w:p>
        </w:tc>
        <w:tc>
          <w:tcPr>
            <w:tcW w:w="21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At February 28, 2014</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280" w:type="dxa"/>
            <w:vAlign w:val="bottom"/>
            <w:tcBorders>
              <w:top w:val="single" w:sz="8" w:color="auto"/>
            </w:tcBorders>
            <w:gridSpan w:val="2"/>
            <w:vMerge w:val="restart"/>
          </w:tcPr>
          <w:p>
            <w:pPr>
              <w:jc w:val="center"/>
              <w:ind w:right="540"/>
              <w:spacing w:after="0"/>
              <w:rPr>
                <w:sz w:val="20"/>
                <w:szCs w:val="20"/>
                <w:color w:val="auto"/>
              </w:rPr>
            </w:pPr>
            <w:r>
              <w:rPr>
                <w:rFonts w:ascii="Arial" w:cs="Arial" w:eastAsia="Arial" w:hAnsi="Arial"/>
                <w:sz w:val="14"/>
                <w:szCs w:val="14"/>
                <w:b w:val="1"/>
                <w:bCs w:val="1"/>
                <w:color w:val="auto"/>
                <w:w w:val="90"/>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0"/>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180" w:type="dxa"/>
            <w:vAlign w:val="bottom"/>
            <w:gridSpan w:val="4"/>
            <w:vMerge w:val="restart"/>
          </w:tcPr>
          <w:p>
            <w:pPr>
              <w:ind w:left="460"/>
              <w:spacing w:after="0"/>
              <w:rPr>
                <w:sz w:val="20"/>
                <w:szCs w:val="20"/>
                <w:color w:val="auto"/>
              </w:rPr>
            </w:pPr>
            <w:r>
              <w:rPr>
                <w:rFonts w:ascii="Arial" w:cs="Arial" w:eastAsia="Arial" w:hAnsi="Arial"/>
                <w:sz w:val="14"/>
                <w:szCs w:val="14"/>
                <w:b w:val="1"/>
                <w:bCs w:val="1"/>
                <w:color w:val="auto"/>
              </w:rPr>
              <w:t>Color</w:t>
            </w:r>
          </w:p>
        </w:tc>
        <w:tc>
          <w:tcPr>
            <w:tcW w:w="1280" w:type="dxa"/>
            <w:vAlign w:val="bottom"/>
            <w:gridSpan w:val="2"/>
            <w:vMerge w:val="continue"/>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4"/>
        </w:trPr>
        <w:tc>
          <w:tcPr>
            <w:tcW w:w="6180" w:type="dxa"/>
            <w:vAlign w:val="bottom"/>
            <w:gridSpan w:val="4"/>
            <w:vMerge w:val="continue"/>
          </w:tcPr>
          <w:p>
            <w:pPr>
              <w:spacing w:after="0"/>
              <w:rPr>
                <w:sz w:val="12"/>
                <w:szCs w:val="12"/>
                <w:color w:val="auto"/>
              </w:rPr>
            </w:pPr>
          </w:p>
        </w:tc>
        <w:tc>
          <w:tcPr>
            <w:tcW w:w="1280" w:type="dxa"/>
            <w:vAlign w:val="bottom"/>
            <w:gridSpan w:val="2"/>
          </w:tcPr>
          <w:p>
            <w:pPr>
              <w:jc w:val="center"/>
              <w:ind w:right="520"/>
              <w:spacing w:after="0" w:line="145" w:lineRule="exact"/>
              <w:rPr>
                <w:sz w:val="20"/>
                <w:szCs w:val="20"/>
                <w:color w:val="auto"/>
              </w:rPr>
            </w:pPr>
            <w:r>
              <w:rPr>
                <w:rFonts w:ascii="Arial" w:cs="Arial" w:eastAsia="Arial" w:hAnsi="Arial"/>
                <w:sz w:val="14"/>
                <w:szCs w:val="14"/>
                <w:b w:val="1"/>
                <w:bCs w:val="1"/>
                <w:color w:val="auto"/>
                <w:w w:val="96"/>
              </w:rPr>
              <w:t>at</w:t>
            </w:r>
          </w:p>
        </w:tc>
        <w:tc>
          <w:tcPr>
            <w:tcW w:w="10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12"/>
                <w:szCs w:val="12"/>
                <w:color w:val="auto"/>
              </w:rPr>
            </w:pPr>
          </w:p>
        </w:tc>
        <w:tc>
          <w:tcPr>
            <w:tcW w:w="1280" w:type="dxa"/>
            <w:vAlign w:val="bottom"/>
            <w:gridSpan w:val="2"/>
          </w:tcPr>
          <w:p>
            <w:pPr>
              <w:jc w:val="center"/>
              <w:ind w:right="520"/>
              <w:spacing w:after="0" w:line="145" w:lineRule="exact"/>
              <w:rPr>
                <w:sz w:val="20"/>
                <w:szCs w:val="20"/>
                <w:color w:val="auto"/>
              </w:rPr>
            </w:pPr>
            <w:r>
              <w:rPr>
                <w:rFonts w:ascii="Arial" w:cs="Arial" w:eastAsia="Arial" w:hAnsi="Arial"/>
                <w:sz w:val="14"/>
                <w:szCs w:val="14"/>
                <w:b w:val="1"/>
                <w:bCs w:val="1"/>
                <w:color w:val="auto"/>
                <w:w w:val="96"/>
              </w:rPr>
              <w:t>at</w:t>
            </w:r>
          </w:p>
        </w:tc>
        <w:tc>
          <w:tcPr>
            <w:tcW w:w="9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180" w:type="dxa"/>
            <w:vAlign w:val="bottom"/>
            <w:gridSpan w:val="4"/>
          </w:tcPr>
          <w:p>
            <w:pPr>
              <w:ind w:left="460"/>
              <w:spacing w:after="0" w:line="129" w:lineRule="exact"/>
              <w:rPr>
                <w:sz w:val="20"/>
                <w:szCs w:val="20"/>
                <w:color w:val="auto"/>
              </w:rPr>
            </w:pPr>
            <w:r>
              <w:rPr>
                <w:rFonts w:ascii="Arial" w:cs="Arial" w:eastAsia="Arial" w:hAnsi="Arial"/>
                <w:sz w:val="14"/>
                <w:szCs w:val="14"/>
                <w:b w:val="1"/>
                <w:bCs w:val="1"/>
                <w:color w:val="auto"/>
              </w:rPr>
              <w:t>Score</w:t>
            </w:r>
          </w:p>
        </w:tc>
        <w:tc>
          <w:tcPr>
            <w:tcW w:w="128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95"/>
              </w:rPr>
              <w:t>Fair Value</w:t>
            </w:r>
          </w:p>
        </w:tc>
        <w:tc>
          <w:tcPr>
            <w:tcW w:w="108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3"/>
              </w:rPr>
              <w:t>Portfolio</w:t>
            </w:r>
          </w:p>
        </w:tc>
        <w:tc>
          <w:tcPr>
            <w:tcW w:w="240" w:type="dxa"/>
            <w:vAlign w:val="bottom"/>
          </w:tcPr>
          <w:p>
            <w:pPr>
              <w:spacing w:after="0"/>
              <w:rPr>
                <w:sz w:val="12"/>
                <w:szCs w:val="12"/>
                <w:color w:val="auto"/>
              </w:rPr>
            </w:pPr>
          </w:p>
        </w:tc>
        <w:tc>
          <w:tcPr>
            <w:tcW w:w="128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gridSpan w:val="5"/>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0" w:type="dxa"/>
            <w:vAlign w:val="bottom"/>
            <w:gridSpan w:val="5"/>
          </w:tcPr>
          <w:p>
            <w:pPr>
              <w:jc w:val="right"/>
              <w:ind w:right="1100"/>
              <w:spacing w:after="0" w:line="129"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Green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$ 179,293</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75.9%</w:t>
            </w: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$ 159,207</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Yellow</w:t>
            </w: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15,531</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6.6</w:t>
            </w: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8,466</w:t>
            </w:r>
          </w:p>
        </w:tc>
        <w:tc>
          <w:tcPr>
            <w:tcW w:w="700" w:type="dxa"/>
            <w:vAlign w:val="bottom"/>
          </w:tcPr>
          <w:p>
            <w:pPr>
              <w:jc w:val="right"/>
              <w:spacing w:after="0"/>
              <w:rPr>
                <w:sz w:val="20"/>
                <w:szCs w:val="20"/>
                <w:color w:val="auto"/>
              </w:rPr>
            </w:pPr>
            <w:r>
              <w:rPr>
                <w:rFonts w:ascii="Arial" w:cs="Arial" w:eastAsia="Arial" w:hAnsi="Arial"/>
                <w:sz w:val="18"/>
                <w:szCs w:val="18"/>
                <w:color w:val="auto"/>
              </w:rPr>
              <w:t>4.1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7,785</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3.3</w:t>
            </w: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8,270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gridSpan w:val="3"/>
          </w:tcPr>
          <w:p>
            <w:pPr>
              <w:spacing w:after="0"/>
              <w:rPr>
                <w:sz w:val="20"/>
                <w:szCs w:val="20"/>
                <w:color w:val="auto"/>
              </w:rPr>
            </w:pPr>
            <w:r>
              <w:rPr>
                <w:rFonts w:ascii="Arial" w:cs="Arial" w:eastAsia="Arial" w:hAnsi="Arial"/>
                <w:sz w:val="18"/>
                <w:szCs w:val="18"/>
                <w:color w:val="auto"/>
              </w:rPr>
              <w:t>N/A(1)</w:t>
            </w:r>
          </w:p>
        </w:tc>
        <w:tc>
          <w:tcPr>
            <w:tcW w:w="760" w:type="dxa"/>
            <w:vAlign w:val="bottom"/>
          </w:tcPr>
          <w:p>
            <w:pPr>
              <w:jc w:val="right"/>
              <w:spacing w:after="0"/>
              <w:rPr>
                <w:sz w:val="20"/>
                <w:szCs w:val="20"/>
                <w:color w:val="auto"/>
              </w:rPr>
            </w:pPr>
            <w:r>
              <w:rPr>
                <w:rFonts w:ascii="Arial" w:cs="Arial" w:eastAsia="Arial" w:hAnsi="Arial"/>
                <w:sz w:val="18"/>
                <w:szCs w:val="18"/>
                <w:color w:val="auto"/>
              </w:rPr>
              <w:t>33,711</w:t>
            </w:r>
          </w:p>
        </w:tc>
        <w:tc>
          <w:tcPr>
            <w:tcW w:w="5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14.2</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color w:val="auto"/>
              </w:rPr>
              <w:t>29,902</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14.5</w:t>
            </w: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360" w:type="dxa"/>
            <w:vAlign w:val="bottom"/>
          </w:tcPr>
          <w:p>
            <w:pPr>
              <w:spacing w:after="0"/>
              <w:rPr>
                <w:sz w:val="2"/>
                <w:szCs w:val="2"/>
                <w:color w:val="auto"/>
              </w:rPr>
            </w:pPr>
          </w:p>
        </w:tc>
        <w:tc>
          <w:tcPr>
            <w:tcW w:w="340" w:type="dxa"/>
            <w:vAlign w:val="bottom"/>
          </w:tcPr>
          <w:p>
            <w:pPr>
              <w:spacing w:after="0"/>
              <w:rPr>
                <w:sz w:val="2"/>
                <w:szCs w:val="2"/>
                <w:color w:val="auto"/>
              </w:rPr>
            </w:pPr>
          </w:p>
        </w:tc>
        <w:tc>
          <w:tcPr>
            <w:tcW w:w="502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5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$ 236,320</w:t>
            </w:r>
          </w:p>
        </w:tc>
        <w:tc>
          <w:tcPr>
            <w:tcW w:w="5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$ 205,845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50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20" w:right="4060" w:hanging="5612"/>
        <w:spacing w:after="0" w:line="449" w:lineRule="auto"/>
        <w:tabs>
          <w:tab w:leader="none" w:pos="45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Comprised of our investment in the subordinated notes of Saratoga CLO and equity interests. 45</w:t>
      </w:r>
    </w:p>
    <w:p>
      <w:pPr>
        <w:sectPr>
          <w:pgSz w:w="11900" w:h="16838" w:orient="portrait"/>
          <w:cols w:equalWidth="0" w:num="1">
            <w:col w:w="11240"/>
          </w:cols>
          <w:pgMar w:left="240" w:top="459" w:right="41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CMR distribution of Saratoga CLO investments at August 31, 2014 and February 28, 2014 was as follows:</w:t>
      </w:r>
    </w:p>
    <w:p>
      <w:pPr>
        <w:spacing w:after="0" w:line="22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i w:val="1"/>
          <w:iCs w:val="1"/>
          <w:color w:val="auto"/>
        </w:rPr>
        <w:t>Portfolio CMR distribution</w:t>
      </w:r>
    </w:p>
    <w:p>
      <w:pPr>
        <w:spacing w:after="0" w:line="244"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236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At August 31, 2014</w:t>
            </w:r>
          </w:p>
        </w:tc>
        <w:tc>
          <w:tcPr>
            <w:tcW w:w="240" w:type="dxa"/>
            <w:vAlign w:val="bottom"/>
          </w:tcPr>
          <w:p>
            <w:pPr>
              <w:spacing w:after="0"/>
              <w:rPr>
                <w:sz w:val="14"/>
                <w:szCs w:val="14"/>
                <w:color w:val="auto"/>
              </w:rPr>
            </w:pPr>
          </w:p>
        </w:tc>
        <w:tc>
          <w:tcPr>
            <w:tcW w:w="218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At February 28, 2014</w:t>
            </w:r>
          </w:p>
        </w:tc>
        <w:tc>
          <w:tcPr>
            <w:tcW w:w="0" w:type="dxa"/>
            <w:vAlign w:val="bottom"/>
          </w:tcPr>
          <w:p>
            <w:pPr>
              <w:spacing w:after="0"/>
              <w:rPr>
                <w:sz w:val="1"/>
                <w:szCs w:val="1"/>
                <w:color w:val="auto"/>
              </w:rPr>
            </w:pPr>
          </w:p>
        </w:tc>
      </w:tr>
      <w:tr>
        <w:trPr>
          <w:trHeight w:val="119"/>
        </w:trPr>
        <w:tc>
          <w:tcPr>
            <w:tcW w:w="360" w:type="dxa"/>
            <w:vAlign w:val="bottom"/>
          </w:tcPr>
          <w:p>
            <w:pPr>
              <w:spacing w:after="0"/>
              <w:rPr>
                <w:sz w:val="10"/>
                <w:szCs w:val="10"/>
                <w:color w:val="auto"/>
              </w:rPr>
            </w:pPr>
          </w:p>
        </w:tc>
        <w:tc>
          <w:tcPr>
            <w:tcW w:w="5360" w:type="dxa"/>
            <w:vAlign w:val="bottom"/>
          </w:tcPr>
          <w:p>
            <w:pPr>
              <w:spacing w:after="0"/>
              <w:rPr>
                <w:sz w:val="10"/>
                <w:szCs w:val="10"/>
                <w:color w:val="auto"/>
              </w:rPr>
            </w:pPr>
          </w:p>
        </w:tc>
        <w:tc>
          <w:tcPr>
            <w:tcW w:w="76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Investments</w:t>
            </w:r>
          </w:p>
        </w:tc>
        <w:tc>
          <w:tcPr>
            <w:tcW w:w="5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Borders>
              <w:top w:val="single" w:sz="8" w:color="auto"/>
            </w:tcBorders>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0"/>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5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Color</w:t>
            </w:r>
          </w:p>
        </w:tc>
        <w:tc>
          <w:tcPr>
            <w:tcW w:w="76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w:t>
            </w:r>
          </w:p>
        </w:tc>
        <w:tc>
          <w:tcPr>
            <w:tcW w:w="24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4"/>
        </w:trPr>
        <w:tc>
          <w:tcPr>
            <w:tcW w:w="5720" w:type="dxa"/>
            <w:vAlign w:val="bottom"/>
            <w:gridSpan w:val="2"/>
            <w:vMerge w:val="continue"/>
          </w:tcPr>
          <w:p>
            <w:pPr>
              <w:spacing w:after="0"/>
              <w:rPr>
                <w:sz w:val="12"/>
                <w:szCs w:val="12"/>
                <w:color w:val="auto"/>
              </w:rPr>
            </w:pPr>
          </w:p>
        </w:tc>
        <w:tc>
          <w:tcPr>
            <w:tcW w:w="76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6"/>
              </w:rPr>
              <w:t>at</w:t>
            </w:r>
          </w:p>
        </w:tc>
        <w:tc>
          <w:tcPr>
            <w:tcW w:w="520" w:type="dxa"/>
            <w:vAlign w:val="bottom"/>
          </w:tcPr>
          <w:p>
            <w:pPr>
              <w:spacing w:after="0"/>
              <w:rPr>
                <w:sz w:val="12"/>
                <w:szCs w:val="12"/>
                <w:color w:val="auto"/>
              </w:rPr>
            </w:pPr>
          </w:p>
        </w:tc>
        <w:tc>
          <w:tcPr>
            <w:tcW w:w="1080" w:type="dxa"/>
            <w:vAlign w:val="bottom"/>
            <w:gridSpan w:val="2"/>
          </w:tcPr>
          <w:p>
            <w:pPr>
              <w:jc w:val="center"/>
              <w:ind w:right="380"/>
              <w:spacing w:after="0" w:line="145" w:lineRule="exact"/>
              <w:rPr>
                <w:sz w:val="20"/>
                <w:szCs w:val="20"/>
                <w:color w:val="auto"/>
              </w:rPr>
            </w:pPr>
            <w:r>
              <w:rPr>
                <w:rFonts w:ascii="Arial" w:cs="Arial" w:eastAsia="Arial" w:hAnsi="Arial"/>
                <w:sz w:val="14"/>
                <w:szCs w:val="14"/>
                <w:b w:val="1"/>
                <w:bCs w:val="1"/>
                <w:color w:val="auto"/>
                <w:w w:val="89"/>
              </w:rPr>
              <w:t>Total</w:t>
            </w:r>
          </w:p>
        </w:tc>
        <w:tc>
          <w:tcPr>
            <w:tcW w:w="240" w:type="dxa"/>
            <w:vAlign w:val="bottom"/>
          </w:tcPr>
          <w:p>
            <w:pPr>
              <w:spacing w:after="0"/>
              <w:rPr>
                <w:sz w:val="12"/>
                <w:szCs w:val="12"/>
                <w:color w:val="auto"/>
              </w:rPr>
            </w:pPr>
          </w:p>
        </w:tc>
        <w:tc>
          <w:tcPr>
            <w:tcW w:w="1280" w:type="dxa"/>
            <w:vAlign w:val="bottom"/>
            <w:gridSpan w:val="2"/>
          </w:tcPr>
          <w:p>
            <w:pPr>
              <w:jc w:val="center"/>
              <w:ind w:right="520"/>
              <w:spacing w:after="0" w:line="145" w:lineRule="exact"/>
              <w:rPr>
                <w:sz w:val="20"/>
                <w:szCs w:val="20"/>
                <w:color w:val="auto"/>
              </w:rPr>
            </w:pPr>
            <w:r>
              <w:rPr>
                <w:rFonts w:ascii="Arial" w:cs="Arial" w:eastAsia="Arial" w:hAnsi="Arial"/>
                <w:sz w:val="14"/>
                <w:szCs w:val="14"/>
                <w:b w:val="1"/>
                <w:bCs w:val="1"/>
                <w:color w:val="auto"/>
                <w:w w:val="96"/>
              </w:rPr>
              <w:t>at</w:t>
            </w:r>
          </w:p>
        </w:tc>
        <w:tc>
          <w:tcPr>
            <w:tcW w:w="900" w:type="dxa"/>
            <w:vAlign w:val="bottom"/>
            <w:gridSpan w:val="2"/>
          </w:tcPr>
          <w:p>
            <w:pPr>
              <w:jc w:val="center"/>
              <w:ind w:right="180"/>
              <w:spacing w:after="0" w:line="145"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5720" w:type="dxa"/>
            <w:vAlign w:val="bottom"/>
            <w:gridSpan w:val="2"/>
          </w:tcPr>
          <w:p>
            <w:pPr>
              <w:spacing w:after="0" w:line="129" w:lineRule="exact"/>
              <w:rPr>
                <w:sz w:val="20"/>
                <w:szCs w:val="20"/>
                <w:color w:val="auto"/>
              </w:rPr>
            </w:pPr>
            <w:r>
              <w:rPr>
                <w:rFonts w:ascii="Arial" w:cs="Arial" w:eastAsia="Arial" w:hAnsi="Arial"/>
                <w:sz w:val="14"/>
                <w:szCs w:val="14"/>
                <w:b w:val="1"/>
                <w:bCs w:val="1"/>
                <w:color w:val="auto"/>
              </w:rPr>
              <w:t>Score</w:t>
            </w:r>
          </w:p>
        </w:tc>
        <w:tc>
          <w:tcPr>
            <w:tcW w:w="7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5"/>
              </w:rPr>
              <w:t>Fair Value</w:t>
            </w:r>
          </w:p>
        </w:tc>
        <w:tc>
          <w:tcPr>
            <w:tcW w:w="520" w:type="dxa"/>
            <w:vAlign w:val="bottom"/>
          </w:tcPr>
          <w:p>
            <w:pPr>
              <w:spacing w:after="0"/>
              <w:rPr>
                <w:sz w:val="12"/>
                <w:szCs w:val="12"/>
                <w:color w:val="auto"/>
              </w:rPr>
            </w:pPr>
          </w:p>
        </w:tc>
        <w:tc>
          <w:tcPr>
            <w:tcW w:w="1080" w:type="dxa"/>
            <w:vAlign w:val="bottom"/>
            <w:gridSpan w:val="2"/>
          </w:tcPr>
          <w:p>
            <w:pPr>
              <w:jc w:val="center"/>
              <w:ind w:right="380"/>
              <w:spacing w:after="0" w:line="129" w:lineRule="exact"/>
              <w:rPr>
                <w:sz w:val="20"/>
                <w:szCs w:val="20"/>
                <w:color w:val="auto"/>
              </w:rPr>
            </w:pPr>
            <w:r>
              <w:rPr>
                <w:rFonts w:ascii="Arial" w:cs="Arial" w:eastAsia="Arial" w:hAnsi="Arial"/>
                <w:sz w:val="14"/>
                <w:szCs w:val="14"/>
                <w:b w:val="1"/>
                <w:bCs w:val="1"/>
                <w:color w:val="auto"/>
                <w:w w:val="93"/>
              </w:rPr>
              <w:t>Portfolio</w:t>
            </w:r>
          </w:p>
        </w:tc>
        <w:tc>
          <w:tcPr>
            <w:tcW w:w="240" w:type="dxa"/>
            <w:vAlign w:val="bottom"/>
          </w:tcPr>
          <w:p>
            <w:pPr>
              <w:spacing w:after="0"/>
              <w:rPr>
                <w:sz w:val="12"/>
                <w:szCs w:val="12"/>
                <w:color w:val="auto"/>
              </w:rPr>
            </w:pPr>
          </w:p>
        </w:tc>
        <w:tc>
          <w:tcPr>
            <w:tcW w:w="128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95"/>
              </w:rPr>
              <w:t>Fair Value</w:t>
            </w:r>
          </w:p>
        </w:tc>
        <w:tc>
          <w:tcPr>
            <w:tcW w:w="900" w:type="dxa"/>
            <w:vAlign w:val="bottom"/>
            <w:gridSpan w:val="2"/>
          </w:tcPr>
          <w:p>
            <w:pPr>
              <w:jc w:val="center"/>
              <w:ind w:right="200"/>
              <w:spacing w:after="0" w:line="129" w:lineRule="exact"/>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20"/>
        </w:trPr>
        <w:tc>
          <w:tcPr>
            <w:tcW w:w="360" w:type="dxa"/>
            <w:vAlign w:val="bottom"/>
            <w:tcBorders>
              <w:top w:val="single" w:sz="8" w:color="auto"/>
            </w:tcBorders>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0" w:type="dxa"/>
            <w:vAlign w:val="bottom"/>
            <w:tcBorders>
              <w:bottom w:val="single" w:sz="8" w:color="auto"/>
            </w:tcBorders>
            <w:gridSpan w:val="5"/>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60" w:type="dxa"/>
            <w:vAlign w:val="bottom"/>
          </w:tcPr>
          <w:p>
            <w:pPr>
              <w:spacing w:after="0"/>
              <w:rPr>
                <w:sz w:val="11"/>
                <w:szCs w:val="11"/>
                <w:color w:val="auto"/>
              </w:rPr>
            </w:pPr>
          </w:p>
        </w:tc>
        <w:tc>
          <w:tcPr>
            <w:tcW w:w="5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600" w:type="dxa"/>
            <w:vAlign w:val="bottom"/>
            <w:gridSpan w:val="5"/>
          </w:tcPr>
          <w:p>
            <w:pPr>
              <w:jc w:val="right"/>
              <w:ind w:right="1100"/>
              <w:spacing w:after="0" w:line="129"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Green</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$ 289,563</w:t>
            </w:r>
          </w:p>
        </w:tc>
        <w:tc>
          <w:tcPr>
            <w:tcW w:w="16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96.2%</w:t>
            </w:r>
          </w:p>
        </w:tc>
        <w:tc>
          <w:tcPr>
            <w:tcW w:w="152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$ 284,796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94.8%</w:t>
            </w:r>
          </w:p>
        </w:tc>
        <w:tc>
          <w:tcPr>
            <w:tcW w:w="0" w:type="dxa"/>
            <w:vAlign w:val="bottom"/>
          </w:tcPr>
          <w:p>
            <w:pPr>
              <w:spacing w:after="0"/>
              <w:rPr>
                <w:sz w:val="1"/>
                <w:szCs w:val="1"/>
                <w:color w:val="auto"/>
              </w:rPr>
            </w:pPr>
          </w:p>
        </w:tc>
      </w:tr>
      <w:tr>
        <w:trPr>
          <w:trHeight w:val="216"/>
        </w:trPr>
        <w:tc>
          <w:tcPr>
            <w:tcW w:w="5720" w:type="dxa"/>
            <w:vAlign w:val="bottom"/>
            <w:gridSpan w:val="2"/>
          </w:tcPr>
          <w:p>
            <w:pPr>
              <w:spacing w:after="0"/>
              <w:rPr>
                <w:sz w:val="20"/>
                <w:szCs w:val="20"/>
                <w:color w:val="auto"/>
              </w:rPr>
            </w:pPr>
            <w:r>
              <w:rPr>
                <w:rFonts w:ascii="Arial" w:cs="Arial" w:eastAsia="Arial" w:hAnsi="Arial"/>
                <w:sz w:val="18"/>
                <w:szCs w:val="18"/>
                <w:color w:val="auto"/>
              </w:rPr>
              <w:t>Yellow</w:t>
            </w:r>
          </w:p>
        </w:tc>
        <w:tc>
          <w:tcPr>
            <w:tcW w:w="760" w:type="dxa"/>
            <w:vAlign w:val="bottom"/>
          </w:tcPr>
          <w:p>
            <w:pPr>
              <w:jc w:val="right"/>
              <w:spacing w:after="0"/>
              <w:rPr>
                <w:sz w:val="20"/>
                <w:szCs w:val="20"/>
                <w:color w:val="auto"/>
              </w:rPr>
            </w:pPr>
            <w:r>
              <w:rPr>
                <w:rFonts w:ascii="Arial" w:cs="Arial" w:eastAsia="Arial" w:hAnsi="Arial"/>
                <w:sz w:val="18"/>
                <w:szCs w:val="18"/>
                <w:color w:val="auto"/>
              </w:rPr>
              <w:t>8,068</w:t>
            </w:r>
          </w:p>
        </w:tc>
        <w:tc>
          <w:tcPr>
            <w:tcW w:w="1600" w:type="dxa"/>
            <w:vAlign w:val="bottom"/>
            <w:gridSpan w:val="3"/>
          </w:tcPr>
          <w:p>
            <w:pPr>
              <w:jc w:val="right"/>
              <w:ind w:right="380"/>
              <w:spacing w:after="0"/>
              <w:rPr>
                <w:sz w:val="20"/>
                <w:szCs w:val="20"/>
                <w:color w:val="auto"/>
              </w:rPr>
            </w:pPr>
            <w:r>
              <w:rPr>
                <w:rFonts w:ascii="Arial" w:cs="Arial" w:eastAsia="Arial" w:hAnsi="Arial"/>
                <w:sz w:val="18"/>
                <w:szCs w:val="18"/>
                <w:color w:val="auto"/>
              </w:rPr>
              <w:t>2.7</w:t>
            </w:r>
          </w:p>
        </w:tc>
        <w:tc>
          <w:tcPr>
            <w:tcW w:w="1520" w:type="dxa"/>
            <w:vAlign w:val="bottom"/>
            <w:gridSpan w:val="3"/>
          </w:tcPr>
          <w:p>
            <w:pPr>
              <w:jc w:val="right"/>
              <w:ind w:right="520"/>
              <w:spacing w:after="0"/>
              <w:rPr>
                <w:sz w:val="20"/>
                <w:szCs w:val="20"/>
                <w:color w:val="auto"/>
              </w:rPr>
            </w:pPr>
            <w:r>
              <w:rPr>
                <w:rFonts w:ascii="Arial" w:cs="Arial" w:eastAsia="Arial" w:hAnsi="Arial"/>
                <w:sz w:val="18"/>
                <w:szCs w:val="18"/>
                <w:color w:val="auto"/>
              </w:rPr>
              <w:t>14,106</w:t>
            </w:r>
          </w:p>
        </w:tc>
        <w:tc>
          <w:tcPr>
            <w:tcW w:w="700" w:type="dxa"/>
            <w:vAlign w:val="bottom"/>
          </w:tcPr>
          <w:p>
            <w:pPr>
              <w:jc w:val="right"/>
              <w:spacing w:after="0"/>
              <w:rPr>
                <w:sz w:val="20"/>
                <w:szCs w:val="20"/>
                <w:color w:val="auto"/>
              </w:rPr>
            </w:pPr>
            <w:r>
              <w:rPr>
                <w:rFonts w:ascii="Arial" w:cs="Arial" w:eastAsia="Arial" w:hAnsi="Arial"/>
                <w:sz w:val="18"/>
                <w:szCs w:val="18"/>
                <w:color w:val="auto"/>
              </w:rPr>
              <w:t>4.7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Red</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1,589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72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76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720" w:type="dxa"/>
            <w:vAlign w:val="bottom"/>
            <w:gridSpan w:val="2"/>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$ 301,020</w:t>
            </w:r>
          </w:p>
        </w:tc>
        <w:tc>
          <w:tcPr>
            <w:tcW w:w="520" w:type="dxa"/>
            <w:vAlign w:val="bottom"/>
            <w:vMerge w:val="continue"/>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240" w:type="dxa"/>
            <w:vAlign w:val="bottom"/>
            <w:vMerge w:val="continue"/>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w w:val="92"/>
              </w:rPr>
              <w:t>$ 300,491</w:t>
            </w:r>
          </w:p>
        </w:tc>
        <w:tc>
          <w:tcPr>
            <w:tcW w:w="52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i w:val="1"/>
          <w:iCs w:val="1"/>
          <w:color w:val="auto"/>
        </w:rPr>
        <w:t>Portfolio composition by industry grouping at fair value</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following table shows the portfolio composition by industry grouping at fair value at August 31, 2014 and February 28, 2014:</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4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At August 31, 2014</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At February 28, 2014</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34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28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Investments</w:t>
            </w:r>
          </w:p>
        </w:tc>
        <w:tc>
          <w:tcPr>
            <w:tcW w:w="68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4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80" w:type="dxa"/>
            <w:vAlign w:val="bottom"/>
            <w:tcBorders>
              <w:top w:val="single" w:sz="8" w:color="auto"/>
            </w:tcBorders>
            <w:gridSpan w:val="3"/>
            <w:vMerge w:val="restart"/>
          </w:tcPr>
          <w:p>
            <w:pPr>
              <w:ind w:left="20"/>
              <w:spacing w:after="0"/>
              <w:rPr>
                <w:sz w:val="20"/>
                <w:szCs w:val="20"/>
                <w:color w:val="auto"/>
              </w:rPr>
            </w:pPr>
            <w:r>
              <w:rPr>
                <w:rFonts w:ascii="Arial" w:cs="Arial" w:eastAsia="Arial" w:hAnsi="Arial"/>
                <w:sz w:val="14"/>
                <w:szCs w:val="14"/>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at</w:t>
            </w:r>
          </w:p>
        </w:tc>
        <w:tc>
          <w:tcPr>
            <w:tcW w:w="10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at</w:t>
            </w:r>
          </w:p>
        </w:tc>
        <w:tc>
          <w:tcPr>
            <w:tcW w:w="9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Fair Value</w:t>
            </w:r>
          </w:p>
        </w:tc>
        <w:tc>
          <w:tcPr>
            <w:tcW w:w="10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Portfolio</w:t>
            </w:r>
          </w:p>
        </w:tc>
        <w:tc>
          <w:tcPr>
            <w:tcW w:w="220" w:type="dxa"/>
            <w:vAlign w:val="bottom"/>
          </w:tcPr>
          <w:p>
            <w:pPr>
              <w:spacing w:after="0"/>
              <w:rPr>
                <w:sz w:val="14"/>
                <w:szCs w:val="14"/>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34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580" w:type="dxa"/>
            <w:vAlign w:val="bottom"/>
            <w:tcBorders>
              <w:top w:val="single" w:sz="8" w:color="auto"/>
            </w:tcBorders>
            <w:gridSpan w:val="6"/>
          </w:tcPr>
          <w:p>
            <w:pPr>
              <w:jc w:val="right"/>
              <w:ind w:right="110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Business Services</w:t>
            </w:r>
          </w:p>
        </w:tc>
        <w:tc>
          <w:tcPr>
            <w:tcW w:w="182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47,700</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20.2%</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57,330</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Healthcare Services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42,227</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17.9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23,810</w:t>
            </w:r>
          </w:p>
        </w:tc>
        <w:tc>
          <w:tcPr>
            <w:tcW w:w="700" w:type="dxa"/>
            <w:vAlign w:val="bottom"/>
          </w:tcPr>
          <w:p>
            <w:pPr>
              <w:jc w:val="right"/>
              <w:spacing w:after="0"/>
              <w:rPr>
                <w:sz w:val="20"/>
                <w:szCs w:val="20"/>
                <w:color w:val="auto"/>
              </w:rPr>
            </w:pPr>
            <w:r>
              <w:rPr>
                <w:rFonts w:ascii="Arial" w:cs="Arial" w:eastAsia="Arial" w:hAnsi="Arial"/>
                <w:sz w:val="18"/>
                <w:szCs w:val="18"/>
                <w:color w:val="auto"/>
              </w:rPr>
              <w:t>11.6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Software</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24,011</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10.2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21,897</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Structured Finance Securities(1)</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20,090</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8.5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19,570</w:t>
            </w:r>
          </w:p>
        </w:tc>
        <w:tc>
          <w:tcPr>
            <w:tcW w:w="700" w:type="dxa"/>
            <w:vAlign w:val="bottom"/>
          </w:tcPr>
          <w:p>
            <w:pPr>
              <w:jc w:val="right"/>
              <w:spacing w:after="0"/>
              <w:rPr>
                <w:sz w:val="20"/>
                <w:szCs w:val="20"/>
                <w:color w:val="auto"/>
              </w:rPr>
            </w:pPr>
            <w:r>
              <w:rPr>
                <w:rFonts w:ascii="Arial" w:cs="Arial" w:eastAsia="Arial" w:hAnsi="Arial"/>
                <w:sz w:val="18"/>
                <w:szCs w:val="18"/>
                <w:color w:val="auto"/>
              </w:rPr>
              <w:t>9.5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Services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16,963</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7.2</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21,738</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Food and Beverage</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12,913</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5.4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17,286</w:t>
            </w:r>
          </w:p>
        </w:tc>
        <w:tc>
          <w:tcPr>
            <w:tcW w:w="700" w:type="dxa"/>
            <w:vAlign w:val="bottom"/>
          </w:tcPr>
          <w:p>
            <w:pPr>
              <w:jc w:val="right"/>
              <w:spacing w:after="0"/>
              <w:rPr>
                <w:sz w:val="20"/>
                <w:szCs w:val="20"/>
                <w:color w:val="auto"/>
              </w:rPr>
            </w:pPr>
            <w:r>
              <w:rPr>
                <w:rFonts w:ascii="Arial" w:cs="Arial" w:eastAsia="Arial" w:hAnsi="Arial"/>
                <w:sz w:val="18"/>
                <w:szCs w:val="18"/>
                <w:color w:val="auto"/>
              </w:rPr>
              <w:t>8.4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Technology</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12,759</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Automotive</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10,672</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10,621</w:t>
            </w:r>
          </w:p>
        </w:tc>
        <w:tc>
          <w:tcPr>
            <w:tcW w:w="70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Media</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9,454</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6,741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Electronics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6,554</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6,645</w:t>
            </w:r>
          </w:p>
        </w:tc>
        <w:tc>
          <w:tcPr>
            <w:tcW w:w="700" w:type="dxa"/>
            <w:vAlign w:val="bottom"/>
          </w:tcPr>
          <w:p>
            <w:pPr>
              <w:jc w:val="right"/>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Utilities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6,105</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Manufacturing</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5,940</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2.5</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5,970</w:t>
            </w: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Environmental</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5,812</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1,191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Metals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5,785</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2.4</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5,249</w:t>
            </w:r>
          </w:p>
        </w:tc>
        <w:tc>
          <w:tcPr>
            <w:tcW w:w="70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Consumer Products</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5,378</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6,118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Building Products</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40"/>
              <w:spacing w:after="0"/>
              <w:rPr>
                <w:sz w:val="20"/>
                <w:szCs w:val="20"/>
                <w:color w:val="auto"/>
              </w:rPr>
            </w:pPr>
            <w:r>
              <w:rPr>
                <w:rFonts w:ascii="Arial" w:cs="Arial" w:eastAsia="Arial" w:hAnsi="Arial"/>
                <w:sz w:val="18"/>
                <w:szCs w:val="18"/>
                <w:color w:val="auto"/>
              </w:rPr>
              <w:t>1,956</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0.8</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344</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Publishing</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1,489</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901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Homebuilding</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8"/>
                <w:szCs w:val="18"/>
                <w:color w:val="auto"/>
              </w:rPr>
              <w:t>411</w:t>
            </w:r>
          </w:p>
        </w:tc>
        <w:tc>
          <w:tcPr>
            <w:tcW w:w="1080" w:type="dxa"/>
            <w:vAlign w:val="bottom"/>
            <w:gridSpan w:val="2"/>
          </w:tcPr>
          <w:p>
            <w:pPr>
              <w:jc w:val="right"/>
              <w:ind w:right="400"/>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344</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Education</w:t>
            </w:r>
          </w:p>
        </w:tc>
        <w:tc>
          <w:tcPr>
            <w:tcW w:w="1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101</w:t>
            </w:r>
          </w:p>
        </w:tc>
        <w:tc>
          <w:tcPr>
            <w:tcW w:w="10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0.0</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4040" w:type="dxa"/>
            <w:vAlign w:val="bottom"/>
            <w:gridSpan w:val="2"/>
          </w:tcPr>
          <w:p>
            <w:pPr>
              <w:spacing w:after="0"/>
              <w:rPr>
                <w:sz w:val="20"/>
                <w:szCs w:val="20"/>
                <w:color w:val="auto"/>
              </w:rPr>
            </w:pPr>
            <w:r>
              <w:rPr>
                <w:rFonts w:ascii="Arial" w:cs="Arial" w:eastAsia="Arial" w:hAnsi="Arial"/>
                <w:sz w:val="18"/>
                <w:szCs w:val="18"/>
                <w:color w:val="auto"/>
              </w:rPr>
              <w:t>Aerospace</w:t>
            </w: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90</w:t>
            </w:r>
          </w:p>
        </w:tc>
        <w:tc>
          <w:tcPr>
            <w:tcW w:w="700" w:type="dxa"/>
            <w:vAlign w:val="bottom"/>
          </w:tcPr>
          <w:p>
            <w:pPr>
              <w:jc w:val="right"/>
              <w:spacing w:after="0"/>
              <w:rPr>
                <w:sz w:val="20"/>
                <w:szCs w:val="20"/>
                <w:color w:val="auto"/>
              </w:rPr>
            </w:pPr>
            <w:r>
              <w:rPr>
                <w:rFonts w:ascii="Arial" w:cs="Arial" w:eastAsia="Arial" w:hAnsi="Arial"/>
                <w:sz w:val="18"/>
                <w:szCs w:val="18"/>
                <w:color w:val="auto"/>
              </w:rPr>
              <w:t>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60" w:type="dxa"/>
            <w:vAlign w:val="bottom"/>
            <w:vMerge w:val="restart"/>
          </w:tcPr>
          <w:p>
            <w:pPr>
              <w:spacing w:after="0"/>
              <w:rPr>
                <w:sz w:val="2"/>
                <w:szCs w:val="2"/>
                <w:color w:val="auto"/>
              </w:rPr>
            </w:pPr>
          </w:p>
        </w:tc>
        <w:tc>
          <w:tcPr>
            <w:tcW w:w="7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vMerge w:val="continue"/>
          </w:tcPr>
          <w:p>
            <w:pPr>
              <w:spacing w:after="0"/>
              <w:rPr>
                <w:sz w:val="18"/>
                <w:szCs w:val="18"/>
                <w:color w:val="auto"/>
              </w:rPr>
            </w:pPr>
          </w:p>
        </w:tc>
        <w:tc>
          <w:tcPr>
            <w:tcW w:w="4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820" w:type="dxa"/>
            <w:vAlign w:val="bottom"/>
            <w:gridSpan w:val="2"/>
            <w:shd w:val="clear" w:color="auto" w:fill="CCEEFF"/>
          </w:tcPr>
          <w:p>
            <w:pPr>
              <w:ind w:left="17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w w:val="92"/>
              </w:rPr>
              <w:t>236,320</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2"/>
              </w:rPr>
              <w:t>205,845</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334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5620" w:right="5160" w:hanging="5612"/>
        <w:spacing w:after="0" w:line="536" w:lineRule="auto"/>
        <w:tabs>
          <w:tab w:leader="none" w:pos="45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Comprised of our investment in the subordinated notes of Saratoga CLO. 46</w:t>
      </w:r>
    </w:p>
    <w:p>
      <w:pPr>
        <w:sectPr>
          <w:pgSz w:w="11900" w:h="16838" w:orient="portrait"/>
          <w:cols w:equalWidth="0" w:num="1">
            <w:col w:w="10960"/>
          </w:cols>
          <w:pgMar w:left="240" w:top="459" w:right="69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following table shows the portfolio composition by industry grouping of Saratoga CLO at fair value at August 31, 2014 and February 28,</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2014:</w:t>
      </w:r>
    </w:p>
    <w:p>
      <w:pPr>
        <w:spacing w:after="0" w:line="229"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38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At August 31, 2014</w:t>
            </w:r>
          </w:p>
        </w:tc>
        <w:tc>
          <w:tcPr>
            <w:tcW w:w="140" w:type="dxa"/>
            <w:vAlign w:val="bottom"/>
          </w:tcPr>
          <w:p>
            <w:pPr>
              <w:spacing w:after="0"/>
              <w:rPr>
                <w:sz w:val="14"/>
                <w:szCs w:val="14"/>
                <w:color w:val="auto"/>
              </w:rPr>
            </w:pPr>
          </w:p>
        </w:tc>
        <w:tc>
          <w:tcPr>
            <w:tcW w:w="2020" w:type="dxa"/>
            <w:vAlign w:val="bottom"/>
            <w:gridSpan w:val="4"/>
          </w:tcPr>
          <w:p>
            <w:pPr>
              <w:ind w:left="180"/>
              <w:spacing w:after="0"/>
              <w:rPr>
                <w:sz w:val="20"/>
                <w:szCs w:val="20"/>
                <w:color w:val="auto"/>
              </w:rPr>
            </w:pPr>
            <w:r>
              <w:rPr>
                <w:rFonts w:ascii="Arial" w:cs="Arial" w:eastAsia="Arial" w:hAnsi="Arial"/>
                <w:sz w:val="14"/>
                <w:szCs w:val="14"/>
                <w:b w:val="1"/>
                <w:bCs w:val="1"/>
                <w:color w:val="auto"/>
              </w:rPr>
              <w:t>At February 28, 2014</w:t>
            </w:r>
          </w:p>
        </w:tc>
        <w:tc>
          <w:tcPr>
            <w:tcW w:w="0" w:type="dxa"/>
            <w:vAlign w:val="bottom"/>
          </w:tcPr>
          <w:p>
            <w:pPr>
              <w:spacing w:after="0"/>
              <w:rPr>
                <w:sz w:val="1"/>
                <w:szCs w:val="1"/>
                <w:color w:val="auto"/>
              </w:rPr>
            </w:pPr>
          </w:p>
        </w:tc>
      </w:tr>
      <w:tr>
        <w:trPr>
          <w:trHeight w:val="119"/>
        </w:trPr>
        <w:tc>
          <w:tcPr>
            <w:tcW w:w="388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26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600" w:type="dxa"/>
            <w:vAlign w:val="bottom"/>
          </w:tcPr>
          <w:p>
            <w:pPr>
              <w:spacing w:after="0"/>
              <w:rPr>
                <w:sz w:val="10"/>
                <w:szCs w:val="10"/>
                <w:color w:val="auto"/>
              </w:rPr>
            </w:pPr>
          </w:p>
        </w:tc>
        <w:tc>
          <w:tcPr>
            <w:tcW w:w="12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right"/>
              <w:ind w:right="820"/>
              <w:spacing w:after="0" w:line="149" w:lineRule="exact"/>
              <w:rPr>
                <w:sz w:val="20"/>
                <w:szCs w:val="20"/>
                <w:color w:val="auto"/>
              </w:rPr>
            </w:pPr>
            <w:r>
              <w:rPr>
                <w:rFonts w:ascii="Arial" w:cs="Arial" w:eastAsia="Arial" w:hAnsi="Arial"/>
                <w:sz w:val="14"/>
                <w:szCs w:val="14"/>
                <w:b w:val="1"/>
                <w:bCs w:val="1"/>
                <w:color w:val="auto"/>
              </w:rPr>
              <w:t>at</w:t>
            </w:r>
          </w:p>
        </w:tc>
        <w:tc>
          <w:tcPr>
            <w:tcW w:w="130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0"/>
              </w:rPr>
              <w:t>of Total</w:t>
            </w:r>
          </w:p>
        </w:tc>
        <w:tc>
          <w:tcPr>
            <w:tcW w:w="140" w:type="dxa"/>
            <w:vAlign w:val="bottom"/>
          </w:tcPr>
          <w:p>
            <w:pPr>
              <w:spacing w:after="0"/>
              <w:rPr>
                <w:sz w:val="12"/>
                <w:szCs w:val="12"/>
                <w:color w:val="auto"/>
              </w:rPr>
            </w:pPr>
          </w:p>
        </w:tc>
        <w:tc>
          <w:tcPr>
            <w:tcW w:w="1120" w:type="dxa"/>
            <w:vAlign w:val="bottom"/>
            <w:gridSpan w:val="2"/>
          </w:tcPr>
          <w:p>
            <w:pPr>
              <w:ind w:left="180"/>
              <w:spacing w:after="0" w:line="149" w:lineRule="exact"/>
              <w:rPr>
                <w:sz w:val="20"/>
                <w:szCs w:val="20"/>
                <w:color w:val="auto"/>
              </w:rPr>
            </w:pPr>
            <w:r>
              <w:rPr>
                <w:rFonts w:ascii="Arial" w:cs="Arial" w:eastAsia="Arial" w:hAnsi="Arial"/>
                <w:sz w:val="14"/>
                <w:szCs w:val="14"/>
                <w:b w:val="1"/>
                <w:bCs w:val="1"/>
                <w:color w:val="auto"/>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388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26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Fair Value</w:t>
            </w:r>
          </w:p>
        </w:tc>
        <w:tc>
          <w:tcPr>
            <w:tcW w:w="130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Portfolio</w:t>
            </w:r>
          </w:p>
        </w:tc>
        <w:tc>
          <w:tcPr>
            <w:tcW w:w="1260" w:type="dxa"/>
            <w:vAlign w:val="bottom"/>
            <w:gridSpan w:val="3"/>
          </w:tcPr>
          <w:p>
            <w:pPr>
              <w:ind w:left="6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388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560" w:type="dxa"/>
            <w:vAlign w:val="bottom"/>
            <w:tcBorders>
              <w:top w:val="single" w:sz="8" w:color="auto"/>
            </w:tcBorders>
            <w:gridSpan w:val="5"/>
          </w:tcPr>
          <w:p>
            <w:pPr>
              <w:ind w:left="52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Healthcare</w:t>
            </w:r>
          </w:p>
        </w:tc>
        <w:tc>
          <w:tcPr>
            <w:tcW w:w="2040" w:type="dxa"/>
            <w:vAlign w:val="bottom"/>
            <w:gridSpan w:val="2"/>
            <w:shd w:val="clear" w:color="auto" w:fill="CCEEFF"/>
          </w:tcPr>
          <w:p>
            <w:pPr>
              <w:ind w:left="190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34,718</w:t>
            </w:r>
          </w:p>
        </w:tc>
        <w:tc>
          <w:tcPr>
            <w:tcW w:w="13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37,896</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Business Equipment and Services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31,543</w:t>
            </w:r>
          </w:p>
        </w:tc>
        <w:tc>
          <w:tcPr>
            <w:tcW w:w="1300" w:type="dxa"/>
            <w:vAlign w:val="bottom"/>
            <w:gridSpan w:val="2"/>
          </w:tcPr>
          <w:p>
            <w:pPr>
              <w:jc w:val="right"/>
              <w:ind w:right="600"/>
              <w:spacing w:after="0"/>
              <w:rPr>
                <w:sz w:val="20"/>
                <w:szCs w:val="20"/>
                <w:color w:val="auto"/>
              </w:rPr>
            </w:pPr>
            <w:r>
              <w:rPr>
                <w:rFonts w:ascii="Arial" w:cs="Arial" w:eastAsia="Arial" w:hAnsi="Arial"/>
                <w:sz w:val="18"/>
                <w:szCs w:val="18"/>
                <w:color w:val="auto"/>
              </w:rPr>
              <w:t>10.5</w:t>
            </w: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28,386</w:t>
            </w:r>
          </w:p>
        </w:tc>
        <w:tc>
          <w:tcPr>
            <w:tcW w:w="70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Chemicals/Plastics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27,214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26,345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Conglomerate</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19,946</w:t>
            </w:r>
          </w:p>
        </w:tc>
        <w:tc>
          <w:tcPr>
            <w:tcW w:w="700" w:type="dxa"/>
            <w:vAlign w:val="bottom"/>
          </w:tcPr>
          <w:p>
            <w:pPr>
              <w:jc w:val="right"/>
              <w:spacing w:after="0"/>
              <w:rPr>
                <w:sz w:val="20"/>
                <w:szCs w:val="20"/>
                <w:color w:val="auto"/>
              </w:rPr>
            </w:pPr>
            <w:r>
              <w:rPr>
                <w:rFonts w:ascii="Arial" w:cs="Arial" w:eastAsia="Arial" w:hAnsi="Arial"/>
                <w:sz w:val="18"/>
                <w:szCs w:val="18"/>
                <w:color w:val="auto"/>
              </w:rPr>
              <w:t>6.6</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24,285</w:t>
            </w:r>
          </w:p>
        </w:tc>
        <w:tc>
          <w:tcPr>
            <w:tcW w:w="70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Industrial Equipment</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19,160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24,143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Retailers (Except Food and Drugs)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17,670</w:t>
            </w:r>
          </w:p>
        </w:tc>
        <w:tc>
          <w:tcPr>
            <w:tcW w:w="700" w:type="dxa"/>
            <w:vAlign w:val="bottom"/>
          </w:tcPr>
          <w:p>
            <w:pPr>
              <w:jc w:val="right"/>
              <w:spacing w:after="0"/>
              <w:rPr>
                <w:sz w:val="20"/>
                <w:szCs w:val="20"/>
                <w:color w:val="auto"/>
              </w:rPr>
            </w:pPr>
            <w:r>
              <w:rPr>
                <w:rFonts w:ascii="Arial" w:cs="Arial" w:eastAsia="Arial" w:hAnsi="Arial"/>
                <w:sz w:val="18"/>
                <w:szCs w:val="18"/>
                <w:color w:val="auto"/>
              </w:rPr>
              <w:t>5.9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15,314</w:t>
            </w: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Leisure Goods/Activities/Movies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16,271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8,990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Drugs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13,260</w:t>
            </w:r>
          </w:p>
        </w:tc>
        <w:tc>
          <w:tcPr>
            <w:tcW w:w="700" w:type="dxa"/>
            <w:vAlign w:val="bottom"/>
          </w:tcPr>
          <w:p>
            <w:pPr>
              <w:jc w:val="right"/>
              <w:spacing w:after="0"/>
              <w:rPr>
                <w:sz w:val="20"/>
                <w:szCs w:val="20"/>
                <w:color w:val="auto"/>
              </w:rPr>
            </w:pPr>
            <w:r>
              <w:rPr>
                <w:rFonts w:ascii="Arial" w:cs="Arial" w:eastAsia="Arial" w:hAnsi="Arial"/>
                <w:sz w:val="18"/>
                <w:szCs w:val="18"/>
                <w:color w:val="auto"/>
              </w:rPr>
              <w:t>4.4</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11,873</w:t>
            </w:r>
          </w:p>
        </w:tc>
        <w:tc>
          <w:tcPr>
            <w:tcW w:w="5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Electronics/Electric</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12,013</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11,861</w:t>
            </w:r>
          </w:p>
        </w:tc>
        <w:tc>
          <w:tcPr>
            <w:tcW w:w="5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Aerospace and Defense</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10,491</w:t>
            </w: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20,465</w:t>
            </w:r>
          </w:p>
        </w:tc>
        <w:tc>
          <w:tcPr>
            <w:tcW w:w="700" w:type="dxa"/>
            <w:vAlign w:val="bottom"/>
          </w:tcPr>
          <w:p>
            <w:pPr>
              <w:jc w:val="right"/>
              <w:spacing w:after="0"/>
              <w:rPr>
                <w:sz w:val="20"/>
                <w:szCs w:val="20"/>
                <w:color w:val="auto"/>
              </w:rPr>
            </w:pPr>
            <w:r>
              <w:rPr>
                <w:rFonts w:ascii="Arial" w:cs="Arial" w:eastAsia="Arial" w:hAnsi="Arial"/>
                <w:sz w:val="18"/>
                <w:szCs w:val="18"/>
                <w:color w:val="auto"/>
              </w:rPr>
              <w:t>6.8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Food Products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9,956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12,450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Financial Intermediaries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8,731</w:t>
            </w:r>
          </w:p>
        </w:tc>
        <w:tc>
          <w:tcPr>
            <w:tcW w:w="700" w:type="dxa"/>
            <w:vAlign w:val="bottom"/>
          </w:tcPr>
          <w:p>
            <w:pPr>
              <w:jc w:val="right"/>
              <w:spacing w:after="0"/>
              <w:rPr>
                <w:sz w:val="20"/>
                <w:szCs w:val="20"/>
                <w:color w:val="auto"/>
              </w:rPr>
            </w:pPr>
            <w:r>
              <w:rPr>
                <w:rFonts w:ascii="Arial" w:cs="Arial" w:eastAsia="Arial" w:hAnsi="Arial"/>
                <w:sz w:val="18"/>
                <w:szCs w:val="18"/>
                <w:color w:val="auto"/>
              </w:rPr>
              <w:t>2.9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8,138</w:t>
            </w:r>
          </w:p>
        </w:tc>
        <w:tc>
          <w:tcPr>
            <w:tcW w:w="70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Food Services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8,502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5,612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Automotive</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6,424</w:t>
            </w:r>
          </w:p>
        </w:tc>
        <w:tc>
          <w:tcPr>
            <w:tcW w:w="700" w:type="dxa"/>
            <w:vAlign w:val="bottom"/>
          </w:tcPr>
          <w:p>
            <w:pPr>
              <w:jc w:val="right"/>
              <w:spacing w:after="0"/>
              <w:rPr>
                <w:sz w:val="20"/>
                <w:szCs w:val="20"/>
                <w:color w:val="auto"/>
              </w:rPr>
            </w:pPr>
            <w:r>
              <w:rPr>
                <w:rFonts w:ascii="Arial" w:cs="Arial" w:eastAsia="Arial" w:hAnsi="Arial"/>
                <w:sz w:val="18"/>
                <w:szCs w:val="18"/>
                <w:color w:val="auto"/>
              </w:rPr>
              <w:t>2.1</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10,279</w:t>
            </w:r>
          </w:p>
        </w:tc>
        <w:tc>
          <w:tcPr>
            <w:tcW w:w="700" w:type="dxa"/>
            <w:vAlign w:val="bottom"/>
          </w:tcPr>
          <w:p>
            <w:pPr>
              <w:jc w:val="right"/>
              <w:spacing w:after="0"/>
              <w:rPr>
                <w:sz w:val="20"/>
                <w:szCs w:val="20"/>
                <w:color w:val="auto"/>
              </w:rPr>
            </w:pPr>
            <w:r>
              <w:rPr>
                <w:rFonts w:ascii="Arial" w:cs="Arial" w:eastAsia="Arial" w:hAnsi="Arial"/>
                <w:sz w:val="18"/>
                <w:szCs w:val="18"/>
                <w:color w:val="auto"/>
              </w:rPr>
              <w:t>3.4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Containers/Glass Products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6,387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2,906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Telecommunications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6,163</w:t>
            </w:r>
          </w:p>
        </w:tc>
        <w:tc>
          <w:tcPr>
            <w:tcW w:w="700" w:type="dxa"/>
            <w:vAlign w:val="bottom"/>
          </w:tcPr>
          <w:p>
            <w:pPr>
              <w:jc w:val="right"/>
              <w:spacing w:after="0"/>
              <w:rPr>
                <w:sz w:val="20"/>
                <w:szCs w:val="20"/>
                <w:color w:val="auto"/>
              </w:rPr>
            </w:pPr>
            <w:r>
              <w:rPr>
                <w:rFonts w:ascii="Arial" w:cs="Arial" w:eastAsia="Arial" w:hAnsi="Arial"/>
                <w:sz w:val="18"/>
                <w:szCs w:val="18"/>
                <w:color w:val="auto"/>
              </w:rPr>
              <w:t>2.0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6,627</w:t>
            </w: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Food/Drug Retailers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5,840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5,012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Utilities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5,754</w:t>
            </w: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5,830</w:t>
            </w:r>
          </w:p>
        </w:tc>
        <w:tc>
          <w:tcPr>
            <w:tcW w:w="70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Oil and Gas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5,714</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2,488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Insurance</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5,482</w:t>
            </w: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5,517</w:t>
            </w:r>
          </w:p>
        </w:tc>
        <w:tc>
          <w:tcPr>
            <w:tcW w:w="700" w:type="dxa"/>
            <w:vAlign w:val="bottom"/>
          </w:tcPr>
          <w:p>
            <w:pPr>
              <w:jc w:val="right"/>
              <w:spacing w:after="0"/>
              <w:rPr>
                <w:sz w:val="20"/>
                <w:szCs w:val="20"/>
                <w:color w:val="auto"/>
              </w:rPr>
            </w:pPr>
            <w:r>
              <w:rPr>
                <w:rFonts w:ascii="Arial" w:cs="Arial" w:eastAsia="Arial" w:hAnsi="Arial"/>
                <w:sz w:val="18"/>
                <w:szCs w:val="18"/>
                <w:color w:val="auto"/>
              </w:rPr>
              <w:t>1.8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Lodging and Casinos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5,438</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Publishing</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5,185</w:t>
            </w:r>
          </w:p>
        </w:tc>
        <w:tc>
          <w:tcPr>
            <w:tcW w:w="700" w:type="dxa"/>
            <w:vAlign w:val="bottom"/>
          </w:tcPr>
          <w:p>
            <w:pPr>
              <w:jc w:val="right"/>
              <w:spacing w:after="0"/>
              <w:rPr>
                <w:sz w:val="20"/>
                <w:szCs w:val="20"/>
                <w:color w:val="auto"/>
              </w:rPr>
            </w:pPr>
            <w:r>
              <w:rPr>
                <w:rFonts w:ascii="Arial" w:cs="Arial" w:eastAsia="Arial" w:hAnsi="Arial"/>
                <w:sz w:val="18"/>
                <w:szCs w:val="18"/>
                <w:color w:val="auto"/>
              </w:rPr>
              <w:t>1.7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2,913</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Brokers/Dealers/Investment Houses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4,920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3,740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Healthcare and Pharmaceuticals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2,961</w:t>
            </w:r>
          </w:p>
        </w:tc>
        <w:tc>
          <w:tcPr>
            <w:tcW w:w="700" w:type="dxa"/>
            <w:vAlign w:val="bottom"/>
          </w:tcPr>
          <w:p>
            <w:pPr>
              <w:jc w:val="right"/>
              <w:spacing w:after="0"/>
              <w:rPr>
                <w:sz w:val="20"/>
                <w:szCs w:val="20"/>
                <w:color w:val="auto"/>
              </w:rPr>
            </w:pPr>
            <w:r>
              <w:rPr>
                <w:rFonts w:ascii="Arial" w:cs="Arial" w:eastAsia="Arial" w:hAnsi="Arial"/>
                <w:sz w:val="18"/>
                <w:szCs w:val="18"/>
                <w:color w:val="auto"/>
              </w:rPr>
              <w:t>1.0</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Cable and Satellite Television</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2,582</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2,666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Telecommunications/Cellular</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2,423</w:t>
            </w:r>
          </w:p>
        </w:tc>
        <w:tc>
          <w:tcPr>
            <w:tcW w:w="700" w:type="dxa"/>
            <w:vAlign w:val="bottom"/>
          </w:tcPr>
          <w:p>
            <w:pPr>
              <w:jc w:val="right"/>
              <w:spacing w:after="0"/>
              <w:rPr>
                <w:sz w:val="20"/>
                <w:szCs w:val="20"/>
                <w:color w:val="auto"/>
              </w:rPr>
            </w:pPr>
            <w:r>
              <w:rPr>
                <w:rFonts w:ascii="Arial" w:cs="Arial" w:eastAsia="Arial" w:hAnsi="Arial"/>
                <w:sz w:val="18"/>
                <w:szCs w:val="18"/>
                <w:color w:val="auto"/>
              </w:rPr>
              <w:t>0.8</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2,460</w:t>
            </w:r>
          </w:p>
        </w:tc>
        <w:tc>
          <w:tcPr>
            <w:tcW w:w="700" w:type="dxa"/>
            <w:vAlign w:val="bottom"/>
          </w:tcPr>
          <w:p>
            <w:pPr>
              <w:jc w:val="right"/>
              <w:spacing w:after="0"/>
              <w:rPr>
                <w:sz w:val="20"/>
                <w:szCs w:val="20"/>
                <w:color w:val="auto"/>
              </w:rPr>
            </w:pPr>
            <w:r>
              <w:rPr>
                <w:rFonts w:ascii="Arial" w:cs="Arial" w:eastAsia="Arial" w:hAnsi="Arial"/>
                <w:sz w:val="18"/>
                <w:szCs w:val="18"/>
                <w:color w:val="auto"/>
              </w:rPr>
              <w:t>0.8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Media</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2,007</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Nonferrous Metals/Minerals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1,973</w:t>
            </w: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4,328</w:t>
            </w:r>
          </w:p>
        </w:tc>
        <w:tc>
          <w:tcPr>
            <w:tcW w:w="70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Ecological Services and Equipment</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826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1,241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Building and Development</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494</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3,246</w:t>
            </w:r>
          </w:p>
        </w:tc>
        <w:tc>
          <w:tcPr>
            <w:tcW w:w="700" w:type="dxa"/>
            <w:vAlign w:val="bottom"/>
          </w:tcPr>
          <w:p>
            <w:pPr>
              <w:jc w:val="right"/>
              <w:spacing w:after="0"/>
              <w:rPr>
                <w:sz w:val="20"/>
                <w:szCs w:val="20"/>
                <w:color w:val="auto"/>
              </w:rPr>
            </w:pPr>
            <w:r>
              <w:rPr>
                <w:rFonts w:ascii="Arial" w:cs="Arial" w:eastAsia="Arial" w:hAnsi="Arial"/>
                <w:sz w:val="18"/>
                <w:szCs w:val="18"/>
                <w:color w:val="auto"/>
              </w:rPr>
              <w:t>1.1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Broadcast Radio and Television</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489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1,505</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Health Insurance</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483</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Computers and Electronics</w:t>
            </w:r>
          </w:p>
        </w:tc>
        <w:tc>
          <w:tcPr>
            <w:tcW w:w="1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1,479</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20"/>
                <w:szCs w:val="20"/>
                <w:color w:val="auto"/>
              </w:rPr>
            </w:pPr>
            <w:r>
              <w:rPr>
                <w:rFonts w:ascii="Arial" w:cs="Arial" w:eastAsia="Arial" w:hAnsi="Arial"/>
                <w:sz w:val="18"/>
                <w:szCs w:val="18"/>
                <w:color w:val="auto"/>
              </w:rPr>
              <w:t>Gaming and Hotels</w:t>
            </w:r>
          </w:p>
        </w:tc>
        <w:tc>
          <w:tcPr>
            <w:tcW w:w="1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20" w:type="dxa"/>
            <w:vAlign w:val="bottom"/>
            <w:gridSpan w:val="2"/>
          </w:tcPr>
          <w:p>
            <w:pPr>
              <w:jc w:val="right"/>
              <w:ind w:right="500"/>
              <w:spacing w:after="0"/>
              <w:rPr>
                <w:sz w:val="20"/>
                <w:szCs w:val="20"/>
                <w:color w:val="auto"/>
              </w:rPr>
            </w:pPr>
            <w:r>
              <w:rPr>
                <w:rFonts w:ascii="Arial" w:cs="Arial" w:eastAsia="Arial" w:hAnsi="Arial"/>
                <w:sz w:val="18"/>
                <w:szCs w:val="18"/>
                <w:color w:val="auto"/>
              </w:rPr>
              <w:t>500</w:t>
            </w:r>
          </w:p>
        </w:tc>
        <w:tc>
          <w:tcPr>
            <w:tcW w:w="700" w:type="dxa"/>
            <w:vAlign w:val="bottom"/>
          </w:tcPr>
          <w:p>
            <w:pPr>
              <w:jc w:val="right"/>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Leasing</w:t>
            </w:r>
          </w:p>
        </w:tc>
        <w:tc>
          <w:tcPr>
            <w:tcW w:w="19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50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80" w:type="dxa"/>
            <w:vAlign w:val="bottom"/>
          </w:tcPr>
          <w:p>
            <w:pPr>
              <w:spacing w:after="0"/>
              <w:rPr>
                <w:sz w:val="20"/>
                <w:szCs w:val="20"/>
                <w:color w:val="auto"/>
              </w:rPr>
            </w:pPr>
            <w:r>
              <w:rPr>
                <w:rFonts w:ascii="Arial" w:cs="Arial" w:eastAsia="Arial" w:hAnsi="Arial"/>
                <w:sz w:val="18"/>
                <w:szCs w:val="18"/>
                <w:color w:val="auto"/>
              </w:rPr>
              <w:t>Total</w:t>
            </w:r>
          </w:p>
        </w:tc>
        <w:tc>
          <w:tcPr>
            <w:tcW w:w="190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301,020</w:t>
            </w:r>
          </w:p>
        </w:tc>
        <w:tc>
          <w:tcPr>
            <w:tcW w:w="500" w:type="dxa"/>
            <w:vAlign w:val="bottom"/>
          </w:tcPr>
          <w:p>
            <w:pPr>
              <w:spacing w:after="0"/>
              <w:rPr>
                <w:sz w:val="19"/>
                <w:szCs w:val="19"/>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color w:val="auto"/>
              </w:rPr>
              <w:t>100.0%</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300,491</w:t>
            </w:r>
          </w:p>
        </w:tc>
        <w:tc>
          <w:tcPr>
            <w:tcW w:w="5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900" w:type="dxa"/>
            <w:vAlign w:val="bottom"/>
            <w:vMerge w:val="restart"/>
          </w:tcPr>
          <w:p>
            <w:pPr>
              <w:jc w:val="right"/>
              <w:ind w:right="350"/>
              <w:spacing w:after="0"/>
              <w:rPr>
                <w:sz w:val="20"/>
                <w:szCs w:val="20"/>
                <w:color w:val="auto"/>
              </w:rPr>
            </w:pPr>
            <w:r>
              <w:rPr>
                <w:rFonts w:ascii="Arial" w:cs="Arial" w:eastAsia="Arial" w:hAnsi="Arial"/>
                <w:sz w:val="18"/>
                <w:szCs w:val="18"/>
                <w:color w:val="auto"/>
              </w:rPr>
              <w:t>47</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8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240" w:top="459" w:right="5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i w:val="1"/>
          <w:iCs w:val="1"/>
          <w:color w:val="auto"/>
        </w:rPr>
        <w:t>Portfolio composition by geographic location at fair value</w:t>
      </w:r>
    </w:p>
    <w:p>
      <w:pPr>
        <w:spacing w:after="0" w:line="225" w:lineRule="exact"/>
        <w:rPr>
          <w:sz w:val="20"/>
          <w:szCs w:val="20"/>
          <w:color w:val="auto"/>
        </w:rPr>
      </w:pPr>
    </w:p>
    <w:p>
      <w:pPr>
        <w:ind w:right="200" w:firstLine="913"/>
        <w:spacing w:after="0" w:line="277" w:lineRule="auto"/>
        <w:rPr>
          <w:sz w:val="20"/>
          <w:szCs w:val="20"/>
          <w:color w:val="auto"/>
        </w:rPr>
      </w:pPr>
      <w:r>
        <w:rPr>
          <w:rFonts w:ascii="Arial" w:cs="Arial" w:eastAsia="Arial" w:hAnsi="Arial"/>
          <w:sz w:val="18"/>
          <w:szCs w:val="18"/>
          <w:color w:val="auto"/>
        </w:rPr>
        <w:t>The following table shows the portfolio composition by geographic location at fair value at August 31, 2014 and February 28, 2014. The geographic composition is determined by the location of the corporate headquarters of the portfolio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At August 31, 2014</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40" w:type="dxa"/>
            <w:vAlign w:val="bottom"/>
            <w:gridSpan w:val="4"/>
          </w:tcPr>
          <w:p>
            <w:pPr>
              <w:jc w:val="right"/>
              <w:ind w:right="540"/>
              <w:spacing w:after="0"/>
              <w:rPr>
                <w:sz w:val="20"/>
                <w:szCs w:val="20"/>
                <w:color w:val="auto"/>
              </w:rPr>
            </w:pPr>
            <w:r>
              <w:rPr>
                <w:rFonts w:ascii="Arial" w:cs="Arial" w:eastAsia="Arial" w:hAnsi="Arial"/>
                <w:sz w:val="14"/>
                <w:szCs w:val="14"/>
                <w:b w:val="1"/>
                <w:bCs w:val="1"/>
                <w:color w:val="auto"/>
              </w:rPr>
              <w:t>At February 28, 2014</w:t>
            </w:r>
          </w:p>
        </w:tc>
        <w:tc>
          <w:tcPr>
            <w:tcW w:w="0" w:type="dxa"/>
            <w:vAlign w:val="bottom"/>
          </w:tcPr>
          <w:p>
            <w:pPr>
              <w:spacing w:after="0"/>
              <w:rPr>
                <w:sz w:val="1"/>
                <w:szCs w:val="1"/>
                <w:color w:val="auto"/>
              </w:rPr>
            </w:pPr>
          </w:p>
        </w:tc>
      </w:tr>
      <w:tr>
        <w:trPr>
          <w:trHeight w:val="119"/>
        </w:trPr>
        <w:tc>
          <w:tcPr>
            <w:tcW w:w="4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128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3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8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Investments</w:t>
            </w:r>
          </w:p>
        </w:tc>
        <w:tc>
          <w:tcPr>
            <w:tcW w:w="700" w:type="dxa"/>
            <w:vAlign w:val="bottom"/>
            <w:tcBorders>
              <w:top w:val="single" w:sz="8" w:color="auto"/>
            </w:tcBorders>
          </w:tcPr>
          <w:p>
            <w:pPr>
              <w:jc w:val="center"/>
              <w:spacing w:after="0" w:line="119" w:lineRule="exact"/>
              <w:rPr>
                <w:sz w:val="20"/>
                <w:szCs w:val="20"/>
                <w:color w:val="auto"/>
              </w:rPr>
            </w:pPr>
            <w:r>
              <w:rPr>
                <w:rFonts w:ascii="Arial" w:cs="Arial" w:eastAsia="Arial" w:hAnsi="Arial"/>
                <w:sz w:val="13"/>
                <w:szCs w:val="13"/>
                <w:b w:val="1"/>
                <w:bCs w:val="1"/>
                <w:color w:val="auto"/>
                <w:w w:val="96"/>
              </w:rPr>
              <w:t>Percentage</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660"/>
              <w:spacing w:after="0" w:line="149" w:lineRule="exact"/>
              <w:rPr>
                <w:sz w:val="20"/>
                <w:szCs w:val="20"/>
                <w:color w:val="auto"/>
              </w:rPr>
            </w:pPr>
            <w:r>
              <w:rPr>
                <w:rFonts w:ascii="Arial" w:cs="Arial" w:eastAsia="Arial" w:hAnsi="Arial"/>
                <w:sz w:val="14"/>
                <w:szCs w:val="14"/>
                <w:b w:val="1"/>
                <w:bCs w:val="1"/>
                <w:color w:val="auto"/>
                <w:w w:val="96"/>
              </w:rPr>
              <w:t>at</w:t>
            </w:r>
          </w:p>
        </w:tc>
        <w:tc>
          <w:tcPr>
            <w:tcW w:w="10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 Total</w:t>
            </w: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right"/>
              <w:ind w:right="840"/>
              <w:spacing w:after="0" w:line="149" w:lineRule="exact"/>
              <w:rPr>
                <w:sz w:val="20"/>
                <w:szCs w:val="20"/>
                <w:color w:val="auto"/>
              </w:rPr>
            </w:pPr>
            <w:r>
              <w:rPr>
                <w:rFonts w:ascii="Arial" w:cs="Arial" w:eastAsia="Arial" w:hAnsi="Arial"/>
                <w:sz w:val="14"/>
                <w:szCs w:val="14"/>
                <w:b w:val="1"/>
                <w:bCs w:val="1"/>
                <w:color w:val="auto"/>
              </w:rPr>
              <w:t>at</w:t>
            </w:r>
          </w:p>
        </w:tc>
        <w:tc>
          <w:tcPr>
            <w:tcW w:w="9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 Total</w:t>
            </w:r>
          </w:p>
        </w:tc>
        <w:tc>
          <w:tcPr>
            <w:tcW w:w="0" w:type="dxa"/>
            <w:vAlign w:val="bottom"/>
          </w:tcPr>
          <w:p>
            <w:pPr>
              <w:spacing w:after="0"/>
              <w:rPr>
                <w:sz w:val="1"/>
                <w:szCs w:val="1"/>
                <w:color w:val="auto"/>
              </w:rPr>
            </w:pPr>
          </w:p>
        </w:tc>
      </w:tr>
      <w:tr>
        <w:trPr>
          <w:trHeight w:val="171"/>
        </w:trPr>
        <w:tc>
          <w:tcPr>
            <w:tcW w:w="4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20" w:type="dxa"/>
            <w:vAlign w:val="bottom"/>
          </w:tcPr>
          <w:p>
            <w:pPr>
              <w:spacing w:after="0"/>
              <w:rPr>
                <w:sz w:val="14"/>
                <w:szCs w:val="14"/>
                <w:color w:val="auto"/>
              </w:rPr>
            </w:pPr>
          </w:p>
        </w:tc>
        <w:tc>
          <w:tcPr>
            <w:tcW w:w="1280" w:type="dxa"/>
            <w:vAlign w:val="bottom"/>
            <w:gridSpan w:val="3"/>
          </w:tcPr>
          <w:p>
            <w:pPr>
              <w:jc w:val="center"/>
              <w:ind w:right="520"/>
              <w:spacing w:after="0"/>
              <w:rPr>
                <w:sz w:val="20"/>
                <w:szCs w:val="20"/>
                <w:color w:val="auto"/>
              </w:rPr>
            </w:pPr>
            <w:r>
              <w:rPr>
                <w:rFonts w:ascii="Arial" w:cs="Arial" w:eastAsia="Arial" w:hAnsi="Arial"/>
                <w:sz w:val="14"/>
                <w:szCs w:val="14"/>
                <w:b w:val="1"/>
                <w:bCs w:val="1"/>
                <w:color w:val="auto"/>
                <w:w w:val="95"/>
              </w:rPr>
              <w:t>Fair Value</w:t>
            </w:r>
          </w:p>
        </w:tc>
        <w:tc>
          <w:tcPr>
            <w:tcW w:w="10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Portfolio</w:t>
            </w:r>
          </w:p>
        </w:tc>
        <w:tc>
          <w:tcPr>
            <w:tcW w:w="240" w:type="dxa"/>
            <w:vAlign w:val="bottom"/>
          </w:tcPr>
          <w:p>
            <w:pPr>
              <w:spacing w:after="0"/>
              <w:rPr>
                <w:sz w:val="14"/>
                <w:szCs w:val="14"/>
                <w:color w:val="auto"/>
              </w:rPr>
            </w:pPr>
          </w:p>
        </w:tc>
        <w:tc>
          <w:tcPr>
            <w:tcW w:w="1280" w:type="dxa"/>
            <w:vAlign w:val="bottom"/>
            <w:gridSpan w:val="3"/>
          </w:tcPr>
          <w:p>
            <w:pPr>
              <w:jc w:val="right"/>
              <w:ind w:right="580"/>
              <w:spacing w:after="0"/>
              <w:rPr>
                <w:sz w:val="20"/>
                <w:szCs w:val="20"/>
                <w:color w:val="auto"/>
              </w:rPr>
            </w:pPr>
            <w:r>
              <w:rPr>
                <w:rFonts w:ascii="Arial" w:cs="Arial" w:eastAsia="Arial" w:hAnsi="Arial"/>
                <w:sz w:val="14"/>
                <w:szCs w:val="14"/>
                <w:b w:val="1"/>
                <w:bCs w:val="1"/>
                <w:color w:val="auto"/>
              </w:rPr>
              <w:t>Fair Value</w:t>
            </w: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Portfolio</w:t>
            </w: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0" w:type="dxa"/>
            <w:vAlign w:val="bottom"/>
            <w:tcBorders>
              <w:top w:val="single" w:sz="8" w:color="auto"/>
            </w:tcBorders>
            <w:gridSpan w:val="6"/>
          </w:tcPr>
          <w:p>
            <w:pPr>
              <w:jc w:val="right"/>
              <w:ind w:right="1100"/>
              <w:spacing w:after="0" w:line="142" w:lineRule="exact"/>
              <w:rPr>
                <w:sz w:val="20"/>
                <w:szCs w:val="20"/>
                <w:color w:val="auto"/>
              </w:rPr>
            </w:pPr>
            <w:r>
              <w:rPr>
                <w:rFonts w:ascii="Arial" w:cs="Arial" w:eastAsia="Arial" w:hAnsi="Arial"/>
                <w:sz w:val="14"/>
                <w:szCs w:val="14"/>
                <w:b w:val="1"/>
                <w:bCs w:val="1"/>
                <w:color w:val="auto"/>
              </w:rPr>
              <w:t>($ in thousands)</w:t>
            </w:r>
          </w:p>
        </w:tc>
        <w:tc>
          <w:tcPr>
            <w:tcW w:w="7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Southeast</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94,390</w:t>
            </w: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39.9%</w:t>
            </w:r>
          </w:p>
        </w:tc>
        <w:tc>
          <w:tcPr>
            <w:tcW w:w="3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83,161</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Midwest</w:t>
            </w: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45,119</w:t>
            </w:r>
          </w:p>
        </w:tc>
        <w:tc>
          <w:tcPr>
            <w:tcW w:w="52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19.1</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41,453</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Northeast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40,778</w:t>
            </w:r>
          </w:p>
        </w:tc>
        <w:tc>
          <w:tcPr>
            <w:tcW w:w="10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17.3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17,191</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gridSpan w:val="2"/>
          </w:tcPr>
          <w:p>
            <w:pPr>
              <w:spacing w:after="0"/>
              <w:rPr>
                <w:sz w:val="20"/>
                <w:szCs w:val="20"/>
                <w:color w:val="auto"/>
              </w:rPr>
            </w:pPr>
            <w:r>
              <w:rPr>
                <w:rFonts w:ascii="Arial" w:cs="Arial" w:eastAsia="Arial" w:hAnsi="Arial"/>
                <w:sz w:val="18"/>
                <w:szCs w:val="18"/>
                <w:color w:val="auto"/>
              </w:rPr>
              <w:t>West</w:t>
            </w: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35,943</w:t>
            </w:r>
          </w:p>
        </w:tc>
        <w:tc>
          <w:tcPr>
            <w:tcW w:w="1080" w:type="dxa"/>
            <w:vAlign w:val="bottom"/>
            <w:gridSpan w:val="2"/>
          </w:tcPr>
          <w:p>
            <w:pPr>
              <w:jc w:val="right"/>
              <w:ind w:right="380"/>
              <w:spacing w:after="0"/>
              <w:rPr>
                <w:sz w:val="20"/>
                <w:szCs w:val="20"/>
                <w:color w:val="auto"/>
              </w:rPr>
            </w:pPr>
            <w:r>
              <w:rPr>
                <w:rFonts w:ascii="Arial" w:cs="Arial" w:eastAsia="Arial" w:hAnsi="Arial"/>
                <w:sz w:val="18"/>
                <w:szCs w:val="18"/>
                <w:color w:val="auto"/>
              </w:rPr>
              <w:t>15.2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8"/>
                <w:szCs w:val="18"/>
                <w:color w:val="auto"/>
              </w:rPr>
              <w:t>44,470</w:t>
            </w: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57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Other(1)</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20,090</w:t>
            </w:r>
          </w:p>
        </w:tc>
        <w:tc>
          <w:tcPr>
            <w:tcW w:w="5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19,570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180" w:type="dxa"/>
            <w:vAlign w:val="bottom"/>
            <w:gridSpan w:val="3"/>
            <w:vMerge w:val="restart"/>
          </w:tcPr>
          <w:p>
            <w:pPr>
              <w:ind w:left="460"/>
              <w:spacing w:after="0"/>
              <w:rPr>
                <w:sz w:val="20"/>
                <w:szCs w:val="20"/>
                <w:color w:val="auto"/>
              </w:rPr>
            </w:pPr>
            <w:r>
              <w:rPr>
                <w:rFonts w:ascii="Arial" w:cs="Arial" w:eastAsia="Arial" w:hAnsi="Arial"/>
                <w:sz w:val="18"/>
                <w:szCs w:val="18"/>
                <w:color w:val="auto"/>
              </w:rPr>
              <w:t>Total</w:t>
            </w: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vMerge w:val="restart"/>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520" w:type="dxa"/>
            <w:vAlign w:val="bottom"/>
            <w:vMerge w:val="restart"/>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180" w:type="dxa"/>
            <w:vAlign w:val="bottom"/>
            <w:gridSpan w:val="3"/>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236,320</w:t>
            </w:r>
          </w:p>
        </w:tc>
        <w:tc>
          <w:tcPr>
            <w:tcW w:w="520" w:type="dxa"/>
            <w:vAlign w:val="bottom"/>
          </w:tcPr>
          <w:p>
            <w:pPr>
              <w:spacing w:after="0"/>
              <w:rPr>
                <w:sz w:val="19"/>
                <w:szCs w:val="19"/>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8"/>
                <w:szCs w:val="18"/>
                <w:color w:val="auto"/>
              </w:rPr>
              <w:t>100.0%</w:t>
            </w:r>
          </w:p>
        </w:tc>
        <w:tc>
          <w:tcPr>
            <w:tcW w:w="240" w:type="dxa"/>
            <w:vAlign w:val="bottom"/>
            <w:vMerge w:val="continue"/>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w w:val="92"/>
              </w:rPr>
              <w:t>205,845</w:t>
            </w:r>
          </w:p>
        </w:tc>
        <w:tc>
          <w:tcPr>
            <w:tcW w:w="520" w:type="dxa"/>
            <w:vAlign w:val="bottom"/>
            <w:vMerge w:val="continue"/>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4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5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Comprised of our investment in the subordinated notes of Saratoga CLO.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Operating results for the three and six months ended August 31, 2014 and 2013 are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980" w:type="dxa"/>
            <w:vAlign w:val="bottom"/>
            <w:tcBorders>
              <w:bottom w:val="single" w:sz="8" w:color="auto"/>
            </w:tcBorders>
            <w:gridSpan w:val="4"/>
          </w:tcPr>
          <w:p>
            <w:pPr>
              <w:jc w:val="center"/>
              <w:ind w:left="114"/>
              <w:spacing w:after="0"/>
              <w:rPr>
                <w:sz w:val="20"/>
                <w:szCs w:val="20"/>
                <w:color w:val="auto"/>
              </w:rPr>
            </w:pPr>
            <w:r>
              <w:rPr>
                <w:rFonts w:ascii="Arial" w:cs="Arial" w:eastAsia="Arial" w:hAnsi="Arial"/>
                <w:sz w:val="14"/>
                <w:szCs w:val="14"/>
                <w:b w:val="1"/>
                <w:bCs w:val="1"/>
                <w:color w:val="auto"/>
                <w:w w:val="91"/>
              </w:rPr>
              <w:t>For the three months ended</w:t>
            </w:r>
          </w:p>
        </w:tc>
        <w:tc>
          <w:tcPr>
            <w:tcW w:w="5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Borders>
              <w:bottom w:val="single" w:sz="8" w:color="auto"/>
            </w:tcBorders>
            <w:gridSpan w:val="5"/>
          </w:tcPr>
          <w:p>
            <w:pPr>
              <w:spacing w:after="0" w:line="142" w:lineRule="exact"/>
              <w:rPr>
                <w:sz w:val="20"/>
                <w:szCs w:val="20"/>
                <w:color w:val="auto"/>
              </w:rPr>
            </w:pPr>
            <w:r>
              <w:rPr>
                <w:rFonts w:ascii="Arial" w:cs="Arial" w:eastAsia="Arial" w:hAnsi="Arial"/>
                <w:sz w:val="14"/>
                <w:szCs w:val="14"/>
                <w:b w:val="1"/>
                <w:bCs w:val="1"/>
                <w:color w:val="auto"/>
                <w:w w:val="93"/>
              </w:rPr>
              <w:t>August 31, 2014</w:t>
            </w:r>
          </w:p>
        </w:tc>
        <w:tc>
          <w:tcPr>
            <w:tcW w:w="1800" w:type="dxa"/>
            <w:vAlign w:val="bottom"/>
            <w:tcBorders>
              <w:bottom w:val="single" w:sz="8" w:color="auto"/>
            </w:tcBorders>
            <w:gridSpan w:val="3"/>
          </w:tcPr>
          <w:p>
            <w:pPr>
              <w:ind w:left="820"/>
              <w:spacing w:after="0" w:line="142" w:lineRule="exact"/>
              <w:rPr>
                <w:sz w:val="20"/>
                <w:szCs w:val="20"/>
                <w:color w:val="auto"/>
              </w:rPr>
            </w:pPr>
            <w:r>
              <w:rPr>
                <w:rFonts w:ascii="Arial" w:cs="Arial" w:eastAsia="Arial" w:hAnsi="Arial"/>
                <w:sz w:val="14"/>
                <w:szCs w:val="14"/>
                <w:b w:val="1"/>
                <w:bCs w:val="1"/>
                <w:color w:val="auto"/>
                <w:w w:val="90"/>
              </w:rPr>
              <w:t>August 31, 2013</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80" w:type="dxa"/>
            <w:vAlign w:val="bottom"/>
            <w:gridSpan w:val="4"/>
          </w:tcPr>
          <w:p>
            <w:pPr>
              <w:jc w:val="center"/>
              <w:ind w:left="114"/>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960" w:type="dxa"/>
            <w:vAlign w:val="bottom"/>
            <w:gridSpan w:val="4"/>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6,475</w:t>
            </w:r>
          </w:p>
        </w:tc>
        <w:tc>
          <w:tcPr>
            <w:tcW w:w="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5,388</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expenses, net</w:t>
            </w:r>
          </w:p>
        </w:tc>
        <w:tc>
          <w:tcPr>
            <w:tcW w:w="6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4,403</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3,116</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2,072</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realized gains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360</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546</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(losses)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(2,859)</w:t>
            </w: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Net increase/(decrease) in net assets resulting from operations</w:t>
            </w:r>
          </w:p>
        </w:tc>
        <w:tc>
          <w:tcPr>
            <w:tcW w:w="640" w:type="dxa"/>
            <w:vAlign w:val="bottom"/>
          </w:tcPr>
          <w:p>
            <w:pPr>
              <w:spacing w:after="0"/>
              <w:rPr>
                <w:sz w:val="19"/>
                <w:szCs w:val="19"/>
                <w:color w:val="auto"/>
              </w:rPr>
            </w:pPr>
          </w:p>
        </w:tc>
        <w:tc>
          <w:tcPr>
            <w:tcW w:w="320" w:type="dxa"/>
            <w:vAlign w:val="bottom"/>
            <w:tcBorders>
              <w:top w:val="single" w:sz="8" w:color="auto"/>
              <w:bottom w:val="single" w:sz="8" w:color="auto"/>
            </w:tcBorders>
            <w:gridSpan w:val="3"/>
          </w:tcPr>
          <w:p>
            <w:pPr>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3,136</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r>
      <w:tr>
        <w:trPr>
          <w:trHeight w:val="399"/>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4"/>
          </w:tcPr>
          <w:p>
            <w:pPr>
              <w:jc w:val="center"/>
              <w:ind w:left="134"/>
              <w:spacing w:after="0"/>
              <w:rPr>
                <w:sz w:val="20"/>
                <w:szCs w:val="20"/>
                <w:color w:val="auto"/>
              </w:rPr>
            </w:pPr>
            <w:r>
              <w:rPr>
                <w:rFonts w:ascii="Arial" w:cs="Arial" w:eastAsia="Arial" w:hAnsi="Arial"/>
                <w:sz w:val="14"/>
                <w:szCs w:val="14"/>
                <w:b w:val="1"/>
                <w:bCs w:val="1"/>
                <w:color w:val="auto"/>
                <w:w w:val="91"/>
              </w:rPr>
              <w:t>For the six months ended</w:t>
            </w:r>
          </w:p>
        </w:tc>
        <w:tc>
          <w:tcPr>
            <w:tcW w:w="5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bottom w:val="single" w:sz="8" w:color="auto"/>
            </w:tcBorders>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w w:val="88"/>
              </w:rPr>
              <w:t>August 31, 2014</w:t>
            </w:r>
          </w:p>
        </w:tc>
        <w:tc>
          <w:tcPr>
            <w:tcW w:w="1800" w:type="dxa"/>
            <w:vAlign w:val="bottom"/>
            <w:tcBorders>
              <w:bottom w:val="single" w:sz="8" w:color="auto"/>
            </w:tcBorders>
            <w:gridSpan w:val="3"/>
          </w:tcPr>
          <w:p>
            <w:pPr>
              <w:ind w:left="820"/>
              <w:spacing w:after="0" w:line="142" w:lineRule="exact"/>
              <w:rPr>
                <w:sz w:val="20"/>
                <w:szCs w:val="20"/>
                <w:color w:val="auto"/>
              </w:rPr>
            </w:pPr>
            <w:r>
              <w:rPr>
                <w:rFonts w:ascii="Arial" w:cs="Arial" w:eastAsia="Arial" w:hAnsi="Arial"/>
                <w:sz w:val="14"/>
                <w:szCs w:val="14"/>
                <w:b w:val="1"/>
                <w:bCs w:val="1"/>
                <w:color w:val="auto"/>
                <w:w w:val="90"/>
              </w:rPr>
              <w:t>August 31, 2013</w:t>
            </w:r>
          </w:p>
        </w:tc>
        <w:tc>
          <w:tcPr>
            <w:tcW w:w="12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980" w:type="dxa"/>
            <w:vAlign w:val="bottom"/>
            <w:gridSpan w:val="4"/>
          </w:tcPr>
          <w:p>
            <w:pPr>
              <w:jc w:val="center"/>
              <w:ind w:left="154"/>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Total investment income</w:t>
            </w:r>
          </w:p>
        </w:tc>
        <w:tc>
          <w:tcPr>
            <w:tcW w:w="960" w:type="dxa"/>
            <w:vAlign w:val="bottom"/>
            <w:gridSpan w:val="4"/>
            <w:shd w:val="clear" w:color="auto" w:fill="CCEEFF"/>
          </w:tcPr>
          <w:p>
            <w:pPr>
              <w:jc w:val="right"/>
              <w:ind w:right="127"/>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12,619</w:t>
            </w:r>
          </w:p>
        </w:tc>
        <w:tc>
          <w:tcPr>
            <w:tcW w:w="12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11,406</w:t>
            </w:r>
          </w:p>
        </w:tc>
        <w:tc>
          <w:tcPr>
            <w:tcW w:w="12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Total expenses, net</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8,486</w:t>
            </w:r>
          </w:p>
        </w:tc>
        <w:tc>
          <w:tcPr>
            <w:tcW w:w="8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6,664</w:t>
            </w:r>
          </w:p>
        </w:tc>
        <w:tc>
          <w:tcPr>
            <w:tcW w:w="12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4,133</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4,742</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Net realized gains</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442</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1,074</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unrealized gains (losses)</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(2,057)</w:t>
            </w:r>
          </w:p>
        </w:tc>
      </w:tr>
      <w:tr>
        <w:trPr>
          <w:trHeight w:val="223"/>
        </w:trPr>
        <w:tc>
          <w:tcPr>
            <w:tcW w:w="5100" w:type="dxa"/>
            <w:vAlign w:val="bottom"/>
            <w:gridSpan w:val="2"/>
          </w:tcPr>
          <w:p>
            <w:pPr>
              <w:spacing w:after="0"/>
              <w:rPr>
                <w:sz w:val="20"/>
                <w:szCs w:val="20"/>
                <w:color w:val="auto"/>
              </w:rPr>
            </w:pPr>
            <w:r>
              <w:rPr>
                <w:rFonts w:ascii="Arial" w:cs="Arial" w:eastAsia="Arial" w:hAnsi="Arial"/>
                <w:sz w:val="18"/>
                <w:szCs w:val="18"/>
                <w:color w:val="auto"/>
              </w:rPr>
              <w:t>Net increase in net assets resulting from operations</w:t>
            </w:r>
          </w:p>
        </w:tc>
        <w:tc>
          <w:tcPr>
            <w:tcW w:w="66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4,894</w:t>
            </w:r>
          </w:p>
        </w:tc>
        <w:tc>
          <w:tcPr>
            <w:tcW w:w="820" w:type="dxa"/>
            <w:vAlign w:val="bottom"/>
          </w:tcPr>
          <w:p>
            <w:pPr>
              <w:spacing w:after="0"/>
              <w:rPr>
                <w:sz w:val="19"/>
                <w:szCs w:val="19"/>
                <w:color w:val="auto"/>
              </w:rPr>
            </w:pPr>
          </w:p>
        </w:tc>
        <w:tc>
          <w:tcPr>
            <w:tcW w:w="4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3,759</w:t>
            </w:r>
          </w:p>
        </w:tc>
        <w:tc>
          <w:tcPr>
            <w:tcW w:w="120" w:type="dxa"/>
            <w:vAlign w:val="bottom"/>
          </w:tcPr>
          <w:p>
            <w:pPr>
              <w:spacing w:after="0"/>
              <w:rPr>
                <w:sz w:val="19"/>
                <w:szCs w:val="19"/>
                <w:color w:val="auto"/>
              </w:rPr>
            </w:pPr>
          </w:p>
        </w:tc>
      </w:tr>
    </w:tbl>
    <w:p>
      <w:pPr>
        <w:spacing w:after="0" w:line="32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Investment income</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composition of our investment income for the three and six months ended August 31, 2014 and 2013 was as follows: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41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4"/>
                <w:szCs w:val="14"/>
                <w:b w:val="1"/>
                <w:bCs w:val="1"/>
                <w:color w:val="auto"/>
              </w:rPr>
              <w:t>For the three months ended</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4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88"/>
              </w:rPr>
              <w:t>August 31, 2014</w:t>
            </w:r>
          </w:p>
        </w:tc>
        <w:tc>
          <w:tcPr>
            <w:tcW w:w="186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August 31, 2013</w:t>
            </w:r>
          </w:p>
        </w:tc>
        <w:tc>
          <w:tcPr>
            <w:tcW w:w="100" w:type="dxa"/>
            <w:vAlign w:val="bottom"/>
          </w:tcPr>
          <w:p>
            <w:pPr>
              <w:spacing w:after="0"/>
              <w:rPr>
                <w:sz w:val="12"/>
                <w:szCs w:val="12"/>
                <w:color w:val="auto"/>
              </w:rPr>
            </w:pPr>
          </w:p>
        </w:tc>
      </w:tr>
      <w:tr>
        <w:trPr>
          <w:trHeight w:val="142"/>
        </w:trPr>
        <w:tc>
          <w:tcPr>
            <w:tcW w:w="41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20" w:type="dxa"/>
            <w:vAlign w:val="bottom"/>
            <w:gridSpan w:val="3"/>
          </w:tcPr>
          <w:p>
            <w:pPr>
              <w:jc w:val="right"/>
              <w:ind w:right="365"/>
              <w:spacing w:after="0" w:line="142" w:lineRule="exact"/>
              <w:rPr>
                <w:sz w:val="20"/>
                <w:szCs w:val="20"/>
                <w:color w:val="auto"/>
              </w:rPr>
            </w:pPr>
            <w:r>
              <w:rPr>
                <w:rFonts w:ascii="Arial" w:cs="Arial" w:eastAsia="Arial" w:hAnsi="Arial"/>
                <w:sz w:val="14"/>
                <w:szCs w:val="14"/>
                <w:b w:val="1"/>
                <w:bCs w:val="1"/>
                <w:color w:val="auto"/>
              </w:rPr>
              <w:t>($ in thousands)</w:t>
            </w:r>
          </w:p>
        </w:tc>
        <w:tc>
          <w:tcPr>
            <w:tcW w:w="5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1880" w:type="dxa"/>
            <w:vAlign w:val="bottom"/>
            <w:gridSpan w:val="2"/>
            <w:shd w:val="clear" w:color="auto" w:fill="CCEEFF"/>
          </w:tcPr>
          <w:p>
            <w:pPr>
              <w:jc w:val="right"/>
              <w:ind w:right="167"/>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6,037</w:t>
            </w:r>
          </w:p>
        </w:tc>
        <w:tc>
          <w:tcPr>
            <w:tcW w:w="1360" w:type="dxa"/>
            <w:vAlign w:val="bottom"/>
            <w:gridSpan w:val="2"/>
            <w:shd w:val="clear" w:color="auto" w:fill="CCEEFF"/>
          </w:tcPr>
          <w:p>
            <w:pPr>
              <w:jc w:val="right"/>
              <w:ind w:right="325"/>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4,792</w:t>
            </w:r>
          </w:p>
        </w:tc>
        <w:tc>
          <w:tcPr>
            <w:tcW w:w="100" w:type="dxa"/>
            <w:vAlign w:val="bottom"/>
            <w:shd w:val="clear" w:color="auto" w:fill="CCEEFF"/>
          </w:tcPr>
          <w:p>
            <w:pPr>
              <w:spacing w:after="0"/>
              <w:rPr>
                <w:sz w:val="18"/>
                <w:szCs w:val="18"/>
                <w:color w:val="auto"/>
              </w:rPr>
            </w:pP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Management fee income from Saratoga CLO</w:t>
            </w:r>
          </w:p>
        </w:tc>
        <w:tc>
          <w:tcPr>
            <w:tcW w:w="1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375</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481</w:t>
            </w:r>
          </w:p>
        </w:tc>
        <w:tc>
          <w:tcPr>
            <w:tcW w:w="100" w:type="dxa"/>
            <w:vAlign w:val="bottom"/>
          </w:tcPr>
          <w:p>
            <w:pPr>
              <w:spacing w:after="0"/>
              <w:rPr>
                <w:sz w:val="18"/>
                <w:szCs w:val="18"/>
                <w:color w:val="auto"/>
              </w:rPr>
            </w:pPr>
          </w:p>
        </w:tc>
      </w:tr>
      <w:tr>
        <w:trPr>
          <w:trHeight w:val="216"/>
        </w:trPr>
        <w:tc>
          <w:tcPr>
            <w:tcW w:w="4180" w:type="dxa"/>
            <w:vAlign w:val="bottom"/>
            <w:shd w:val="clear" w:color="auto" w:fill="CCEEFF"/>
          </w:tcPr>
          <w:p>
            <w:pPr>
              <w:spacing w:after="0"/>
              <w:rPr>
                <w:sz w:val="20"/>
                <w:szCs w:val="20"/>
                <w:color w:val="auto"/>
              </w:rPr>
            </w:pPr>
            <w:r>
              <w:rPr>
                <w:rFonts w:ascii="Arial" w:cs="Arial" w:eastAsia="Arial" w:hAnsi="Arial"/>
                <w:sz w:val="18"/>
                <w:szCs w:val="18"/>
                <w:color w:val="auto"/>
                <w:w w:val="89"/>
              </w:rPr>
              <w:t>Interest from cash and cash equivalents and other income</w:t>
            </w:r>
          </w:p>
        </w:tc>
        <w:tc>
          <w:tcPr>
            <w:tcW w:w="156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88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shd w:val="clear" w:color="auto" w:fill="CCEEFF"/>
          </w:tcPr>
          <w:p>
            <w:pPr>
              <w:spacing w:after="0"/>
              <w:rPr>
                <w:sz w:val="18"/>
                <w:szCs w:val="18"/>
                <w:color w:val="auto"/>
              </w:rPr>
            </w:pPr>
          </w:p>
        </w:tc>
      </w:tr>
      <w:tr>
        <w:trPr>
          <w:trHeight w:val="223"/>
        </w:trPr>
        <w:tc>
          <w:tcPr>
            <w:tcW w:w="4180" w:type="dxa"/>
            <w:vAlign w:val="bottom"/>
          </w:tcPr>
          <w:p>
            <w:pPr>
              <w:spacing w:after="0"/>
              <w:rPr>
                <w:sz w:val="20"/>
                <w:szCs w:val="20"/>
                <w:color w:val="auto"/>
              </w:rPr>
            </w:pPr>
            <w:r>
              <w:rPr>
                <w:rFonts w:ascii="Arial" w:cs="Arial" w:eastAsia="Arial" w:hAnsi="Arial"/>
                <w:sz w:val="18"/>
                <w:szCs w:val="18"/>
                <w:color w:val="auto"/>
              </w:rPr>
              <w:t>Total</w:t>
            </w:r>
          </w:p>
        </w:tc>
        <w:tc>
          <w:tcPr>
            <w:tcW w:w="1560" w:type="dxa"/>
            <w:vAlign w:val="bottom"/>
          </w:tcPr>
          <w:p>
            <w:pPr>
              <w:spacing w:after="0"/>
              <w:rPr>
                <w:sz w:val="19"/>
                <w:szCs w:val="19"/>
                <w:color w:val="auto"/>
              </w:rPr>
            </w:pPr>
          </w:p>
        </w:tc>
        <w:tc>
          <w:tcPr>
            <w:tcW w:w="32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6,475</w:t>
            </w:r>
          </w:p>
        </w:tc>
        <w:tc>
          <w:tcPr>
            <w:tcW w:w="880" w:type="dxa"/>
            <w:vAlign w:val="bottom"/>
          </w:tcPr>
          <w:p>
            <w:pPr>
              <w:spacing w:after="0"/>
              <w:rPr>
                <w:sz w:val="19"/>
                <w:szCs w:val="19"/>
                <w:color w:val="auto"/>
              </w:rPr>
            </w:pPr>
          </w:p>
        </w:tc>
        <w:tc>
          <w:tcPr>
            <w:tcW w:w="480" w:type="dxa"/>
            <w:vAlign w:val="bottom"/>
            <w:tcBorders>
              <w:bottom w:val="single" w:sz="8" w:color="auto"/>
            </w:tcBorders>
          </w:tcPr>
          <w:p>
            <w:pPr>
              <w:jc w:val="right"/>
              <w:ind w:right="325"/>
              <w:spacing w:after="0"/>
              <w:rPr>
                <w:sz w:val="20"/>
                <w:szCs w:val="20"/>
                <w:color w:val="auto"/>
              </w:rPr>
            </w:pPr>
            <w:r>
              <w:rPr>
                <w:rFonts w:ascii="Arial" w:cs="Arial" w:eastAsia="Arial" w:hAnsi="Arial"/>
                <w:sz w:val="15"/>
                <w:szCs w:val="15"/>
                <w:color w:val="auto"/>
                <w:w w:val="71"/>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5,388</w:t>
            </w:r>
          </w:p>
        </w:tc>
        <w:tc>
          <w:tcPr>
            <w:tcW w:w="100" w:type="dxa"/>
            <w:vAlign w:val="bottom"/>
          </w:tcPr>
          <w:p>
            <w:pPr>
              <w:spacing w:after="0"/>
              <w:rPr>
                <w:sz w:val="19"/>
                <w:szCs w:val="19"/>
                <w:color w:val="auto"/>
              </w:rPr>
            </w:pPr>
          </w:p>
        </w:tc>
      </w:tr>
      <w:tr>
        <w:trPr>
          <w:trHeight w:val="372"/>
        </w:trPr>
        <w:tc>
          <w:tcPr>
            <w:tcW w:w="4180" w:type="dxa"/>
            <w:vAlign w:val="bottom"/>
          </w:tcPr>
          <w:p>
            <w:pPr>
              <w:spacing w:after="0"/>
              <w:rPr>
                <w:sz w:val="24"/>
                <w:szCs w:val="24"/>
                <w:color w:val="auto"/>
              </w:rPr>
            </w:pPr>
          </w:p>
        </w:tc>
        <w:tc>
          <w:tcPr>
            <w:tcW w:w="1560" w:type="dxa"/>
            <w:vAlign w:val="bottom"/>
          </w:tcPr>
          <w:p>
            <w:pPr>
              <w:jc w:val="right"/>
              <w:ind w:right="1230"/>
              <w:spacing w:after="0"/>
              <w:rPr>
                <w:sz w:val="20"/>
                <w:szCs w:val="20"/>
                <w:color w:val="auto"/>
              </w:rPr>
            </w:pPr>
            <w:r>
              <w:rPr>
                <w:rFonts w:ascii="Arial" w:cs="Arial" w:eastAsia="Arial" w:hAnsi="Arial"/>
                <w:sz w:val="18"/>
                <w:szCs w:val="18"/>
                <w:color w:val="auto"/>
              </w:rPr>
              <w:t>48</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0960"/>
          </w:cols>
          <w:pgMar w:left="240" w:top="459" w:right="69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For the six months ended</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5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August 31, 2014</w:t>
            </w:r>
          </w:p>
        </w:tc>
        <w:tc>
          <w:tcPr>
            <w:tcW w:w="1800" w:type="dxa"/>
            <w:vAlign w:val="bottom"/>
            <w:tcBorders>
              <w:bottom w:val="single" w:sz="8" w:color="auto"/>
            </w:tcBorders>
            <w:gridSpan w:val="3"/>
          </w:tcPr>
          <w:p>
            <w:pPr>
              <w:jc w:val="right"/>
              <w:spacing w:after="0" w:line="142" w:lineRule="exact"/>
              <w:rPr>
                <w:sz w:val="20"/>
                <w:szCs w:val="20"/>
                <w:color w:val="auto"/>
              </w:rPr>
            </w:pPr>
            <w:r>
              <w:rPr>
                <w:rFonts w:ascii="Arial" w:cs="Arial" w:eastAsia="Arial" w:hAnsi="Arial"/>
                <w:sz w:val="14"/>
                <w:szCs w:val="14"/>
                <w:b w:val="1"/>
                <w:bCs w:val="1"/>
                <w:color w:val="auto"/>
              </w:rPr>
              <w:t>August 31, 2013</w:t>
            </w:r>
          </w:p>
        </w:tc>
        <w:tc>
          <w:tcPr>
            <w:tcW w:w="100" w:type="dxa"/>
            <w:vAlign w:val="bottom"/>
          </w:tcPr>
          <w:p>
            <w:pPr>
              <w:spacing w:after="0"/>
              <w:rPr>
                <w:sz w:val="12"/>
                <w:szCs w:val="12"/>
                <w:color w:val="auto"/>
              </w:rPr>
            </w:pPr>
          </w:p>
        </w:tc>
      </w:tr>
      <w:tr>
        <w:trPr>
          <w:trHeight w:val="142"/>
        </w:trPr>
        <w:tc>
          <w:tcPr>
            <w:tcW w:w="5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960" w:type="dxa"/>
            <w:vAlign w:val="bottom"/>
            <w:gridSpan w:val="3"/>
          </w:tcPr>
          <w:p>
            <w:pPr>
              <w:jc w:val="right"/>
              <w:ind w:right="285"/>
              <w:spacing w:after="0" w:line="142" w:lineRule="exact"/>
              <w:rPr>
                <w:sz w:val="20"/>
                <w:szCs w:val="20"/>
                <w:color w:val="auto"/>
              </w:rPr>
            </w:pPr>
            <w:r>
              <w:rPr>
                <w:rFonts w:ascii="Arial" w:cs="Arial" w:eastAsia="Arial" w:hAnsi="Arial"/>
                <w:sz w:val="14"/>
                <w:szCs w:val="14"/>
                <w:b w:val="1"/>
                <w:bCs w:val="1"/>
                <w:color w:val="auto"/>
              </w:rPr>
              <w:t>($ 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Interest from investments</w:t>
            </w:r>
          </w:p>
        </w:tc>
        <w:tc>
          <w:tcPr>
            <w:tcW w:w="2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11,639</w:t>
            </w:r>
          </w:p>
        </w:tc>
        <w:tc>
          <w:tcPr>
            <w:tcW w:w="1240" w:type="dxa"/>
            <w:vAlign w:val="bottom"/>
            <w:gridSpan w:val="2"/>
            <w:shd w:val="clear" w:color="auto" w:fill="CCEEFF"/>
          </w:tcPr>
          <w:p>
            <w:pPr>
              <w:jc w:val="right"/>
              <w:ind w:right="265"/>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9,963</w:t>
            </w:r>
          </w:p>
        </w:tc>
        <w:tc>
          <w:tcPr>
            <w:tcW w:w="100" w:type="dxa"/>
            <w:vAlign w:val="bottom"/>
            <w:shd w:val="clear" w:color="auto" w:fill="CCEEFF"/>
          </w:tcPr>
          <w:p>
            <w:pPr>
              <w:spacing w:after="0"/>
              <w:rPr>
                <w:sz w:val="18"/>
                <w:szCs w:val="18"/>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Management fee income from Saratoga CLO</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767</w:t>
            </w: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979</w:t>
            </w:r>
          </w:p>
        </w:tc>
        <w:tc>
          <w:tcPr>
            <w:tcW w:w="100" w:type="dxa"/>
            <w:vAlign w:val="bottom"/>
          </w:tcPr>
          <w:p>
            <w:pPr>
              <w:spacing w:after="0"/>
              <w:rPr>
                <w:sz w:val="18"/>
                <w:szCs w:val="18"/>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Interest from cash and cash equivalents and other income</w:t>
            </w: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82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464</w:t>
            </w:r>
          </w:p>
        </w:tc>
        <w:tc>
          <w:tcPr>
            <w:tcW w:w="100" w:type="dxa"/>
            <w:vAlign w:val="bottom"/>
            <w:shd w:val="clear" w:color="auto" w:fill="CCEEFF"/>
          </w:tcPr>
          <w:p>
            <w:pPr>
              <w:spacing w:after="0"/>
              <w:rPr>
                <w:sz w:val="18"/>
                <w:szCs w:val="18"/>
                <w:color w:val="auto"/>
              </w:rPr>
            </w:pPr>
          </w:p>
        </w:tc>
      </w:tr>
      <w:tr>
        <w:trPr>
          <w:trHeight w:val="223"/>
        </w:trPr>
        <w:tc>
          <w:tcPr>
            <w:tcW w:w="5780" w:type="dxa"/>
            <w:vAlign w:val="bottom"/>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12,619</w:t>
            </w:r>
          </w:p>
        </w:tc>
        <w:tc>
          <w:tcPr>
            <w:tcW w:w="820" w:type="dxa"/>
            <w:vAlign w:val="bottom"/>
          </w:tcPr>
          <w:p>
            <w:pPr>
              <w:spacing w:after="0"/>
              <w:rPr>
                <w:sz w:val="19"/>
                <w:szCs w:val="19"/>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11,406</w:t>
            </w:r>
          </w:p>
        </w:tc>
        <w:tc>
          <w:tcPr>
            <w:tcW w:w="100" w:type="dxa"/>
            <w:vAlign w:val="bottom"/>
          </w:tcPr>
          <w:p>
            <w:pPr>
              <w:spacing w:after="0"/>
              <w:rPr>
                <w:sz w:val="19"/>
                <w:szCs w:val="19"/>
                <w:color w:val="auto"/>
              </w:rPr>
            </w:pPr>
          </w:p>
        </w:tc>
      </w:tr>
    </w:tbl>
    <w:p>
      <w:pPr>
        <w:spacing w:after="0" w:line="215" w:lineRule="exact"/>
        <w:rPr>
          <w:sz w:val="20"/>
          <w:szCs w:val="20"/>
          <w:color w:val="auto"/>
        </w:rPr>
      </w:pPr>
    </w:p>
    <w:p>
      <w:pPr>
        <w:ind w:firstLine="913"/>
        <w:spacing w:after="0" w:line="279" w:lineRule="auto"/>
        <w:rPr>
          <w:sz w:val="20"/>
          <w:szCs w:val="20"/>
          <w:color w:val="auto"/>
        </w:rPr>
      </w:pPr>
      <w:r>
        <w:rPr>
          <w:rFonts w:ascii="Arial" w:cs="Arial" w:eastAsia="Arial" w:hAnsi="Arial"/>
          <w:sz w:val="17"/>
          <w:szCs w:val="17"/>
          <w:color w:val="auto"/>
        </w:rPr>
        <w:t>For the three months ended August 31, 2014, total investment income increased $1.1 million, or 20.2% compared to the three months ended August 31, 2013. Interest income from investments increased $1.2 million, or 26.0%, to $6.0 million for the three months ended August 31, 2014, from $4.8 million for the three months ended August 31, 2013. This reflects an increase of 25.8% in total investments to $236.3 million at August 31, 2014 from $187.8 million at August 31, 2013, with the weighted average yield also decreasing to 12.2% from 13.2%.</w:t>
      </w:r>
    </w:p>
    <w:p>
      <w:pPr>
        <w:spacing w:after="0" w:line="171"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color w:val="auto"/>
        </w:rPr>
        <w:t>For the six months ended August 31, 2014, total investment income increased $1.2 million, or 10.6%, compared to the six months ended August 31, 2013. Interest income from investments increased $1.6 million, or 16.8%, to $11.6 million for the six months ended August 31, 2014, from $10.0 million for the six months ended August 31, 2013. This reflects an increase of 25.8% in total investments to $236.3 million at August 31, 2014 from $187.8 million at August 31, 2013, with the weighted average yield also decreasing to 12.2% from 13.2%.</w:t>
      </w:r>
    </w:p>
    <w:p>
      <w:pPr>
        <w:spacing w:after="0" w:line="187" w:lineRule="exact"/>
        <w:rPr>
          <w:sz w:val="20"/>
          <w:szCs w:val="20"/>
          <w:color w:val="auto"/>
        </w:rPr>
      </w:pPr>
    </w:p>
    <w:p>
      <w:pPr>
        <w:ind w:right="240" w:firstLine="913"/>
        <w:spacing w:after="0" w:line="277" w:lineRule="auto"/>
        <w:rPr>
          <w:sz w:val="20"/>
          <w:szCs w:val="20"/>
          <w:color w:val="auto"/>
        </w:rPr>
      </w:pPr>
      <w:r>
        <w:rPr>
          <w:rFonts w:ascii="Arial" w:cs="Arial" w:eastAsia="Arial" w:hAnsi="Arial"/>
          <w:sz w:val="18"/>
          <w:szCs w:val="18"/>
          <w:color w:val="auto"/>
        </w:rPr>
        <w:t>For the three and six months ended August 31, 2014 and 2013, total PIK income was $0.3 million and $0.6 million, and $0.3 million and $0.5 million, respectively.</w:t>
      </w:r>
    </w:p>
    <w:p>
      <w:pPr>
        <w:spacing w:after="0" w:line="170" w:lineRule="exact"/>
        <w:rPr>
          <w:sz w:val="20"/>
          <w:szCs w:val="20"/>
          <w:color w:val="auto"/>
        </w:rPr>
      </w:pPr>
    </w:p>
    <w:p>
      <w:pPr>
        <w:ind w:right="200" w:firstLine="913"/>
        <w:spacing w:after="0" w:line="279" w:lineRule="auto"/>
        <w:rPr>
          <w:sz w:val="20"/>
          <w:szCs w:val="20"/>
          <w:color w:val="auto"/>
        </w:rPr>
      </w:pPr>
      <w:r>
        <w:rPr>
          <w:rFonts w:ascii="Arial" w:cs="Arial" w:eastAsia="Arial" w:hAnsi="Arial"/>
          <w:sz w:val="17"/>
          <w:szCs w:val="17"/>
          <w:color w:val="auto"/>
        </w:rPr>
        <w:t>The Saratoga CLO was refinanced in October 2013. As a result, proceeds from principal payments in the loan portfolio of Saratoga CLO must now be used to paydown its outstanding notes. Thus, the management fee income and investment income that we receive from Saratoga CLO has declined from historical periods decreasing $0.1 million, or 21.9%, to $0.4 million and $0.2 million, or 21.6%, to $0.8 million, respectively, for the three and six months ended August 31, 2014 from $0.5 million and $1.0 million for the three and six months ended August 31, 2013, respectively.</w:t>
      </w:r>
    </w:p>
    <w:p>
      <w:pPr>
        <w:spacing w:after="0" w:line="280"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composition of our expenses for the three and six months ended August 31, 2014 and 2013 was as follows: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44" w:lineRule="exact"/>
        <w:rPr>
          <w:sz w:val="20"/>
          <w:szCs w:val="20"/>
          <w:color w:val="auto"/>
        </w:rPr>
      </w:pPr>
    </w:p>
    <w:tbl>
      <w:tblPr>
        <w:tblLayout w:type="fixed"/>
        <w:tblInd w:w="138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20" w:type="dxa"/>
            <w:vAlign w:val="bottom"/>
            <w:tcBorders>
              <w:bottom w:val="single" w:sz="8" w:color="auto"/>
            </w:tcBorders>
            <w:gridSpan w:val="3"/>
          </w:tcPr>
          <w:p>
            <w:pPr>
              <w:jc w:val="center"/>
              <w:ind w:left="73"/>
              <w:spacing w:after="0"/>
              <w:rPr>
                <w:sz w:val="20"/>
                <w:szCs w:val="20"/>
                <w:color w:val="auto"/>
              </w:rPr>
            </w:pPr>
            <w:r>
              <w:rPr>
                <w:rFonts w:ascii="Arial" w:cs="Arial" w:eastAsia="Arial" w:hAnsi="Arial"/>
                <w:sz w:val="14"/>
                <w:szCs w:val="14"/>
                <w:b w:val="1"/>
                <w:bCs w:val="1"/>
                <w:color w:val="auto"/>
                <w:w w:val="91"/>
              </w:rPr>
              <w:t>For the three months ended</w:t>
            </w:r>
          </w:p>
        </w:tc>
        <w:tc>
          <w:tcPr>
            <w:tcW w:w="4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August 31, 2014</w:t>
            </w:r>
          </w:p>
        </w:tc>
        <w:tc>
          <w:tcPr>
            <w:tcW w:w="1840" w:type="dxa"/>
            <w:vAlign w:val="bottom"/>
            <w:tcBorders>
              <w:bottom w:val="single" w:sz="8" w:color="auto"/>
            </w:tcBorders>
            <w:gridSpan w:val="3"/>
          </w:tcPr>
          <w:p>
            <w:pPr>
              <w:ind w:left="860"/>
              <w:spacing w:after="0" w:line="142" w:lineRule="exact"/>
              <w:rPr>
                <w:sz w:val="20"/>
                <w:szCs w:val="20"/>
                <w:color w:val="auto"/>
              </w:rPr>
            </w:pPr>
            <w:r>
              <w:rPr>
                <w:rFonts w:ascii="Arial" w:cs="Arial" w:eastAsia="Arial" w:hAnsi="Arial"/>
                <w:sz w:val="14"/>
                <w:szCs w:val="14"/>
                <w:b w:val="1"/>
                <w:bCs w:val="1"/>
                <w:color w:val="auto"/>
                <w:w w:val="90"/>
              </w:rPr>
              <w:t>August 31, 2013</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20" w:type="dxa"/>
            <w:vAlign w:val="bottom"/>
            <w:gridSpan w:val="3"/>
          </w:tcPr>
          <w:p>
            <w:pPr>
              <w:jc w:val="center"/>
              <w:ind w:left="73"/>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financing expenses</w:t>
            </w:r>
          </w:p>
        </w:tc>
        <w:tc>
          <w:tcPr>
            <w:tcW w:w="226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1,809</w:t>
            </w:r>
          </w:p>
        </w:tc>
        <w:tc>
          <w:tcPr>
            <w:tcW w:w="13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Base management fees</w:t>
            </w: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1,037</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811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8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Incentive management fees</w:t>
            </w: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790</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gridSpan w:val="3"/>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Administrator expenses</w:t>
            </w: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8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Insurance</w:t>
            </w: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84</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Directors fees and expenses</w:t>
            </w: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8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9"/>
              </w:rPr>
              <w:t>General and administrative and other expenses</w:t>
            </w:r>
          </w:p>
        </w:tc>
        <w:tc>
          <w:tcPr>
            <w:tcW w:w="1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w:t>
            </w:r>
          </w:p>
        </w:tc>
        <w:tc>
          <w:tcPr>
            <w:tcW w:w="8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26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4,403</w:t>
            </w:r>
          </w:p>
        </w:tc>
        <w:tc>
          <w:tcPr>
            <w:tcW w:w="13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80" w:type="dxa"/>
            <w:vAlign w:val="bottom"/>
            <w:tcBorders>
              <w:right w:val="single" w:sz="8" w:color="auto"/>
            </w:tcBorders>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99"/>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3"/>
          </w:tcPr>
          <w:p>
            <w:pPr>
              <w:jc w:val="center"/>
              <w:ind w:left="73"/>
              <w:spacing w:after="0"/>
              <w:rPr>
                <w:sz w:val="20"/>
                <w:szCs w:val="20"/>
                <w:color w:val="auto"/>
              </w:rPr>
            </w:pPr>
            <w:r>
              <w:rPr>
                <w:rFonts w:ascii="Arial" w:cs="Arial" w:eastAsia="Arial" w:hAnsi="Arial"/>
                <w:sz w:val="14"/>
                <w:szCs w:val="14"/>
                <w:b w:val="1"/>
                <w:bCs w:val="1"/>
                <w:color w:val="auto"/>
                <w:w w:val="90"/>
              </w:rPr>
              <w:t>For the six months ended</w:t>
            </w: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98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0"/>
              </w:rPr>
              <w:t>August 31, 2014</w:t>
            </w:r>
          </w:p>
        </w:tc>
        <w:tc>
          <w:tcPr>
            <w:tcW w:w="88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0"/>
              </w:rPr>
              <w:t>August 31, 2013</w:t>
            </w:r>
          </w:p>
        </w:tc>
        <w:tc>
          <w:tcPr>
            <w:tcW w:w="10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378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20" w:type="dxa"/>
            <w:vAlign w:val="bottom"/>
            <w:gridSpan w:val="3"/>
          </w:tcPr>
          <w:p>
            <w:pPr>
              <w:jc w:val="center"/>
              <w:ind w:left="73"/>
              <w:spacing w:after="0" w:line="142" w:lineRule="exact"/>
              <w:rPr>
                <w:sz w:val="20"/>
                <w:szCs w:val="20"/>
                <w:color w:val="auto"/>
              </w:rPr>
            </w:pPr>
            <w:r>
              <w:rPr>
                <w:rFonts w:ascii="Arial" w:cs="Arial" w:eastAsia="Arial" w:hAnsi="Arial"/>
                <w:sz w:val="14"/>
                <w:szCs w:val="14"/>
                <w:b w:val="1"/>
                <w:bCs w:val="1"/>
                <w:color w:val="auto"/>
                <w:w w:val="90"/>
              </w:rPr>
              <w:t>($ in thousands)</w:t>
            </w: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Interest and debt financing expenses</w:t>
            </w:r>
          </w:p>
        </w:tc>
        <w:tc>
          <w:tcPr>
            <w:tcW w:w="226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3,597</w:t>
            </w:r>
          </w:p>
        </w:tc>
        <w:tc>
          <w:tcPr>
            <w:tcW w:w="13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2,731</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Base management fees</w:t>
            </w: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2,006</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1,548</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Professional fees</w:t>
            </w: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711</w:t>
            </w:r>
          </w:p>
        </w:tc>
        <w:tc>
          <w:tcPr>
            <w:tcW w:w="8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Incentive management fees</w:t>
            </w: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1,171</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781</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Administrator expenses</w:t>
            </w: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8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Insurance</w:t>
            </w:r>
          </w:p>
        </w:tc>
        <w:tc>
          <w:tcPr>
            <w:tcW w:w="19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168</w:t>
            </w:r>
          </w:p>
        </w:tc>
        <w:tc>
          <w:tcPr>
            <w:tcW w:w="8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Directors fees and expenses</w:t>
            </w:r>
          </w:p>
        </w:tc>
        <w:tc>
          <w:tcPr>
            <w:tcW w:w="19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880" w:type="dxa"/>
            <w:vAlign w:val="bottom"/>
            <w:tcBorders>
              <w:right w:val="single" w:sz="8" w:color="CCEEFF"/>
            </w:tcBorders>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9"/>
              </w:rPr>
              <w:t>General and administrative and other expenses</w:t>
            </w:r>
          </w:p>
        </w:tc>
        <w:tc>
          <w:tcPr>
            <w:tcW w:w="194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224</w:t>
            </w:r>
          </w:p>
        </w:tc>
        <w:tc>
          <w:tcPr>
            <w:tcW w:w="8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203</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260" w:type="dxa"/>
            <w:vAlign w:val="bottom"/>
            <w:gridSpan w:val="2"/>
            <w:shd w:val="clear" w:color="auto" w:fill="CCEEFF"/>
          </w:tcPr>
          <w:p>
            <w:pPr>
              <w:ind w:left="19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8,486</w:t>
            </w:r>
          </w:p>
        </w:tc>
        <w:tc>
          <w:tcPr>
            <w:tcW w:w="13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6,664</w:t>
            </w:r>
          </w:p>
        </w:tc>
        <w:tc>
          <w:tcPr>
            <w:tcW w:w="100" w:type="dxa"/>
            <w:vAlign w:val="bottom"/>
            <w:shd w:val="clear" w:color="auto" w:fill="CCEEFF"/>
          </w:tcPr>
          <w:p>
            <w:pPr>
              <w:spacing w:after="0"/>
              <w:rPr>
                <w:sz w:val="18"/>
                <w:szCs w:val="18"/>
                <w:color w:val="auto"/>
              </w:rPr>
            </w:pPr>
          </w:p>
        </w:tc>
      </w:tr>
      <w:tr>
        <w:trPr>
          <w:trHeight w:val="372"/>
        </w:trPr>
        <w:tc>
          <w:tcPr>
            <w:tcW w:w="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940" w:type="dxa"/>
            <w:vAlign w:val="bottom"/>
          </w:tcPr>
          <w:p>
            <w:pPr>
              <w:ind w:left="440"/>
              <w:spacing w:after="0"/>
              <w:rPr>
                <w:sz w:val="20"/>
                <w:szCs w:val="20"/>
                <w:color w:val="auto"/>
              </w:rPr>
            </w:pPr>
            <w:r>
              <w:rPr>
                <w:rFonts w:ascii="Arial" w:cs="Arial" w:eastAsia="Arial" w:hAnsi="Arial"/>
                <w:sz w:val="18"/>
                <w:szCs w:val="18"/>
                <w:color w:val="auto"/>
              </w:rPr>
              <w:t>49</w:t>
            </w:r>
          </w:p>
        </w:tc>
        <w:tc>
          <w:tcPr>
            <w:tcW w:w="3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380"/>
          </w:cols>
          <w:pgMar w:left="240" w:top="459" w:right="2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380" w:firstLine="913"/>
        <w:spacing w:after="0" w:line="264" w:lineRule="auto"/>
        <w:rPr>
          <w:sz w:val="20"/>
          <w:szCs w:val="20"/>
          <w:color w:val="auto"/>
        </w:rPr>
      </w:pPr>
      <w:r>
        <w:rPr>
          <w:rFonts w:ascii="Arial" w:cs="Arial" w:eastAsia="Arial" w:hAnsi="Arial"/>
          <w:sz w:val="18"/>
          <w:szCs w:val="18"/>
          <w:color w:val="auto"/>
        </w:rPr>
        <w:t>For the three months ended August 31, 2014, total operating expenses increased $1.3 million, or 41.3% compared to the three months ended August 31, 2013. For the six months ended August 31, 2014, total operating expenses increased $1.8 million or 27.3% compared to the six months ended August 31, 2013.</w:t>
      </w:r>
    </w:p>
    <w:p>
      <w:pPr>
        <w:spacing w:after="0" w:line="181" w:lineRule="exact"/>
        <w:rPr>
          <w:sz w:val="20"/>
          <w:szCs w:val="20"/>
          <w:color w:val="auto"/>
        </w:rPr>
      </w:pPr>
    </w:p>
    <w:p>
      <w:pPr>
        <w:ind w:right="100" w:firstLine="913"/>
        <w:spacing w:after="0" w:line="302" w:lineRule="auto"/>
        <w:rPr>
          <w:sz w:val="20"/>
          <w:szCs w:val="20"/>
          <w:color w:val="auto"/>
        </w:rPr>
      </w:pPr>
      <w:r>
        <w:rPr>
          <w:rFonts w:ascii="Arial" w:cs="Arial" w:eastAsia="Arial" w:hAnsi="Arial"/>
          <w:sz w:val="16"/>
          <w:szCs w:val="16"/>
          <w:color w:val="auto"/>
        </w:rPr>
        <w:t>For the three months ended August 31, 2014 and 2013, the increase in interest and credit facility expense is primarily attributable to an increase in the amount of outstanding debt as compared to the prior periods, with higher levels of both the SBA debentures and the revolving credit facility outstanding. For the three months ended August 31, 2014, the weighted average interest rate on our outstanding indebtedness was 5.14% compared to 5.53% for the three months ended August 31, 2013. This decrease was primarily driven by an increase in SBA debentures that carry a lower interest rate.</w:t>
      </w:r>
    </w:p>
    <w:p>
      <w:pPr>
        <w:spacing w:after="0" w:line="154" w:lineRule="exact"/>
        <w:rPr>
          <w:sz w:val="20"/>
          <w:szCs w:val="20"/>
          <w:color w:val="auto"/>
        </w:rPr>
      </w:pPr>
    </w:p>
    <w:p>
      <w:pPr>
        <w:ind w:right="120" w:firstLine="913"/>
        <w:spacing w:after="0" w:line="279" w:lineRule="auto"/>
        <w:rPr>
          <w:sz w:val="20"/>
          <w:szCs w:val="20"/>
          <w:color w:val="auto"/>
        </w:rPr>
      </w:pPr>
      <w:r>
        <w:rPr>
          <w:rFonts w:ascii="Arial" w:cs="Arial" w:eastAsia="Arial" w:hAnsi="Arial"/>
          <w:sz w:val="17"/>
          <w:szCs w:val="17"/>
          <w:color w:val="auto"/>
        </w:rPr>
        <w:t>For the six months ended August 31, 2014 and 2013, the increase in interest and credit facility expense is primarily attributable to an increase in the amount of outstanding debt as compared to the prior periods, with higher levels of both the SBA debentures and the revolving credit facility outstanding. For the six months ended August 31, 2014, the weighted average interest rate on our outstanding indebtedness was 5.22% compared to 4.85% for the six months ended August 31, 2013. This increase was primarily driven by the interest rate on the note issuance.</w:t>
      </w:r>
    </w:p>
    <w:p>
      <w:pPr>
        <w:spacing w:after="0" w:line="171" w:lineRule="exact"/>
        <w:rPr>
          <w:sz w:val="20"/>
          <w:szCs w:val="20"/>
          <w:color w:val="auto"/>
        </w:rPr>
      </w:pPr>
    </w:p>
    <w:p>
      <w:pPr>
        <w:ind w:right="60" w:firstLine="913"/>
        <w:spacing w:after="0" w:line="259" w:lineRule="auto"/>
        <w:rPr>
          <w:sz w:val="20"/>
          <w:szCs w:val="20"/>
          <w:color w:val="auto"/>
        </w:rPr>
      </w:pPr>
      <w:r>
        <w:rPr>
          <w:rFonts w:ascii="Arial" w:cs="Arial" w:eastAsia="Arial" w:hAnsi="Arial"/>
          <w:sz w:val="18"/>
          <w:szCs w:val="18"/>
          <w:color w:val="auto"/>
        </w:rPr>
        <w:t>For the three months ended August 31, 2014, base management fees increased $0.2 million, or 27.9% compared to the three months ended August 31, 2013. For the six months ended August 31, 2014, base management fees increased $0.5 million, or 29.6% compared to the six months ended August 31, 2013. The increase in base management fees results from the increase in the average value of our total assets, less cash and cash equivalents, from $183.9 million to $235.1 million as of August 31, 2013 and 2014, respectively.</w:t>
      </w:r>
    </w:p>
    <w:p>
      <w:pPr>
        <w:spacing w:after="0" w:line="187" w:lineRule="exact"/>
        <w:rPr>
          <w:sz w:val="20"/>
          <w:szCs w:val="20"/>
          <w:color w:val="auto"/>
        </w:rPr>
      </w:pPr>
    </w:p>
    <w:p>
      <w:pPr>
        <w:ind w:right="920" w:firstLine="913"/>
        <w:spacing w:after="0" w:line="277" w:lineRule="auto"/>
        <w:rPr>
          <w:sz w:val="20"/>
          <w:szCs w:val="20"/>
          <w:color w:val="auto"/>
        </w:rPr>
      </w:pPr>
      <w:r>
        <w:rPr>
          <w:rFonts w:ascii="Arial" w:cs="Arial" w:eastAsia="Arial" w:hAnsi="Arial"/>
          <w:sz w:val="18"/>
          <w:szCs w:val="18"/>
          <w:color w:val="auto"/>
        </w:rPr>
        <w:t>For the three and six months ended August 31, 2014, professional fees increased $0.04 million or 17.4%, and $0.1 million, or 25.6%, respectively, compared to the three and six months ended August 31, 2013.</w:t>
      </w:r>
    </w:p>
    <w:p>
      <w:pPr>
        <w:spacing w:after="0" w:line="170" w:lineRule="exact"/>
        <w:rPr>
          <w:sz w:val="20"/>
          <w:szCs w:val="20"/>
          <w:color w:val="auto"/>
        </w:rPr>
      </w:pPr>
    </w:p>
    <w:p>
      <w:pPr>
        <w:ind w:firstLine="913"/>
        <w:spacing w:after="0" w:line="259" w:lineRule="auto"/>
        <w:rPr>
          <w:sz w:val="20"/>
          <w:szCs w:val="20"/>
          <w:color w:val="auto"/>
        </w:rPr>
      </w:pPr>
      <w:r>
        <w:rPr>
          <w:rFonts w:ascii="Arial" w:cs="Arial" w:eastAsia="Arial" w:hAnsi="Arial"/>
          <w:sz w:val="18"/>
          <w:szCs w:val="18"/>
          <w:color w:val="auto"/>
        </w:rPr>
        <w:t>For the three months ended August 31, 2014, incentive management fees increased $0.8 million to $0.8 million, compared to a reduction of $0.04 million for the three months ended August 31, 2013. For the six months ended August 31, 2014, incentive management fees increased $0.4 million or 49.9% compared to the six months ended August 31, 2013. The increase in incentive management fees is primarily attributable to an increase in accrued incentive fees related to higher net investment income and incentive fee capital gains</w:t>
      </w:r>
      <w:r>
        <w:rPr>
          <w:rFonts w:ascii="Arial" w:cs="Arial" w:eastAsia="Arial" w:hAnsi="Arial"/>
          <w:sz w:val="18"/>
          <w:szCs w:val="18"/>
          <w:b w:val="1"/>
          <w:bCs w:val="1"/>
          <w:color w:val="auto"/>
        </w:rPr>
        <w:t>.</w:t>
      </w:r>
    </w:p>
    <w:p>
      <w:pPr>
        <w:spacing w:after="0" w:line="187" w:lineRule="exact"/>
        <w:rPr>
          <w:sz w:val="20"/>
          <w:szCs w:val="20"/>
          <w:color w:val="auto"/>
        </w:rPr>
      </w:pPr>
    </w:p>
    <w:p>
      <w:pPr>
        <w:ind w:right="40" w:firstLine="913"/>
        <w:spacing w:after="0" w:line="293" w:lineRule="auto"/>
        <w:rPr>
          <w:sz w:val="20"/>
          <w:szCs w:val="20"/>
          <w:color w:val="auto"/>
        </w:rPr>
      </w:pPr>
      <w:r>
        <w:rPr>
          <w:rFonts w:ascii="Arial" w:cs="Arial" w:eastAsia="Arial" w:hAnsi="Arial"/>
          <w:sz w:val="16"/>
          <w:szCs w:val="16"/>
          <w:color w:val="auto"/>
        </w:rPr>
        <w:t>As discussed above, the increase in interest and credit facility expense for the three and six months ended August 31, 2014 and 2013 is primarily attributable to an increase in the amount of outstanding debt as compared to the prior periods. For the six months ended August 31, 2014, the weighted average interest rate on the outstanding borrowings under the Credit Facility and notes payable was 7.50%, however the notes were only issued and outstanding from May 10, 2013, while they were outstanding for the full six months ended August 31, 2014. For the three months ended August 31, 2014 and 2013, the weighted average interest rate on the outstanding borrowings of the SBA debentures was 3.16% and 3.16%, respectively. For the six months ended August 31, 2014 and 2013, the weighted average interest rate on the outstanding borrowings of the SBA debentures was 3.16% and 2.90%, respectively.</w:t>
      </w:r>
    </w:p>
    <w:p>
      <w:pPr>
        <w:spacing w:after="0" w:line="27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Net realized gains/losses on sales of investments</w:t>
      </w:r>
    </w:p>
    <w:p>
      <w:pPr>
        <w:spacing w:after="0" w:line="117" w:lineRule="exact"/>
        <w:rPr>
          <w:sz w:val="20"/>
          <w:szCs w:val="20"/>
          <w:color w:val="auto"/>
        </w:rPr>
      </w:pPr>
    </w:p>
    <w:p>
      <w:pPr>
        <w:ind w:right="880" w:firstLine="913"/>
        <w:spacing w:after="0" w:line="277" w:lineRule="auto"/>
        <w:rPr>
          <w:sz w:val="20"/>
          <w:szCs w:val="20"/>
          <w:color w:val="auto"/>
        </w:rPr>
      </w:pPr>
      <w:r>
        <w:rPr>
          <w:rFonts w:ascii="Arial" w:cs="Arial" w:eastAsia="Arial" w:hAnsi="Arial"/>
          <w:sz w:val="18"/>
          <w:szCs w:val="18"/>
          <w:color w:val="auto"/>
        </w:rPr>
        <w:t>For the three months ended August 31, 2014, the Company had $15.7 million of sales, repayments, exits or restructurings resulting in $0.4 million of net realized gains.</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For the six months ended August 31, 2014, the Company had $24.4 million of sales, repayments, exits or restructurings resulting in $0.4 million of net realized gains.</w:t>
      </w:r>
    </w:p>
    <w:p>
      <w:pPr>
        <w:spacing w:after="0" w:line="170" w:lineRule="exact"/>
        <w:rPr>
          <w:sz w:val="20"/>
          <w:szCs w:val="20"/>
          <w:color w:val="auto"/>
        </w:rPr>
      </w:pPr>
    </w:p>
    <w:p>
      <w:pPr>
        <w:ind w:right="880" w:firstLine="913"/>
        <w:spacing w:after="0" w:line="277" w:lineRule="auto"/>
        <w:rPr>
          <w:sz w:val="20"/>
          <w:szCs w:val="20"/>
          <w:color w:val="auto"/>
        </w:rPr>
      </w:pPr>
      <w:r>
        <w:rPr>
          <w:rFonts w:ascii="Arial" w:cs="Arial" w:eastAsia="Arial" w:hAnsi="Arial"/>
          <w:sz w:val="18"/>
          <w:szCs w:val="18"/>
          <w:color w:val="auto"/>
        </w:rPr>
        <w:t>For the three months ended August 31, 2013, the Company had $29.6 million of sales, repayments, exits or restructurings resulting in $0.5 million of net realized gains.</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For the six months ended August 31, 2013, the Company had $54.9 million of sales, repayments, exits or restructurings resulting in $1.1 million of net realized gains.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unrealized appreciation/depreciation on investments</w:t>
      </w:r>
    </w:p>
    <w:p>
      <w:pPr>
        <w:spacing w:after="0" w:line="117" w:lineRule="exact"/>
        <w:rPr>
          <w:sz w:val="20"/>
          <w:szCs w:val="20"/>
          <w:color w:val="auto"/>
        </w:rPr>
      </w:pPr>
    </w:p>
    <w:p>
      <w:pPr>
        <w:ind w:right="140" w:firstLine="913"/>
        <w:spacing w:after="0" w:line="279" w:lineRule="auto"/>
        <w:rPr>
          <w:sz w:val="20"/>
          <w:szCs w:val="20"/>
          <w:color w:val="auto"/>
        </w:rPr>
      </w:pPr>
      <w:r>
        <w:rPr>
          <w:rFonts w:ascii="Arial" w:cs="Arial" w:eastAsia="Arial" w:hAnsi="Arial"/>
          <w:sz w:val="17"/>
          <w:szCs w:val="17"/>
          <w:color w:val="auto"/>
        </w:rPr>
        <w:t>For the three months ended August 31, 2014, our investments had net unrealized appreciation of $0.7 million versus net unrealized depreciation of $2.9 million for the three months ended August 31, 2013. For the six months ended August 31, 2014, our investments had net unrealized appreciation of $0.3 million versus net unrealized depreciation of $2.1 million for the six months ended August 31, 2013. The most significant cumulative changes in unrealized appreciation and depreciation for the six months ended August 31, 2014, were the following:</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August 31, 2014</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gridSpan w:val="2"/>
          </w:tcPr>
          <w:p>
            <w:pPr>
              <w:jc w:val="center"/>
              <w:ind w:right="580"/>
              <w:spacing w:after="0"/>
              <w:rPr>
                <w:sz w:val="20"/>
                <w:szCs w:val="20"/>
                <w:color w:val="auto"/>
              </w:rPr>
            </w:pPr>
            <w:r>
              <w:rPr>
                <w:rFonts w:ascii="Arial" w:cs="Arial" w:eastAsia="Arial" w:hAnsi="Arial"/>
                <w:sz w:val="14"/>
                <w:szCs w:val="14"/>
                <w:b w:val="1"/>
                <w:bCs w:val="1"/>
                <w:color w:val="auto"/>
                <w:w w:val="95"/>
              </w:rPr>
              <w:t>Total</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YTD Change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vMerge w:val="restart"/>
          </w:tcPr>
          <w:p>
            <w:pPr>
              <w:jc w:val="right"/>
              <w:ind w:right="328"/>
              <w:spacing w:after="0"/>
              <w:rPr>
                <w:sz w:val="20"/>
                <w:szCs w:val="20"/>
                <w:color w:val="auto"/>
              </w:rPr>
            </w:pPr>
            <w:r>
              <w:rPr>
                <w:rFonts w:ascii="Arial" w:cs="Arial" w:eastAsia="Arial" w:hAnsi="Arial"/>
                <w:sz w:val="14"/>
                <w:szCs w:val="14"/>
                <w:b w:val="1"/>
                <w:bCs w:val="1"/>
                <w:color w:val="auto"/>
              </w:rPr>
              <w:t>Fair</w:t>
            </w:r>
          </w:p>
        </w:tc>
        <w:tc>
          <w:tcPr>
            <w:tcW w:w="340" w:type="dxa"/>
            <w:vAlign w:val="bottom"/>
          </w:tcPr>
          <w:p>
            <w:pPr>
              <w:spacing w:after="0"/>
              <w:rPr>
                <w:sz w:val="12"/>
                <w:szCs w:val="12"/>
                <w:color w:val="auto"/>
              </w:rPr>
            </w:pPr>
          </w:p>
        </w:tc>
        <w:tc>
          <w:tcPr>
            <w:tcW w:w="1260" w:type="dxa"/>
            <w:vAlign w:val="bottom"/>
            <w:gridSpan w:val="2"/>
          </w:tcPr>
          <w:p>
            <w:pPr>
              <w:jc w:val="center"/>
              <w:ind w:right="58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 Unrealized</w:t>
            </w:r>
          </w:p>
        </w:tc>
        <w:tc>
          <w:tcPr>
            <w:tcW w:w="0" w:type="dxa"/>
            <w:vAlign w:val="bottom"/>
          </w:tcPr>
          <w:p>
            <w:pPr>
              <w:spacing w:after="0"/>
              <w:rPr>
                <w:sz w:val="1"/>
                <w:szCs w:val="1"/>
                <w:color w:val="auto"/>
              </w:rPr>
            </w:pPr>
          </w:p>
        </w:tc>
      </w:tr>
      <w:tr>
        <w:trPr>
          <w:trHeight w:val="149"/>
        </w:trPr>
        <w:tc>
          <w:tcPr>
            <w:tcW w:w="29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1800" w:type="dxa"/>
            <w:vAlign w:val="bottom"/>
          </w:tcPr>
          <w:p>
            <w:pPr>
              <w:spacing w:after="0"/>
              <w:rPr>
                <w:sz w:val="12"/>
                <w:szCs w:val="12"/>
                <w:color w:val="auto"/>
              </w:rPr>
            </w:pPr>
          </w:p>
        </w:tc>
        <w:tc>
          <w:tcPr>
            <w:tcW w:w="21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 Type</w:t>
            </w:r>
          </w:p>
        </w:tc>
        <w:tc>
          <w:tcPr>
            <w:tcW w:w="8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Cost</w:t>
            </w:r>
          </w:p>
        </w:tc>
        <w:tc>
          <w:tcPr>
            <w:tcW w:w="2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16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2940" w:type="dxa"/>
            <w:vAlign w:val="bottom"/>
            <w:gridSpan w:val="2"/>
            <w:vMerge w:val="continue"/>
          </w:tcPr>
          <w:p>
            <w:pPr>
              <w:spacing w:after="0"/>
              <w:rPr>
                <w:sz w:val="14"/>
                <w:szCs w:val="14"/>
                <w:color w:val="auto"/>
              </w:rPr>
            </w:pPr>
          </w:p>
        </w:tc>
        <w:tc>
          <w:tcPr>
            <w:tcW w:w="1800" w:type="dxa"/>
            <w:vAlign w:val="bottom"/>
          </w:tcPr>
          <w:p>
            <w:pPr>
              <w:spacing w:after="0"/>
              <w:rPr>
                <w:sz w:val="14"/>
                <w:szCs w:val="14"/>
                <w:color w:val="auto"/>
              </w:rPr>
            </w:pPr>
          </w:p>
        </w:tc>
        <w:tc>
          <w:tcPr>
            <w:tcW w:w="218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jc w:val="right"/>
              <w:ind w:right="288"/>
              <w:spacing w:after="0"/>
              <w:rPr>
                <w:sz w:val="20"/>
                <w:szCs w:val="20"/>
                <w:color w:val="auto"/>
              </w:rPr>
            </w:pPr>
            <w:r>
              <w:rPr>
                <w:rFonts w:ascii="Arial" w:cs="Arial" w:eastAsia="Arial" w:hAnsi="Arial"/>
                <w:sz w:val="14"/>
                <w:szCs w:val="14"/>
                <w:b w:val="1"/>
                <w:bCs w:val="1"/>
                <w:color w:val="auto"/>
              </w:rPr>
              <w:t>Value</w:t>
            </w:r>
          </w:p>
        </w:tc>
        <w:tc>
          <w:tcPr>
            <w:tcW w:w="16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93"/>
              </w:rPr>
              <w:t>(Depreciation)</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42"/>
        </w:trPr>
        <w:tc>
          <w:tcPr>
            <w:tcW w:w="380" w:type="dxa"/>
            <w:vAlign w:val="bottom"/>
            <w:tcBorders>
              <w:top w:val="single" w:sz="8" w:color="auto"/>
            </w:tcBorders>
          </w:tcPr>
          <w:p>
            <w:pPr>
              <w:spacing w:after="0"/>
              <w:rPr>
                <w:sz w:val="12"/>
                <w:szCs w:val="12"/>
                <w:color w:val="auto"/>
              </w:rPr>
            </w:pPr>
          </w:p>
        </w:tc>
        <w:tc>
          <w:tcPr>
            <w:tcW w:w="256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5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960" w:type="dxa"/>
            <w:vAlign w:val="bottom"/>
            <w:tcBorders>
              <w:top w:val="single" w:sz="8" w:color="auto"/>
            </w:tcBorders>
            <w:gridSpan w:val="3"/>
          </w:tcPr>
          <w:p>
            <w:pPr>
              <w:ind w:left="500"/>
              <w:spacing w:after="0" w:line="142" w:lineRule="exact"/>
              <w:rPr>
                <w:sz w:val="20"/>
                <w:szCs w:val="20"/>
                <w:color w:val="auto"/>
              </w:rPr>
            </w:pPr>
            <w:r>
              <w:rPr>
                <w:rFonts w:ascii="Arial" w:cs="Arial" w:eastAsia="Arial" w:hAnsi="Arial"/>
                <w:sz w:val="14"/>
                <w:szCs w:val="14"/>
                <w:b w:val="1"/>
                <w:bCs w:val="1"/>
                <w:color w:val="auto"/>
              </w:rPr>
              <w:t>($ in thousands)</w:t>
            </w:r>
          </w:p>
        </w:tc>
        <w:tc>
          <w:tcPr>
            <w:tcW w:w="480" w:type="dxa"/>
            <w:vAlign w:val="bottom"/>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Elyria Foundry Company, LLC</w:t>
            </w:r>
          </w:p>
        </w:tc>
        <w:tc>
          <w:tcPr>
            <w:tcW w:w="39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Senior Secured Note</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6"/>
              </w:rPr>
              <w:t>$ 8,860</w:t>
            </w:r>
          </w:p>
        </w:tc>
        <w:tc>
          <w:tcPr>
            <w:tcW w:w="10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$ 5,785</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(3,075)</w:t>
            </w:r>
          </w:p>
        </w:tc>
        <w:tc>
          <w:tcPr>
            <w:tcW w:w="320" w:type="dxa"/>
            <w:vAlign w:val="bottom"/>
            <w:shd w:val="clear" w:color="auto" w:fill="CCEEFF"/>
          </w:tcPr>
          <w:p>
            <w:pPr>
              <w:jc w:val="right"/>
              <w:ind w:right="144"/>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16"/>
        </w:trPr>
        <w:tc>
          <w:tcPr>
            <w:tcW w:w="2940" w:type="dxa"/>
            <w:vAlign w:val="bottom"/>
            <w:gridSpan w:val="2"/>
          </w:tcPr>
          <w:p>
            <w:pPr>
              <w:spacing w:after="0"/>
              <w:rPr>
                <w:sz w:val="20"/>
                <w:szCs w:val="20"/>
                <w:color w:val="auto"/>
              </w:rPr>
            </w:pPr>
            <w:r>
              <w:rPr>
                <w:rFonts w:ascii="Arial" w:cs="Arial" w:eastAsia="Arial" w:hAnsi="Arial"/>
                <w:sz w:val="18"/>
                <w:szCs w:val="18"/>
                <w:color w:val="auto"/>
              </w:rPr>
              <w:t>Saratoga CLO</w:t>
            </w:r>
          </w:p>
        </w:tc>
        <w:tc>
          <w:tcPr>
            <w:tcW w:w="3980" w:type="dxa"/>
            <w:vAlign w:val="bottom"/>
            <w:gridSpan w:val="3"/>
          </w:tcPr>
          <w:p>
            <w:pPr>
              <w:ind w:left="680"/>
              <w:spacing w:after="0"/>
              <w:rPr>
                <w:sz w:val="20"/>
                <w:szCs w:val="20"/>
                <w:color w:val="auto"/>
              </w:rPr>
            </w:pPr>
            <w:r>
              <w:rPr>
                <w:rFonts w:ascii="Arial" w:cs="Arial" w:eastAsia="Arial" w:hAnsi="Arial"/>
                <w:sz w:val="18"/>
                <w:szCs w:val="18"/>
                <w:color w:val="auto"/>
              </w:rPr>
              <w:t>Other/ Structured Finance Securities</w:t>
            </w: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16,556</w:t>
            </w:r>
          </w:p>
        </w:tc>
        <w:tc>
          <w:tcPr>
            <w:tcW w:w="1060" w:type="dxa"/>
            <w:vAlign w:val="bottom"/>
            <w:gridSpan w:val="2"/>
          </w:tcPr>
          <w:p>
            <w:pPr>
              <w:jc w:val="right"/>
              <w:ind w:right="168"/>
              <w:spacing w:after="0"/>
              <w:rPr>
                <w:sz w:val="20"/>
                <w:szCs w:val="20"/>
                <w:color w:val="auto"/>
              </w:rPr>
            </w:pPr>
            <w:r>
              <w:rPr>
                <w:rFonts w:ascii="Arial" w:cs="Arial" w:eastAsia="Arial" w:hAnsi="Arial"/>
                <w:sz w:val="18"/>
                <w:szCs w:val="18"/>
                <w:color w:val="auto"/>
              </w:rPr>
              <w:t>20,090</w:t>
            </w:r>
          </w:p>
        </w:tc>
        <w:tc>
          <w:tcPr>
            <w:tcW w:w="340" w:type="dxa"/>
            <w:vAlign w:val="bottom"/>
          </w:tcPr>
          <w:p>
            <w:pPr>
              <w:spacing w:after="0"/>
              <w:rPr>
                <w:sz w:val="18"/>
                <w:szCs w:val="18"/>
                <w:color w:val="auto"/>
              </w:rPr>
            </w:pPr>
          </w:p>
        </w:tc>
        <w:tc>
          <w:tcPr>
            <w:tcW w:w="1260" w:type="dxa"/>
            <w:vAlign w:val="bottom"/>
            <w:gridSpan w:val="2"/>
          </w:tcPr>
          <w:p>
            <w:pPr>
              <w:jc w:val="right"/>
              <w:ind w:right="480"/>
              <w:spacing w:after="0"/>
              <w:rPr>
                <w:sz w:val="20"/>
                <w:szCs w:val="20"/>
                <w:color w:val="auto"/>
              </w:rPr>
            </w:pPr>
            <w:r>
              <w:rPr>
                <w:rFonts w:ascii="Arial" w:cs="Arial" w:eastAsia="Arial" w:hAnsi="Arial"/>
                <w:sz w:val="18"/>
                <w:szCs w:val="18"/>
                <w:color w:val="auto"/>
              </w:rPr>
              <w:t>3,534</w:t>
            </w:r>
          </w:p>
        </w:tc>
        <w:tc>
          <w:tcPr>
            <w:tcW w:w="3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16"/>
        </w:trPr>
        <w:tc>
          <w:tcPr>
            <w:tcW w:w="2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USS Parent Holding Corp.</w:t>
            </w:r>
          </w:p>
        </w:tc>
        <w:tc>
          <w:tcPr>
            <w:tcW w:w="3980" w:type="dxa"/>
            <w:vAlign w:val="bottom"/>
            <w:gridSpan w:val="3"/>
            <w:shd w:val="clear" w:color="auto" w:fill="CCEEFF"/>
          </w:tcPr>
          <w:p>
            <w:pPr>
              <w:ind w:left="680"/>
              <w:spacing w:after="0"/>
              <w:rPr>
                <w:sz w:val="20"/>
                <w:szCs w:val="20"/>
                <w:color w:val="auto"/>
              </w:rPr>
            </w:pPr>
            <w:r>
              <w:rPr>
                <w:rFonts w:ascii="Arial" w:cs="Arial" w:eastAsia="Arial" w:hAnsi="Arial"/>
                <w:sz w:val="18"/>
                <w:szCs w:val="18"/>
                <w:color w:val="auto"/>
              </w:rPr>
              <w:t>Voting Common Stock</w:t>
            </w: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3,026</w:t>
            </w:r>
          </w:p>
        </w:tc>
        <w:tc>
          <w:tcPr>
            <w:tcW w:w="106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5,567</w:t>
            </w:r>
          </w:p>
        </w:tc>
        <w:tc>
          <w:tcPr>
            <w:tcW w:w="3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2,541</w:t>
            </w:r>
          </w:p>
        </w:tc>
        <w:tc>
          <w:tcPr>
            <w:tcW w:w="3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0" w:firstLine="913"/>
        <w:spacing w:after="0" w:line="277" w:lineRule="auto"/>
        <w:rPr>
          <w:sz w:val="20"/>
          <w:szCs w:val="20"/>
          <w:color w:val="auto"/>
        </w:rPr>
      </w:pPr>
      <w:r>
        <w:rPr>
          <w:rFonts w:ascii="Arial" w:cs="Arial" w:eastAsia="Arial" w:hAnsi="Arial"/>
          <w:sz w:val="18"/>
          <w:szCs w:val="18"/>
          <w:color w:val="auto"/>
        </w:rPr>
        <w:t>The $0.9 million of unrealized depreciation in our investment in Elyria Foundry Company, LLC was due to a decline in the company’s performance as a result of volume declines from key energy customers.</w:t>
      </w:r>
    </w:p>
    <w:p>
      <w:pPr>
        <w:spacing w:after="0" w:line="170" w:lineRule="exact"/>
        <w:rPr>
          <w:sz w:val="20"/>
          <w:szCs w:val="20"/>
          <w:color w:val="auto"/>
        </w:rPr>
      </w:pPr>
    </w:p>
    <w:p>
      <w:pPr>
        <w:ind w:right="120" w:firstLine="913"/>
        <w:spacing w:after="0" w:line="277" w:lineRule="auto"/>
        <w:rPr>
          <w:sz w:val="20"/>
          <w:szCs w:val="20"/>
          <w:color w:val="auto"/>
        </w:rPr>
      </w:pPr>
      <w:r>
        <w:rPr>
          <w:rFonts w:ascii="Arial" w:cs="Arial" w:eastAsia="Arial" w:hAnsi="Arial"/>
          <w:sz w:val="18"/>
          <w:szCs w:val="18"/>
          <w:color w:val="auto"/>
        </w:rPr>
        <w:t>The $0.5 million of unrealized appreciation in our investment in the Saratoga CLO subordinated notes was due to a decrease in the discount rate from the previous year end.</w:t>
      </w:r>
    </w:p>
    <w:p>
      <w:pPr>
        <w:spacing w:after="0" w:line="170" w:lineRule="exact"/>
        <w:rPr>
          <w:sz w:val="20"/>
          <w:szCs w:val="20"/>
          <w:color w:val="auto"/>
        </w:rPr>
      </w:pPr>
    </w:p>
    <w:p>
      <w:pPr>
        <w:ind w:right="500" w:firstLine="913"/>
        <w:spacing w:after="0" w:line="277" w:lineRule="auto"/>
        <w:rPr>
          <w:sz w:val="20"/>
          <w:szCs w:val="20"/>
          <w:color w:val="auto"/>
        </w:rPr>
      </w:pPr>
      <w:r>
        <w:rPr>
          <w:rFonts w:ascii="Arial" w:cs="Arial" w:eastAsia="Arial" w:hAnsi="Arial"/>
          <w:sz w:val="18"/>
          <w:szCs w:val="18"/>
          <w:color w:val="auto"/>
        </w:rPr>
        <w:t>The $0.5 million of unrealized appreciation in our investment in the common stock of USS Parent Holding Corp. was due to the sale of the company to a private equity firm.</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7"/>
          <w:szCs w:val="17"/>
          <w:color w:val="auto"/>
        </w:rPr>
        <w:t>The most significant cumulative changes in unrealized appreciation and depreciation for the six months ended August 31, 2013, were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following:</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Six months ended August 31, 2013</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8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5"/>
              </w:rPr>
              <w:t>Total</w:t>
            </w:r>
          </w:p>
        </w:tc>
        <w:tc>
          <w:tcPr>
            <w:tcW w:w="100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8"/>
              </w:rPr>
              <w:t>YTD Change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right"/>
              <w:ind w:right="288"/>
              <w:spacing w:after="0"/>
              <w:rPr>
                <w:sz w:val="20"/>
                <w:szCs w:val="20"/>
                <w:color w:val="auto"/>
              </w:rPr>
            </w:pPr>
            <w:r>
              <w:rPr>
                <w:rFonts w:ascii="Arial" w:cs="Arial" w:eastAsia="Arial" w:hAnsi="Arial"/>
                <w:sz w:val="14"/>
                <w:szCs w:val="14"/>
                <w:b w:val="1"/>
                <w:bCs w:val="1"/>
                <w:color w:val="auto"/>
              </w:rPr>
              <w:t>Fair</w:t>
            </w:r>
          </w:p>
        </w:tc>
        <w:tc>
          <w:tcPr>
            <w:tcW w:w="300" w:type="dxa"/>
            <w:vAlign w:val="bottom"/>
          </w:tcPr>
          <w:p>
            <w:pPr>
              <w:spacing w:after="0"/>
              <w:rPr>
                <w:sz w:val="12"/>
                <w:szCs w:val="12"/>
                <w:color w:val="auto"/>
              </w:rPr>
            </w:pPr>
          </w:p>
        </w:tc>
        <w:tc>
          <w:tcPr>
            <w:tcW w:w="11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100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in Unrealized</w:t>
            </w:r>
          </w:p>
        </w:tc>
        <w:tc>
          <w:tcPr>
            <w:tcW w:w="0" w:type="dxa"/>
            <w:vAlign w:val="bottom"/>
          </w:tcPr>
          <w:p>
            <w:pPr>
              <w:spacing w:after="0"/>
              <w:rPr>
                <w:sz w:val="1"/>
                <w:szCs w:val="1"/>
                <w:color w:val="auto"/>
              </w:rPr>
            </w:pPr>
          </w:p>
        </w:tc>
      </w:tr>
      <w:tr>
        <w:trPr>
          <w:trHeight w:val="149"/>
        </w:trPr>
        <w:tc>
          <w:tcPr>
            <w:tcW w:w="3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Issuer</w:t>
            </w:r>
          </w:p>
        </w:tc>
        <w:tc>
          <w:tcPr>
            <w:tcW w:w="1960" w:type="dxa"/>
            <w:vAlign w:val="bottom"/>
          </w:tcPr>
          <w:p>
            <w:pPr>
              <w:spacing w:after="0"/>
              <w:rPr>
                <w:sz w:val="12"/>
                <w:szCs w:val="12"/>
                <w:color w:val="auto"/>
              </w:rPr>
            </w:pPr>
          </w:p>
        </w:tc>
        <w:tc>
          <w:tcPr>
            <w:tcW w:w="18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Asset Type</w:t>
            </w:r>
          </w:p>
        </w:tc>
        <w:tc>
          <w:tcPr>
            <w:tcW w:w="400" w:type="dxa"/>
            <w:vAlign w:val="bottom"/>
          </w:tcPr>
          <w:p>
            <w:pPr>
              <w:spacing w:after="0"/>
              <w:rPr>
                <w:sz w:val="12"/>
                <w:szCs w:val="12"/>
                <w:color w:val="auto"/>
              </w:rPr>
            </w:pPr>
          </w:p>
        </w:tc>
        <w:tc>
          <w:tcPr>
            <w:tcW w:w="80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2"/>
                <w:szCs w:val="12"/>
                <w:color w:val="auto"/>
              </w:rPr>
            </w:pPr>
          </w:p>
        </w:tc>
        <w:tc>
          <w:tcPr>
            <w:tcW w:w="780" w:type="dxa"/>
            <w:vAlign w:val="bottom"/>
            <w:vMerge w:val="continue"/>
          </w:tcPr>
          <w:p>
            <w:pPr>
              <w:spacing w:after="0"/>
              <w:rPr>
                <w:sz w:val="12"/>
                <w:szCs w:val="12"/>
                <w:color w:val="auto"/>
              </w:rPr>
            </w:pPr>
          </w:p>
        </w:tc>
        <w:tc>
          <w:tcPr>
            <w:tcW w:w="1480" w:type="dxa"/>
            <w:vAlign w:val="bottom"/>
            <w:gridSpan w:val="3"/>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100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3"/>
              </w:rPr>
              <w:t>Appreciation/</w:t>
            </w:r>
          </w:p>
        </w:tc>
        <w:tc>
          <w:tcPr>
            <w:tcW w:w="0" w:type="dxa"/>
            <w:vAlign w:val="bottom"/>
          </w:tcPr>
          <w:p>
            <w:pPr>
              <w:spacing w:after="0"/>
              <w:rPr>
                <w:sz w:val="1"/>
                <w:szCs w:val="1"/>
                <w:color w:val="auto"/>
              </w:rPr>
            </w:pPr>
          </w:p>
        </w:tc>
      </w:tr>
      <w:tr>
        <w:trPr>
          <w:trHeight w:val="171"/>
        </w:trPr>
        <w:tc>
          <w:tcPr>
            <w:tcW w:w="3000" w:type="dxa"/>
            <w:vAlign w:val="bottom"/>
            <w:gridSpan w:val="2"/>
            <w:vMerge w:val="continue"/>
          </w:tcPr>
          <w:p>
            <w:pPr>
              <w:spacing w:after="0"/>
              <w:rPr>
                <w:sz w:val="14"/>
                <w:szCs w:val="14"/>
                <w:color w:val="auto"/>
              </w:rPr>
            </w:pPr>
          </w:p>
        </w:tc>
        <w:tc>
          <w:tcPr>
            <w:tcW w:w="1960" w:type="dxa"/>
            <w:vAlign w:val="bottom"/>
          </w:tcPr>
          <w:p>
            <w:pPr>
              <w:spacing w:after="0"/>
              <w:rPr>
                <w:sz w:val="14"/>
                <w:szCs w:val="14"/>
                <w:color w:val="auto"/>
              </w:rPr>
            </w:pPr>
          </w:p>
        </w:tc>
        <w:tc>
          <w:tcPr>
            <w:tcW w:w="1800" w:type="dxa"/>
            <w:vAlign w:val="bottom"/>
            <w:gridSpan w:val="2"/>
            <w:vMerge w:val="continue"/>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48"/>
              <w:spacing w:after="0"/>
              <w:rPr>
                <w:sz w:val="20"/>
                <w:szCs w:val="20"/>
                <w:color w:val="auto"/>
              </w:rPr>
            </w:pPr>
            <w:r>
              <w:rPr>
                <w:rFonts w:ascii="Arial" w:cs="Arial" w:eastAsia="Arial" w:hAnsi="Arial"/>
                <w:sz w:val="14"/>
                <w:szCs w:val="14"/>
                <w:b w:val="1"/>
                <w:bCs w:val="1"/>
                <w:color w:val="auto"/>
              </w:rPr>
              <w:t>Value</w:t>
            </w:r>
          </w:p>
        </w:tc>
        <w:tc>
          <w:tcPr>
            <w:tcW w:w="148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(Depreciation)</w:t>
            </w:r>
          </w:p>
        </w:tc>
        <w:tc>
          <w:tcPr>
            <w:tcW w:w="10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3"/>
              </w:rPr>
              <w:t>(Depreciation)</w:t>
            </w:r>
          </w:p>
        </w:tc>
        <w:tc>
          <w:tcPr>
            <w:tcW w:w="0" w:type="dxa"/>
            <w:vAlign w:val="bottom"/>
          </w:tcPr>
          <w:p>
            <w:pPr>
              <w:spacing w:after="0"/>
              <w:rPr>
                <w:sz w:val="1"/>
                <w:szCs w:val="1"/>
                <w:color w:val="auto"/>
              </w:rPr>
            </w:pPr>
          </w:p>
        </w:tc>
      </w:tr>
      <w:tr>
        <w:trPr>
          <w:trHeight w:val="142"/>
        </w:trPr>
        <w:tc>
          <w:tcPr>
            <w:tcW w:w="380" w:type="dxa"/>
            <w:vAlign w:val="bottom"/>
            <w:tcBorders>
              <w:top w:val="single" w:sz="8" w:color="auto"/>
            </w:tcBorders>
          </w:tcPr>
          <w:p>
            <w:pPr>
              <w:spacing w:after="0"/>
              <w:rPr>
                <w:sz w:val="12"/>
                <w:szCs w:val="12"/>
                <w:color w:val="auto"/>
              </w:rPr>
            </w:pPr>
          </w:p>
        </w:tc>
        <w:tc>
          <w:tcPr>
            <w:tcW w:w="26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860" w:type="dxa"/>
            <w:vAlign w:val="bottom"/>
            <w:tcBorders>
              <w:top w:val="single" w:sz="8" w:color="auto"/>
            </w:tcBorders>
            <w:gridSpan w:val="3"/>
          </w:tcPr>
          <w:p>
            <w:pPr>
              <w:ind w:left="440"/>
              <w:spacing w:after="0" w:line="142" w:lineRule="exact"/>
              <w:rPr>
                <w:sz w:val="20"/>
                <w:szCs w:val="20"/>
                <w:color w:val="auto"/>
              </w:rPr>
            </w:pPr>
            <w:r>
              <w:rPr>
                <w:rFonts w:ascii="Arial" w:cs="Arial" w:eastAsia="Arial" w:hAnsi="Arial"/>
                <w:sz w:val="14"/>
                <w:szCs w:val="14"/>
                <w:b w:val="1"/>
                <w:bCs w:val="1"/>
                <w:color w:val="auto"/>
              </w:rPr>
              <w:t>($ in thousands)</w:t>
            </w:r>
          </w:p>
        </w:tc>
        <w:tc>
          <w:tcPr>
            <w:tcW w:w="4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Elyria Foundry Company, LLC</w:t>
            </w:r>
          </w:p>
        </w:tc>
        <w:tc>
          <w:tcPr>
            <w:tcW w:w="37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Senior Secured Note</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$ 8,860</w:t>
            </w:r>
          </w:p>
        </w:tc>
        <w:tc>
          <w:tcPr>
            <w:tcW w:w="9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$ 7,147</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(1,713)</w:t>
            </w: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(1,713)</w:t>
            </w:r>
          </w:p>
        </w:tc>
        <w:tc>
          <w:tcPr>
            <w:tcW w:w="0" w:type="dxa"/>
            <w:vAlign w:val="bottom"/>
          </w:tcPr>
          <w:p>
            <w:pPr>
              <w:spacing w:after="0"/>
              <w:rPr>
                <w:sz w:val="1"/>
                <w:szCs w:val="1"/>
                <w:color w:val="auto"/>
              </w:rPr>
            </w:pPr>
          </w:p>
        </w:tc>
      </w:tr>
      <w:tr>
        <w:trPr>
          <w:trHeight w:val="216"/>
        </w:trPr>
        <w:tc>
          <w:tcPr>
            <w:tcW w:w="3000" w:type="dxa"/>
            <w:vAlign w:val="bottom"/>
            <w:gridSpan w:val="2"/>
          </w:tcPr>
          <w:p>
            <w:pPr>
              <w:spacing w:after="0"/>
              <w:rPr>
                <w:sz w:val="20"/>
                <w:szCs w:val="20"/>
                <w:color w:val="auto"/>
              </w:rPr>
            </w:pPr>
            <w:r>
              <w:rPr>
                <w:rFonts w:ascii="Arial" w:cs="Arial" w:eastAsia="Arial" w:hAnsi="Arial"/>
                <w:sz w:val="18"/>
                <w:szCs w:val="18"/>
                <w:color w:val="auto"/>
              </w:rPr>
              <w:t>Saratoga CLO</w:t>
            </w:r>
          </w:p>
        </w:tc>
        <w:tc>
          <w:tcPr>
            <w:tcW w:w="3760" w:type="dxa"/>
            <w:vAlign w:val="bottom"/>
            <w:gridSpan w:val="3"/>
          </w:tcPr>
          <w:p>
            <w:pPr>
              <w:ind w:left="740"/>
              <w:spacing w:after="0"/>
              <w:rPr>
                <w:sz w:val="20"/>
                <w:szCs w:val="20"/>
                <w:color w:val="auto"/>
              </w:rPr>
            </w:pPr>
            <w:r>
              <w:rPr>
                <w:rFonts w:ascii="Arial" w:cs="Arial" w:eastAsia="Arial" w:hAnsi="Arial"/>
                <w:sz w:val="18"/>
                <w:szCs w:val="18"/>
                <w:color w:val="auto"/>
              </w:rPr>
              <w:t>Other/ Structured Finance Securities</w:t>
            </w:r>
          </w:p>
        </w:tc>
        <w:tc>
          <w:tcPr>
            <w:tcW w:w="1200" w:type="dxa"/>
            <w:vAlign w:val="bottom"/>
            <w:gridSpan w:val="3"/>
          </w:tcPr>
          <w:p>
            <w:pPr>
              <w:jc w:val="right"/>
              <w:ind w:right="200"/>
              <w:spacing w:after="0"/>
              <w:rPr>
                <w:sz w:val="20"/>
                <w:szCs w:val="20"/>
                <w:color w:val="auto"/>
              </w:rPr>
            </w:pPr>
            <w:r>
              <w:rPr>
                <w:rFonts w:ascii="Arial" w:cs="Arial" w:eastAsia="Arial" w:hAnsi="Arial"/>
                <w:sz w:val="18"/>
                <w:szCs w:val="18"/>
                <w:color w:val="auto"/>
              </w:rPr>
              <w:t>16,805</w:t>
            </w:r>
          </w:p>
        </w:tc>
        <w:tc>
          <w:tcPr>
            <w:tcW w:w="980" w:type="dxa"/>
            <w:vAlign w:val="bottom"/>
            <w:gridSpan w:val="2"/>
          </w:tcPr>
          <w:p>
            <w:pPr>
              <w:jc w:val="right"/>
              <w:ind w:right="128"/>
              <w:spacing w:after="0"/>
              <w:rPr>
                <w:sz w:val="20"/>
                <w:szCs w:val="20"/>
                <w:color w:val="auto"/>
              </w:rPr>
            </w:pPr>
            <w:r>
              <w:rPr>
                <w:rFonts w:ascii="Arial" w:cs="Arial" w:eastAsia="Arial" w:hAnsi="Arial"/>
                <w:sz w:val="18"/>
                <w:szCs w:val="18"/>
                <w:color w:val="auto"/>
              </w:rPr>
              <w:t>19,742</w:t>
            </w:r>
          </w:p>
        </w:tc>
        <w:tc>
          <w:tcPr>
            <w:tcW w:w="300" w:type="dxa"/>
            <w:vAlign w:val="bottom"/>
          </w:tcPr>
          <w:p>
            <w:pPr>
              <w:spacing w:after="0"/>
              <w:rPr>
                <w:sz w:val="18"/>
                <w:szCs w:val="18"/>
                <w:color w:val="auto"/>
              </w:rPr>
            </w:pPr>
          </w:p>
        </w:tc>
        <w:tc>
          <w:tcPr>
            <w:tcW w:w="1180" w:type="dxa"/>
            <w:vAlign w:val="bottom"/>
            <w:gridSpan w:val="2"/>
          </w:tcPr>
          <w:p>
            <w:pPr>
              <w:jc w:val="right"/>
              <w:ind w:right="400"/>
              <w:spacing w:after="0"/>
              <w:rPr>
                <w:sz w:val="20"/>
                <w:szCs w:val="20"/>
                <w:color w:val="auto"/>
              </w:rPr>
            </w:pPr>
            <w:r>
              <w:rPr>
                <w:rFonts w:ascii="Arial" w:cs="Arial" w:eastAsia="Arial" w:hAnsi="Arial"/>
                <w:sz w:val="18"/>
                <w:szCs w:val="18"/>
                <w:color w:val="auto"/>
              </w:rPr>
              <w:t>2,937</w:t>
            </w:r>
          </w:p>
        </w:tc>
        <w:tc>
          <w:tcPr>
            <w:tcW w:w="260" w:type="dxa"/>
            <w:vAlign w:val="bottom"/>
          </w:tcPr>
          <w:p>
            <w:pPr>
              <w:spacing w:after="0"/>
              <w:rPr>
                <w:sz w:val="18"/>
                <w:szCs w:val="18"/>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216"/>
        </w:trPr>
        <w:tc>
          <w:tcPr>
            <w:tcW w:w="30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USS Parent Holding Corp.</w:t>
            </w:r>
          </w:p>
        </w:tc>
        <w:tc>
          <w:tcPr>
            <w:tcW w:w="3760" w:type="dxa"/>
            <w:vAlign w:val="bottom"/>
            <w:gridSpan w:val="3"/>
            <w:shd w:val="clear" w:color="auto" w:fill="CCEEFF"/>
          </w:tcPr>
          <w:p>
            <w:pPr>
              <w:ind w:left="740"/>
              <w:spacing w:after="0"/>
              <w:rPr>
                <w:sz w:val="20"/>
                <w:szCs w:val="20"/>
                <w:color w:val="auto"/>
              </w:rPr>
            </w:pPr>
            <w:r>
              <w:rPr>
                <w:rFonts w:ascii="Arial" w:cs="Arial" w:eastAsia="Arial" w:hAnsi="Arial"/>
                <w:sz w:val="18"/>
                <w:szCs w:val="18"/>
                <w:color w:val="auto"/>
              </w:rPr>
              <w:t>Voting Common Stock</w:t>
            </w:r>
          </w:p>
        </w:tc>
        <w:tc>
          <w:tcPr>
            <w:tcW w:w="12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3,026</w:t>
            </w:r>
          </w:p>
        </w:tc>
        <w:tc>
          <w:tcPr>
            <w:tcW w:w="980" w:type="dxa"/>
            <w:vAlign w:val="bottom"/>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4,023</w:t>
            </w:r>
          </w:p>
        </w:tc>
        <w:tc>
          <w:tcPr>
            <w:tcW w:w="3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997</w:t>
            </w:r>
          </w:p>
        </w:tc>
        <w:tc>
          <w:tcPr>
            <w:tcW w:w="2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1,157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300" w:firstLine="913"/>
        <w:spacing w:after="0" w:line="277" w:lineRule="auto"/>
        <w:rPr>
          <w:sz w:val="20"/>
          <w:szCs w:val="20"/>
          <w:color w:val="auto"/>
        </w:rPr>
      </w:pPr>
      <w:r>
        <w:rPr>
          <w:rFonts w:ascii="Arial" w:cs="Arial" w:eastAsia="Arial" w:hAnsi="Arial"/>
          <w:sz w:val="18"/>
          <w:szCs w:val="18"/>
          <w:color w:val="auto"/>
        </w:rPr>
        <w:t>The $1.7 million of unrealized depreciation in our investment in Elyria Foundry Company, LLC was due to lower operating performance as a result of weaker oil and gas demand.</w:t>
      </w:r>
    </w:p>
    <w:p>
      <w:pPr>
        <w:spacing w:after="0" w:line="170" w:lineRule="exact"/>
        <w:rPr>
          <w:sz w:val="20"/>
          <w:szCs w:val="20"/>
          <w:color w:val="auto"/>
        </w:rPr>
      </w:pPr>
    </w:p>
    <w:p>
      <w:pPr>
        <w:ind w:right="400" w:firstLine="913"/>
        <w:spacing w:after="0" w:line="277" w:lineRule="auto"/>
        <w:rPr>
          <w:sz w:val="20"/>
          <w:szCs w:val="20"/>
          <w:color w:val="auto"/>
        </w:rPr>
      </w:pPr>
      <w:r>
        <w:rPr>
          <w:rFonts w:ascii="Arial" w:cs="Arial" w:eastAsia="Arial" w:hAnsi="Arial"/>
          <w:sz w:val="18"/>
          <w:szCs w:val="18"/>
          <w:color w:val="auto"/>
        </w:rPr>
        <w:t>The $3.6 million of unrealized depreciation in our investment in the Saratoga CLO subordinated notes was due to lower net present value of projected future cash flows partially offset by a reduction in the investment basis of the subordinated notes.</w:t>
      </w:r>
    </w:p>
    <w:p>
      <w:pPr>
        <w:spacing w:after="0" w:line="170" w:lineRule="exact"/>
        <w:rPr>
          <w:sz w:val="20"/>
          <w:szCs w:val="20"/>
          <w:color w:val="auto"/>
        </w:rPr>
      </w:pPr>
    </w:p>
    <w:p>
      <w:pPr>
        <w:ind w:right="80" w:firstLine="913"/>
        <w:spacing w:after="0" w:line="277" w:lineRule="auto"/>
        <w:rPr>
          <w:sz w:val="20"/>
          <w:szCs w:val="20"/>
          <w:color w:val="auto"/>
        </w:rPr>
      </w:pPr>
      <w:r>
        <w:rPr>
          <w:rFonts w:ascii="Arial" w:cs="Arial" w:eastAsia="Arial" w:hAnsi="Arial"/>
          <w:sz w:val="18"/>
          <w:szCs w:val="18"/>
          <w:color w:val="auto"/>
        </w:rPr>
        <w:t>The $1.2 million of unrealized appreciation in our investment in the common stock of USS Parent Holding Corp. was due to improved operating performance.</w:t>
      </w:r>
    </w:p>
    <w:p>
      <w:pPr>
        <w:spacing w:after="0" w:line="279"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Changes in net assets resulting from operations</w:t>
      </w:r>
    </w:p>
    <w:p>
      <w:pPr>
        <w:spacing w:after="0" w:line="117" w:lineRule="exact"/>
        <w:rPr>
          <w:sz w:val="20"/>
          <w:szCs w:val="20"/>
          <w:color w:val="auto"/>
        </w:rPr>
      </w:pPr>
    </w:p>
    <w:p>
      <w:pPr>
        <w:ind w:right="220" w:firstLine="913"/>
        <w:spacing w:after="0" w:line="257" w:lineRule="auto"/>
        <w:rPr>
          <w:sz w:val="20"/>
          <w:szCs w:val="20"/>
          <w:color w:val="auto"/>
        </w:rPr>
      </w:pPr>
      <w:r>
        <w:rPr>
          <w:rFonts w:ascii="Arial" w:cs="Arial" w:eastAsia="Arial" w:hAnsi="Arial"/>
          <w:sz w:val="18"/>
          <w:szCs w:val="18"/>
          <w:color w:val="auto"/>
        </w:rPr>
        <w:t>For the three months ended August 31, 2014, we recorded a net increase in net assets resulting from operations of $3.1 million versus a net decrease in net assets resulting from operations of $0.04 million for the three months ended August 31, 2013. Based on 5,379,616 and 4,730,116 weighted average common shares outstanding for the three months ended August 31, 2014 and August 31, 2013, respectively, our per share net increase in net assets resulting from operations was $0.58 for the three months ended August 31, 2014 versus a per share net decrease in net assets from operations of $(0.01) for the three months ended August 31, 2013.</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459" w:right="2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For the six months ended August 31, 2014, we recorded a net increase in net assets resulting from operations of $4.9 million versus a net increase in net assets resulting from operations of $3.8 million for the six months ended August 31, 2013. Based on 5,379,616 and 4,730,116 weighted average common shares outstanding for the six months ended August 31, 2014 and August 31, 2013, respectively, our per share net increase in net assets resulting from operations was $0.91 for the six months ended August 31, 2014 versus a per share net increase in net assets from operations of $0.79 for the six months ended August 31, 2013.</w:t>
      </w:r>
    </w:p>
    <w:p>
      <w:pPr>
        <w:spacing w:after="0" w:line="292"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21" w:lineRule="exact"/>
        <w:rPr>
          <w:sz w:val="20"/>
          <w:szCs w:val="20"/>
          <w:color w:val="auto"/>
        </w:rPr>
      </w:pPr>
    </w:p>
    <w:p>
      <w:pPr>
        <w:ind w:right="160" w:firstLine="913"/>
        <w:spacing w:after="0" w:line="264" w:lineRule="auto"/>
        <w:rPr>
          <w:sz w:val="20"/>
          <w:szCs w:val="20"/>
          <w:color w:val="auto"/>
        </w:rPr>
      </w:pPr>
      <w:r>
        <w:rPr>
          <w:rFonts w:ascii="Arial" w:cs="Arial" w:eastAsia="Arial" w:hAnsi="Arial"/>
          <w:sz w:val="18"/>
          <w:szCs w:val="18"/>
          <w:color w:val="auto"/>
        </w:rPr>
        <w:t>We intend to continue to generate cash primarily from cash flows from operations, including interest earned from our investments in debt in middle market companies, interest earned from the temporary investment of cash in U.S. government securities and other high-quality debt investments that mature in one year or less, future borrowings and future offerings of securities.</w:t>
      </w:r>
    </w:p>
    <w:p>
      <w:pPr>
        <w:spacing w:after="0" w:line="181" w:lineRule="exact"/>
        <w:rPr>
          <w:sz w:val="20"/>
          <w:szCs w:val="20"/>
          <w:color w:val="auto"/>
        </w:rPr>
      </w:pPr>
    </w:p>
    <w:p>
      <w:pPr>
        <w:ind w:right="20" w:firstLine="913"/>
        <w:spacing w:after="0" w:line="270" w:lineRule="auto"/>
        <w:rPr>
          <w:sz w:val="20"/>
          <w:szCs w:val="20"/>
          <w:color w:val="auto"/>
        </w:rPr>
      </w:pPr>
      <w:r>
        <w:rPr>
          <w:rFonts w:ascii="Arial" w:cs="Arial" w:eastAsia="Arial" w:hAnsi="Arial"/>
          <w:sz w:val="17"/>
          <w:szCs w:val="17"/>
          <w:color w:val="auto"/>
        </w:rPr>
        <w:t>Although we expect to fund the growth of our investment portfolio through the net proceeds from SBA debenture drawdowns and future equity offerings, including our dividend reinvestment plan, and issuances of senior securities or future borrowings, to the extent permitted by the 1940 Act, we cannot assure you that our plans to raise capital will be successful. In this regard, because our common stock has historically traded at a price below our current net asset value per share and we are limited in our ability to sell our common stock at a price below net asset value per share, we have been and may continue to be limited in our ability to raise equity capital. Our stockholders approved a proposal at our annual meeting of stockholders held on September 30, 2014 that authorizes us to sell shares of our common stock at an offering price per share to investors that is not less than 85% of our then current net asset value per share in one or more offerings for a period ending on the earlier of September 30, 2015 or the date of our next annual meeting of stockholders. We would need stockholder approval of a similar proposal to issue shares below net asset value per share at any time after the earlier of September 30, 2015 or our next annual meeting of stockholders.</w:t>
      </w:r>
    </w:p>
    <w:p>
      <w:pPr>
        <w:spacing w:after="0" w:line="182" w:lineRule="exact"/>
        <w:rPr>
          <w:sz w:val="20"/>
          <w:szCs w:val="20"/>
          <w:color w:val="auto"/>
        </w:rPr>
      </w:pPr>
    </w:p>
    <w:p>
      <w:pPr>
        <w:ind w:right="120" w:firstLine="913"/>
        <w:spacing w:after="0" w:line="255" w:lineRule="auto"/>
        <w:rPr>
          <w:sz w:val="20"/>
          <w:szCs w:val="20"/>
          <w:color w:val="auto"/>
        </w:rPr>
      </w:pPr>
      <w:r>
        <w:rPr>
          <w:rFonts w:ascii="Arial" w:cs="Arial" w:eastAsia="Arial" w:hAnsi="Arial"/>
          <w:sz w:val="18"/>
          <w:szCs w:val="18"/>
          <w:color w:val="auto"/>
        </w:rPr>
        <w:t>In addition, we intend to distribute to our stockholders substantially all of our taxable income in order to satisfy the distribution requirement applicable to RICs under Subchapter M of the Code. In satisfying this distribution requirement, we have in the past relied on IRS issued private letter rulings concluding that a RIC may treat a distribution of its own stock as fulfilling its RIC distribution requirements if each stockholder may elect to receive his or her entire distribution in either cash or stock of the RIC subject to a limitation on the aggregate amount of cash to be distributed to all stockholders, which limitation must be at least 20% of the aggregate declared distribution. We may rely on these IRS private letter rulings in future periods to satisfy our RIC distribution requirement.</w:t>
      </w:r>
    </w:p>
    <w:p>
      <w:pPr>
        <w:spacing w:after="0" w:line="193" w:lineRule="exact"/>
        <w:rPr>
          <w:sz w:val="20"/>
          <w:szCs w:val="20"/>
          <w:color w:val="auto"/>
        </w:rPr>
      </w:pPr>
    </w:p>
    <w:p>
      <w:pPr>
        <w:ind w:right="40" w:firstLine="913"/>
        <w:spacing w:after="0" w:line="276" w:lineRule="auto"/>
        <w:rPr>
          <w:sz w:val="20"/>
          <w:szCs w:val="20"/>
          <w:color w:val="auto"/>
        </w:rPr>
      </w:pPr>
      <w:r>
        <w:rPr>
          <w:rFonts w:ascii="Arial" w:cs="Arial" w:eastAsia="Arial" w:hAnsi="Arial"/>
          <w:sz w:val="17"/>
          <w:szCs w:val="17"/>
          <w:color w:val="auto"/>
        </w:rPr>
        <w:t>Also, as a BDC, we generally are required to meet a coverage ratio of total assets, less liabilities and indebtedness not represented by senior securities, to total senior securities, which include all of our borrowings and any outstanding preferred stock, of at least 200%. This requirement limits the amount that we may borrow. Our asset coverage ratio, as defined in the 1940 Act, was 309.5% as of August 31, 2014 and 337.9% as of February 28, 2014. To fund growth in our investment portfolio in the future, we anticipate needing to raise additional capital from various sources, including the equity markets and other debt-related markets, which may or may not be available on favorable terms, if at all.</w:t>
      </w:r>
    </w:p>
    <w:p>
      <w:pPr>
        <w:spacing w:after="0" w:line="173" w:lineRule="exact"/>
        <w:rPr>
          <w:sz w:val="20"/>
          <w:szCs w:val="20"/>
          <w:color w:val="auto"/>
        </w:rPr>
      </w:pPr>
    </w:p>
    <w:p>
      <w:pPr>
        <w:jc w:val="both"/>
        <w:ind w:right="120" w:firstLine="913"/>
        <w:spacing w:after="0" w:line="312" w:lineRule="auto"/>
        <w:rPr>
          <w:sz w:val="20"/>
          <w:szCs w:val="20"/>
          <w:color w:val="auto"/>
        </w:rPr>
      </w:pPr>
      <w:r>
        <w:rPr>
          <w:rFonts w:ascii="Arial" w:cs="Arial" w:eastAsia="Arial" w:hAnsi="Arial"/>
          <w:sz w:val="16"/>
          <w:szCs w:val="16"/>
          <w:color w:val="auto"/>
        </w:rPr>
        <w:t>Consequently, we may not have the funds or the ability to fund new investments, to make additional investments in our portfolio companies, to fund our unfunded commitments to portfolio companies or to repay borrowings. Also, the illiquidity of our portfolio investments may make it difficult for us to sell these investments when desired and, if we are required to sell these investments, we may realize significantly less than their recorded value.</w:t>
      </w:r>
    </w:p>
    <w:p>
      <w:pPr>
        <w:spacing w:after="0" w:line="25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Madison revolving credit facility</w:t>
      </w:r>
    </w:p>
    <w:p>
      <w:pPr>
        <w:spacing w:after="0" w:line="117" w:lineRule="exact"/>
        <w:rPr>
          <w:sz w:val="20"/>
          <w:szCs w:val="20"/>
          <w:color w:val="auto"/>
        </w:rPr>
      </w:pPr>
    </w:p>
    <w:p>
      <w:pPr>
        <w:ind w:right="540" w:firstLine="913"/>
        <w:spacing w:after="0" w:line="277" w:lineRule="auto"/>
        <w:rPr>
          <w:sz w:val="20"/>
          <w:szCs w:val="20"/>
          <w:color w:val="auto"/>
        </w:rPr>
      </w:pPr>
      <w:r>
        <w:rPr>
          <w:rFonts w:ascii="Arial" w:cs="Arial" w:eastAsia="Arial" w:hAnsi="Arial"/>
          <w:sz w:val="18"/>
          <w:szCs w:val="18"/>
          <w:color w:val="auto"/>
        </w:rPr>
        <w:t>Below is a summary of the terms of the senior secured revolving credit facility we entered into with Madison Capital Funding (the “Credit Facility”) on June 30, 2010.</w:t>
      </w:r>
    </w:p>
    <w:p>
      <w:pPr>
        <w:spacing w:after="0" w:line="170" w:lineRule="exact"/>
        <w:rPr>
          <w:sz w:val="20"/>
          <w:szCs w:val="20"/>
          <w:color w:val="auto"/>
        </w:rPr>
      </w:pPr>
    </w:p>
    <w:p>
      <w:pPr>
        <w:ind w:firstLine="913"/>
        <w:spacing w:after="0" w:line="253" w:lineRule="auto"/>
        <w:rPr>
          <w:sz w:val="20"/>
          <w:szCs w:val="20"/>
          <w:color w:val="auto"/>
        </w:rPr>
      </w:pPr>
      <w:r>
        <w:rPr>
          <w:rFonts w:ascii="Arial" w:cs="Arial" w:eastAsia="Arial" w:hAnsi="Arial"/>
          <w:sz w:val="18"/>
          <w:szCs w:val="18"/>
          <w:i w:val="1"/>
          <w:iCs w:val="1"/>
          <w:color w:val="auto"/>
        </w:rPr>
        <w:t xml:space="preserve">Availability. </w:t>
      </w:r>
      <w:r>
        <w:rPr>
          <w:rFonts w:ascii="Arial" w:cs="Arial" w:eastAsia="Arial" w:hAnsi="Arial"/>
          <w:sz w:val="18"/>
          <w:szCs w:val="18"/>
          <w:color w:val="auto"/>
        </w:rPr>
        <w:t>The Company can draw up to the lesser of (i) $40.0 million (the “Facility Amount”) and (ii) the product of the applicable advance</w:t>
      </w:r>
      <w:r>
        <w:rPr>
          <w:rFonts w:ascii="Arial" w:cs="Arial" w:eastAsia="Arial" w:hAnsi="Arial"/>
          <w:sz w:val="18"/>
          <w:szCs w:val="18"/>
          <w:i w:val="1"/>
          <w:iCs w:val="1"/>
          <w:color w:val="auto"/>
        </w:rPr>
        <w:t xml:space="preserve"> </w:t>
      </w:r>
      <w:r>
        <w:rPr>
          <w:rFonts w:ascii="Arial" w:cs="Arial" w:eastAsia="Arial" w:hAnsi="Arial"/>
          <w:sz w:val="18"/>
          <w:szCs w:val="18"/>
          <w:color w:val="auto"/>
        </w:rPr>
        <w:t>rate (which varies from 50.0% to 75.0% depending on the type of loan asset) and the value, determined in accordance with the Credit Facility (the “Adjusted Borrowing Value”), of certain “eligible” loan assets pledged as security for the loan (the “Borrowing Base”), in each case less (a) the amount of any undrawn funding commitments the Company has under any loan asset and which are not covered by amounts in the Unfunded Exposure Account referred to below (the “Unfunded Exposure Amount”) and (b) outstanding borrowings. Each loan asset held by the Company as of the date on which the Credit Facility was closed was valued as of that date and each loan asset that the Company acquires after such date will be valued at the lowest of its fair value, its face value (excluding accrued interest) and the purchase price paid for such loan asset. Adjustments to the value of a loan asset will be made to reflect, among other things, changes in its fair value, a default by the obligor on the loan asset, insolvency of the obligor, acceleration of the loan asset, and certain modifications to the terms of the loan asset.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firstLine="913"/>
        <w:spacing w:after="0" w:line="276" w:lineRule="auto"/>
        <w:rPr>
          <w:sz w:val="20"/>
          <w:szCs w:val="20"/>
          <w:color w:val="auto"/>
        </w:rPr>
      </w:pPr>
      <w:r>
        <w:rPr>
          <w:rFonts w:ascii="Arial" w:cs="Arial" w:eastAsia="Arial" w:hAnsi="Arial"/>
          <w:sz w:val="17"/>
          <w:szCs w:val="17"/>
          <w:color w:val="auto"/>
        </w:rPr>
        <w:t>The Credit Facility contains limitations on the type of loan assets that are “eligible” to be included in the Borrowing Base and as to the concentration level of certain categories of loan assets in the Borrowing Base such as restrictions on geographic and industry concentrations, asset size and quality, payment frequency, status and terms, average life, and collateral interests. In addition, if an asset is to remain an “eligible” loan asset, the Company may not make changes to the payment, amortization, collateral and certain other terms of the loan assets without the consent of the administrative agent that will either result in subordination of the loan asset or be materially adverse to the lenders.</w:t>
      </w:r>
    </w:p>
    <w:p>
      <w:pPr>
        <w:spacing w:after="0" w:line="173" w:lineRule="exact"/>
        <w:rPr>
          <w:sz w:val="20"/>
          <w:szCs w:val="20"/>
          <w:color w:val="auto"/>
        </w:rPr>
      </w:pPr>
    </w:p>
    <w:p>
      <w:pPr>
        <w:ind w:right="260" w:firstLine="913"/>
        <w:spacing w:after="0" w:line="264" w:lineRule="auto"/>
        <w:rPr>
          <w:sz w:val="20"/>
          <w:szCs w:val="20"/>
          <w:color w:val="auto"/>
        </w:rPr>
      </w:pPr>
      <w:r>
        <w:rPr>
          <w:rFonts w:ascii="Arial" w:cs="Arial" w:eastAsia="Arial" w:hAnsi="Arial"/>
          <w:sz w:val="18"/>
          <w:szCs w:val="18"/>
          <w:i w:val="1"/>
          <w:iCs w:val="1"/>
          <w:color w:val="auto"/>
        </w:rPr>
        <w:t xml:space="preserve">Collateral. </w:t>
      </w:r>
      <w:r>
        <w:rPr>
          <w:rFonts w:ascii="Arial" w:cs="Arial" w:eastAsia="Arial" w:hAnsi="Arial"/>
          <w:sz w:val="18"/>
          <w:szCs w:val="18"/>
          <w:color w:val="auto"/>
        </w:rPr>
        <w:t>The Credit Facility is secured by substantially all of the assets of the Company (other than assets held by our SBIC subsidiary) and</w:t>
      </w:r>
      <w:r>
        <w:rPr>
          <w:rFonts w:ascii="Arial" w:cs="Arial" w:eastAsia="Arial" w:hAnsi="Arial"/>
          <w:sz w:val="18"/>
          <w:szCs w:val="18"/>
          <w:i w:val="1"/>
          <w:iCs w:val="1"/>
          <w:color w:val="auto"/>
        </w:rPr>
        <w:t xml:space="preserve"> </w:t>
      </w:r>
      <w:r>
        <w:rPr>
          <w:rFonts w:ascii="Arial" w:cs="Arial" w:eastAsia="Arial" w:hAnsi="Arial"/>
          <w:sz w:val="18"/>
          <w:szCs w:val="18"/>
          <w:color w:val="auto"/>
        </w:rPr>
        <w:t>includes the subordinated notes (“CLO Notes”) issued by Saratoga CLO and the Company’s rights under the CLO Management Agreement (as defined below).</w:t>
      </w:r>
    </w:p>
    <w:p>
      <w:pPr>
        <w:spacing w:after="0" w:line="181" w:lineRule="exact"/>
        <w:rPr>
          <w:sz w:val="20"/>
          <w:szCs w:val="20"/>
          <w:color w:val="auto"/>
        </w:rPr>
      </w:pPr>
    </w:p>
    <w:p>
      <w:pPr>
        <w:ind w:firstLine="913"/>
        <w:spacing w:after="0" w:line="288" w:lineRule="auto"/>
        <w:rPr>
          <w:sz w:val="20"/>
          <w:szCs w:val="20"/>
          <w:color w:val="auto"/>
        </w:rPr>
      </w:pPr>
      <w:r>
        <w:rPr>
          <w:rFonts w:ascii="Arial" w:cs="Arial" w:eastAsia="Arial" w:hAnsi="Arial"/>
          <w:sz w:val="16"/>
          <w:szCs w:val="16"/>
          <w:i w:val="1"/>
          <w:iCs w:val="1"/>
          <w:color w:val="auto"/>
        </w:rPr>
        <w:t xml:space="preserve">Interest Rate and Fees. </w:t>
      </w:r>
      <w:r>
        <w:rPr>
          <w:rFonts w:ascii="Arial" w:cs="Arial" w:eastAsia="Arial" w:hAnsi="Arial"/>
          <w:sz w:val="16"/>
          <w:szCs w:val="16"/>
          <w:color w:val="auto"/>
        </w:rPr>
        <w:t>Under the Credit Facility, funds are borrowed from or through certain lenders at the greater of the prevailing LIBOR rate</w:t>
      </w:r>
      <w:r>
        <w:rPr>
          <w:rFonts w:ascii="Arial" w:cs="Arial" w:eastAsia="Arial" w:hAnsi="Arial"/>
          <w:sz w:val="16"/>
          <w:szCs w:val="16"/>
          <w:i w:val="1"/>
          <w:iCs w:val="1"/>
          <w:color w:val="auto"/>
        </w:rPr>
        <w:t xml:space="preserve"> </w:t>
      </w:r>
      <w:r>
        <w:rPr>
          <w:rFonts w:ascii="Arial" w:cs="Arial" w:eastAsia="Arial" w:hAnsi="Arial"/>
          <w:sz w:val="16"/>
          <w:szCs w:val="16"/>
          <w:color w:val="auto"/>
        </w:rPr>
        <w:t>and 2.00%, plus an applicable margin of 5.50%. At the Company’s option, funds may be borrowed based on an alternative base rate, which in no event will be less than 3.00%, and the applicable margin over such alternative base rate is 4.50%. In addition, the Company pays the lenders a commitment fee of</w:t>
      </w:r>
    </w:p>
    <w:p>
      <w:pPr>
        <w:ind w:right="140"/>
        <w:spacing w:after="0" w:line="323" w:lineRule="auto"/>
        <w:rPr>
          <w:sz w:val="20"/>
          <w:szCs w:val="20"/>
          <w:color w:val="auto"/>
        </w:rPr>
      </w:pPr>
      <w:r>
        <w:rPr>
          <w:rFonts w:ascii="Arial" w:cs="Arial" w:eastAsia="Arial" w:hAnsi="Arial"/>
          <w:sz w:val="16"/>
          <w:szCs w:val="16"/>
          <w:color w:val="auto"/>
        </w:rPr>
        <w:t>0.75% per year on the unused amount of the Credit Facility for the duration of the Revolving Period (defined below). Accrued interest and commitment fees are payable monthly. The Company was also obligated to pay certain other fees to the lenders in connection with the closing of the Credit Facility.</w:t>
      </w:r>
    </w:p>
    <w:p>
      <w:pPr>
        <w:spacing w:after="0" w:line="139"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i w:val="1"/>
          <w:iCs w:val="1"/>
          <w:color w:val="auto"/>
        </w:rPr>
        <w:t xml:space="preserve">Revolving Period and Maturity Date. </w:t>
      </w:r>
      <w:r>
        <w:rPr>
          <w:rFonts w:ascii="Arial" w:cs="Arial" w:eastAsia="Arial" w:hAnsi="Arial"/>
          <w:sz w:val="18"/>
          <w:szCs w:val="18"/>
          <w:color w:val="auto"/>
        </w:rPr>
        <w:t>The Company may make and repay borrowings under the Credit Facility for a period of three years</w:t>
      </w:r>
      <w:r>
        <w:rPr>
          <w:rFonts w:ascii="Arial" w:cs="Arial" w:eastAsia="Arial" w:hAnsi="Arial"/>
          <w:sz w:val="18"/>
          <w:szCs w:val="18"/>
          <w:i w:val="1"/>
          <w:iCs w:val="1"/>
          <w:color w:val="auto"/>
        </w:rPr>
        <w:t xml:space="preserve"> </w:t>
      </w:r>
      <w:r>
        <w:rPr>
          <w:rFonts w:ascii="Arial" w:cs="Arial" w:eastAsia="Arial" w:hAnsi="Arial"/>
          <w:sz w:val="18"/>
          <w:szCs w:val="18"/>
          <w:color w:val="auto"/>
        </w:rPr>
        <w:t>following the closing of the Credit Facility (the “Revolving Period”). The Revolving Period may be terminated at an earlier time by the Company or, upon the occurrence of an event of default, by action of the lenders or automatically. All borrowings and other amounts payable under the Credit Facility are due and payable in full five years after the end of the Revolving Period.</w:t>
      </w:r>
    </w:p>
    <w:p>
      <w:pPr>
        <w:spacing w:after="0" w:line="187" w:lineRule="exact"/>
        <w:rPr>
          <w:sz w:val="20"/>
          <w:szCs w:val="20"/>
          <w:color w:val="auto"/>
        </w:rPr>
      </w:pPr>
    </w:p>
    <w:p>
      <w:pPr>
        <w:ind w:right="180" w:firstLine="913"/>
        <w:spacing w:after="0" w:line="312" w:lineRule="auto"/>
        <w:rPr>
          <w:sz w:val="20"/>
          <w:szCs w:val="20"/>
          <w:color w:val="auto"/>
        </w:rPr>
      </w:pPr>
      <w:r>
        <w:rPr>
          <w:rFonts w:ascii="Arial" w:cs="Arial" w:eastAsia="Arial" w:hAnsi="Arial"/>
          <w:sz w:val="16"/>
          <w:szCs w:val="16"/>
          <w:i w:val="1"/>
          <w:iCs w:val="1"/>
          <w:color w:val="auto"/>
        </w:rPr>
        <w:t xml:space="preserve">Collateral Tests. </w:t>
      </w:r>
      <w:r>
        <w:rPr>
          <w:rFonts w:ascii="Arial" w:cs="Arial" w:eastAsia="Arial" w:hAnsi="Arial"/>
          <w:sz w:val="16"/>
          <w:szCs w:val="16"/>
          <w:color w:val="auto"/>
        </w:rPr>
        <w:t>It is a condition precedent to any borrowing under the Credit Facility that the principal amount outstanding under the Credit</w:t>
      </w:r>
      <w:r>
        <w:rPr>
          <w:rFonts w:ascii="Arial" w:cs="Arial" w:eastAsia="Arial" w:hAnsi="Arial"/>
          <w:sz w:val="16"/>
          <w:szCs w:val="16"/>
          <w:i w:val="1"/>
          <w:iCs w:val="1"/>
          <w:color w:val="auto"/>
        </w:rPr>
        <w:t xml:space="preserve"> </w:t>
      </w:r>
      <w:r>
        <w:rPr>
          <w:rFonts w:ascii="Arial" w:cs="Arial" w:eastAsia="Arial" w:hAnsi="Arial"/>
          <w:sz w:val="16"/>
          <w:szCs w:val="16"/>
          <w:color w:val="auto"/>
        </w:rPr>
        <w:t>Facility, after giving effect to the proposed borrowings, not exceed the lesser of the Borrowing Base or the Facility Amount (the “Borrowing Base Test”). In addition to satisfying the Borrowing Base Test, the following tests must also be satisfied (together with Borrowing Base Test, the “Collateral Tests”):</w:t>
      </w:r>
    </w:p>
    <w:p>
      <w:pPr>
        <w:spacing w:after="0" w:line="52" w:lineRule="exact"/>
        <w:rPr>
          <w:sz w:val="20"/>
          <w:szCs w:val="20"/>
          <w:color w:val="auto"/>
        </w:rPr>
      </w:pPr>
    </w:p>
    <w:p>
      <w:pPr>
        <w:jc w:val="both"/>
        <w:ind w:left="1460" w:right="80" w:hanging="547"/>
        <w:spacing w:after="0" w:line="264" w:lineRule="auto"/>
        <w:tabs>
          <w:tab w:leader="none" w:pos="1460" w:val="left"/>
        </w:tabs>
        <w:numPr>
          <w:ilvl w:val="0"/>
          <w:numId w:val="30"/>
        </w:numPr>
        <w:rPr>
          <w:rFonts w:ascii="Arial" w:cs="Arial" w:eastAsia="Arial" w:hAnsi="Arial"/>
          <w:sz w:val="18"/>
          <w:szCs w:val="18"/>
          <w:color w:val="auto"/>
        </w:rPr>
      </w:pPr>
      <w:r>
        <w:rPr>
          <w:rFonts w:ascii="Arial" w:cs="Arial" w:eastAsia="Arial" w:hAnsi="Arial"/>
          <w:sz w:val="18"/>
          <w:szCs w:val="18"/>
          <w:i w:val="1"/>
          <w:iCs w:val="1"/>
          <w:color w:val="auto"/>
        </w:rPr>
        <w:t xml:space="preserve">Interest Coverage Ratio. </w:t>
      </w:r>
      <w:r>
        <w:rPr>
          <w:rFonts w:ascii="Arial" w:cs="Arial" w:eastAsia="Arial" w:hAnsi="Arial"/>
          <w:sz w:val="18"/>
          <w:szCs w:val="18"/>
          <w:color w:val="auto"/>
        </w:rPr>
        <w:t>The ratio (expressed as a percentage) of interest collections with respect to pledged loan assets, less certain fees</w:t>
      </w:r>
      <w:r>
        <w:rPr>
          <w:rFonts w:ascii="Arial" w:cs="Arial" w:eastAsia="Arial" w:hAnsi="Arial"/>
          <w:sz w:val="18"/>
          <w:szCs w:val="18"/>
          <w:i w:val="1"/>
          <w:iCs w:val="1"/>
          <w:color w:val="auto"/>
        </w:rPr>
        <w:t xml:space="preserve"> </w:t>
      </w:r>
      <w:r>
        <w:rPr>
          <w:rFonts w:ascii="Arial" w:cs="Arial" w:eastAsia="Arial" w:hAnsi="Arial"/>
          <w:sz w:val="18"/>
          <w:szCs w:val="18"/>
          <w:color w:val="auto"/>
        </w:rPr>
        <w:t>and expenses relating to the Credit Facility, to accrued interest and commitment fees and any breakage costs payable to the lenders under the Credit Facility for the last 6 payment periods must equal at least 175.0%.</w:t>
      </w:r>
    </w:p>
    <w:p>
      <w:pPr>
        <w:spacing w:after="0" w:line="86" w:lineRule="exact"/>
        <w:rPr>
          <w:rFonts w:ascii="Arial" w:cs="Arial" w:eastAsia="Arial" w:hAnsi="Arial"/>
          <w:sz w:val="18"/>
          <w:szCs w:val="18"/>
          <w:color w:val="auto"/>
        </w:rPr>
      </w:pPr>
    </w:p>
    <w:p>
      <w:pPr>
        <w:ind w:left="1460" w:right="120" w:hanging="547"/>
        <w:spacing w:after="0" w:line="286" w:lineRule="auto"/>
        <w:tabs>
          <w:tab w:leader="none" w:pos="146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Overcollateralization Ratio. </w:t>
      </w:r>
      <w:r>
        <w:rPr>
          <w:rFonts w:ascii="Arial" w:cs="Arial" w:eastAsia="Arial" w:hAnsi="Arial"/>
          <w:sz w:val="17"/>
          <w:szCs w:val="17"/>
          <w:color w:val="auto"/>
        </w:rPr>
        <w:t>The ratio (expressed as a percentage) of the aggregate Adjusted Borrowing Value of “eligible” pledged loan</w:t>
      </w:r>
      <w:r>
        <w:rPr>
          <w:rFonts w:ascii="Arial" w:cs="Arial" w:eastAsia="Arial" w:hAnsi="Arial"/>
          <w:sz w:val="17"/>
          <w:szCs w:val="17"/>
          <w:i w:val="1"/>
          <w:iCs w:val="1"/>
          <w:color w:val="auto"/>
        </w:rPr>
        <w:t xml:space="preserve"> </w:t>
      </w:r>
      <w:r>
        <w:rPr>
          <w:rFonts w:ascii="Arial" w:cs="Arial" w:eastAsia="Arial" w:hAnsi="Arial"/>
          <w:sz w:val="17"/>
          <w:szCs w:val="17"/>
          <w:color w:val="auto"/>
        </w:rPr>
        <w:t>assets plus the fair value of certain ineligible pledged loan assets and the CLO Notes (in each case, subject to certain adjustments) to outstanding borrowings under the Credit Facility plus the Unfunded Exposure Amount must equal at least 200.0%.</w:t>
      </w:r>
    </w:p>
    <w:p>
      <w:pPr>
        <w:spacing w:after="0" w:line="70" w:lineRule="exact"/>
        <w:rPr>
          <w:rFonts w:ascii="Arial" w:cs="Arial" w:eastAsia="Arial" w:hAnsi="Arial"/>
          <w:sz w:val="17"/>
          <w:szCs w:val="17"/>
          <w:color w:val="auto"/>
        </w:rPr>
      </w:pPr>
    </w:p>
    <w:p>
      <w:pPr>
        <w:ind w:left="1460" w:right="100" w:hanging="547"/>
        <w:spacing w:after="0" w:line="286" w:lineRule="auto"/>
        <w:tabs>
          <w:tab w:leader="none" w:pos="1460" w:val="left"/>
        </w:tabs>
        <w:numPr>
          <w:ilvl w:val="0"/>
          <w:numId w:val="30"/>
        </w:numPr>
        <w:rPr>
          <w:rFonts w:ascii="Arial" w:cs="Arial" w:eastAsia="Arial" w:hAnsi="Arial"/>
          <w:sz w:val="17"/>
          <w:szCs w:val="17"/>
          <w:color w:val="auto"/>
        </w:rPr>
      </w:pPr>
      <w:r>
        <w:rPr>
          <w:rFonts w:ascii="Arial" w:cs="Arial" w:eastAsia="Arial" w:hAnsi="Arial"/>
          <w:sz w:val="17"/>
          <w:szCs w:val="17"/>
          <w:i w:val="1"/>
          <w:iCs w:val="1"/>
          <w:color w:val="auto"/>
        </w:rPr>
        <w:t xml:space="preserve">Weighted Average FMV Test. </w:t>
      </w:r>
      <w:r>
        <w:rPr>
          <w:rFonts w:ascii="Arial" w:cs="Arial" w:eastAsia="Arial" w:hAnsi="Arial"/>
          <w:sz w:val="17"/>
          <w:szCs w:val="17"/>
          <w:color w:val="auto"/>
        </w:rPr>
        <w:t>The aggregate adjusted or weighted value of “eligible” pledged loan assets as a percentage of the aggregate</w:t>
      </w:r>
      <w:r>
        <w:rPr>
          <w:rFonts w:ascii="Arial" w:cs="Arial" w:eastAsia="Arial" w:hAnsi="Arial"/>
          <w:sz w:val="17"/>
          <w:szCs w:val="17"/>
          <w:i w:val="1"/>
          <w:iCs w:val="1"/>
          <w:color w:val="auto"/>
        </w:rPr>
        <w:t xml:space="preserve"> </w:t>
      </w:r>
      <w:r>
        <w:rPr>
          <w:rFonts w:ascii="Arial" w:cs="Arial" w:eastAsia="Arial" w:hAnsi="Arial"/>
          <w:sz w:val="17"/>
          <w:szCs w:val="17"/>
          <w:color w:val="auto"/>
        </w:rPr>
        <w:t>outstanding principal balance of “eligible” pledged loan assets must be equal to or greater than 72.0% and 80.0% during the one-year periods prior to the first and second anniversary of the closing date, respectively, and 85.0% at all times thereafter.</w:t>
      </w:r>
    </w:p>
    <w:p>
      <w:pPr>
        <w:spacing w:after="0" w:line="166" w:lineRule="exact"/>
        <w:rPr>
          <w:sz w:val="20"/>
          <w:szCs w:val="20"/>
          <w:color w:val="auto"/>
        </w:rPr>
      </w:pPr>
    </w:p>
    <w:p>
      <w:pPr>
        <w:ind w:right="20" w:firstLine="913"/>
        <w:spacing w:after="0" w:line="302" w:lineRule="auto"/>
        <w:rPr>
          <w:sz w:val="20"/>
          <w:szCs w:val="20"/>
          <w:color w:val="auto"/>
        </w:rPr>
      </w:pPr>
      <w:r>
        <w:rPr>
          <w:rFonts w:ascii="Arial" w:cs="Arial" w:eastAsia="Arial" w:hAnsi="Arial"/>
          <w:sz w:val="16"/>
          <w:szCs w:val="16"/>
          <w:color w:val="auto"/>
        </w:rPr>
        <w:t>The Credit Facility also requires payment of outstanding borrowings or replacement of pledged loan assets upon the Company’s breach of its representation and warranty that pledged loan assets included in the Borrowing Base are “eligible” loan assets. Such payments or replacements must equal the lower of the amount by which the Borrowing Base is overstated as a result of such breach or any deficiency under the Collateral Tests at the time of repayment or replacement. Compliance with the Collateral Tests is also a condition to the discretionary sale of pledged loan assets by the Company.</w:t>
      </w:r>
    </w:p>
    <w:p>
      <w:pPr>
        <w:spacing w:after="0" w:line="154" w:lineRule="exact"/>
        <w:rPr>
          <w:sz w:val="20"/>
          <w:szCs w:val="20"/>
          <w:color w:val="auto"/>
        </w:rPr>
      </w:pPr>
    </w:p>
    <w:p>
      <w:pPr>
        <w:ind w:firstLine="913"/>
        <w:spacing w:after="0" w:line="273" w:lineRule="auto"/>
        <w:rPr>
          <w:sz w:val="20"/>
          <w:szCs w:val="20"/>
          <w:color w:val="auto"/>
        </w:rPr>
      </w:pPr>
      <w:r>
        <w:rPr>
          <w:rFonts w:ascii="Arial" w:cs="Arial" w:eastAsia="Arial" w:hAnsi="Arial"/>
          <w:sz w:val="17"/>
          <w:szCs w:val="17"/>
          <w:i w:val="1"/>
          <w:iCs w:val="1"/>
          <w:color w:val="auto"/>
        </w:rPr>
        <w:t xml:space="preserve">Priority of Payments. </w:t>
      </w:r>
      <w:r>
        <w:rPr>
          <w:rFonts w:ascii="Arial" w:cs="Arial" w:eastAsia="Arial" w:hAnsi="Arial"/>
          <w:sz w:val="17"/>
          <w:szCs w:val="17"/>
          <w:color w:val="auto"/>
        </w:rPr>
        <w:t>During the Revolving Period, the priority of payments provisions of the Credit Facility require, after payment of specified</w:t>
      </w:r>
      <w:r>
        <w:rPr>
          <w:rFonts w:ascii="Arial" w:cs="Arial" w:eastAsia="Arial" w:hAnsi="Arial"/>
          <w:sz w:val="17"/>
          <w:szCs w:val="17"/>
          <w:i w:val="1"/>
          <w:iCs w:val="1"/>
          <w:color w:val="auto"/>
        </w:rPr>
        <w:t xml:space="preserve"> </w:t>
      </w:r>
      <w:r>
        <w:rPr>
          <w:rFonts w:ascii="Arial" w:cs="Arial" w:eastAsia="Arial" w:hAnsi="Arial"/>
          <w:sz w:val="17"/>
          <w:szCs w:val="17"/>
          <w:color w:val="auto"/>
        </w:rPr>
        <w:t>fees and expenses and any necessary funding of the Unfunded Exposure Account, that collections of principal from the loan assets and, to the extent that these are insufficient, collections of interest from the loan assets, be applied on each payment date to payment of outstanding borrowings if the Borrowing Base Test, the Overcollateralization Ratio and the Interest Coverage Ratio would not otherwise be met. Similarly, following termination of the Revolving Period, collections of interest are required to be applied, after payment of certain fees and expenses, to cure any deficiencies in the Borrowing Base Test, the Interest Coverage Ratio and the Overcollateralization Ratio as of the relevant payment date.</w:t>
      </w:r>
    </w:p>
    <w:p>
      <w:pPr>
        <w:spacing w:after="0" w:line="178" w:lineRule="exact"/>
        <w:rPr>
          <w:sz w:val="20"/>
          <w:szCs w:val="20"/>
          <w:color w:val="auto"/>
        </w:rPr>
      </w:pPr>
    </w:p>
    <w:p>
      <w:pPr>
        <w:ind w:right="80" w:firstLine="913"/>
        <w:spacing w:after="0" w:line="259" w:lineRule="auto"/>
        <w:rPr>
          <w:sz w:val="20"/>
          <w:szCs w:val="20"/>
          <w:color w:val="auto"/>
        </w:rPr>
      </w:pPr>
      <w:r>
        <w:rPr>
          <w:rFonts w:ascii="Arial" w:cs="Arial" w:eastAsia="Arial" w:hAnsi="Arial"/>
          <w:sz w:val="18"/>
          <w:szCs w:val="18"/>
          <w:i w:val="1"/>
          <w:iCs w:val="1"/>
          <w:color w:val="auto"/>
        </w:rPr>
        <w:t xml:space="preserve">Reserve Account. </w:t>
      </w:r>
      <w:r>
        <w:rPr>
          <w:rFonts w:ascii="Arial" w:cs="Arial" w:eastAsia="Arial" w:hAnsi="Arial"/>
          <w:sz w:val="18"/>
          <w:szCs w:val="18"/>
          <w:color w:val="auto"/>
        </w:rPr>
        <w:t>The Credit Facility requires the Company to set aside an amount equal to the sum of accrued interest, commitment fees and</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agent fees due and payable on the next succeeding three payment dates (or corresponding to three payment periods). If for any monthly period during which fees and other payments accrue, the aggregate Adjusted Borrowing Value of “eligible” pledged loan assets which do not pay cash interest at least quarterly exceeds 15.0% of the aggregate Adjusted Borrowing Value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459" w:right="2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of “eligible” pledged loan assets, the Company is required to set aside such interest and fees due and payable on the next succeeding six payment dates. Amounts in the reserve account can be applied solely to the payment of administrative agent fees, commitment fees, accrued and unpaid interest and any breakage costs payable to the lenders.</w:t>
      </w:r>
    </w:p>
    <w:p>
      <w:pPr>
        <w:spacing w:after="0" w:line="181"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i w:val="1"/>
          <w:iCs w:val="1"/>
          <w:color w:val="auto"/>
        </w:rPr>
        <w:t xml:space="preserve">Unfunded Exposure Account. </w:t>
      </w:r>
      <w:r>
        <w:rPr>
          <w:rFonts w:ascii="Arial" w:cs="Arial" w:eastAsia="Arial" w:hAnsi="Arial"/>
          <w:sz w:val="17"/>
          <w:szCs w:val="17"/>
          <w:color w:val="auto"/>
        </w:rPr>
        <w:t>With respect to revolver or delayed draw loan assets, the Company is required to set aside in a designated account</w:t>
      </w:r>
      <w:r>
        <w:rPr>
          <w:rFonts w:ascii="Arial" w:cs="Arial" w:eastAsia="Arial" w:hAnsi="Arial"/>
          <w:sz w:val="17"/>
          <w:szCs w:val="17"/>
          <w:i w:val="1"/>
          <w:iCs w:val="1"/>
          <w:color w:val="auto"/>
        </w:rPr>
        <w:t xml:space="preserve"> </w:t>
      </w:r>
      <w:r>
        <w:rPr>
          <w:rFonts w:ascii="Arial" w:cs="Arial" w:eastAsia="Arial" w:hAnsi="Arial"/>
          <w:sz w:val="17"/>
          <w:szCs w:val="17"/>
          <w:color w:val="auto"/>
        </w:rPr>
        <w:t>(the “Unfunded Exposure Account”) 100.0% of its outstanding and undrawn funding commitments with respect to such loan assets. The Unfunded Exposure Account is funded at the time the Company acquires a revolver or delayed draw loan asset and requests a related borrowing under the Credit Facility. The Unfunded Exposure Account is funded through a combination of proceeds of the requested borrowing and other Company funds, and if for any reason such amounts are insufficient, through application of the priority of payment provisions described above.</w:t>
      </w:r>
    </w:p>
    <w:p>
      <w:pPr>
        <w:spacing w:after="0" w:line="173" w:lineRule="exact"/>
        <w:rPr>
          <w:sz w:val="20"/>
          <w:szCs w:val="20"/>
          <w:color w:val="auto"/>
        </w:rPr>
      </w:pPr>
    </w:p>
    <w:p>
      <w:pPr>
        <w:ind w:right="20" w:firstLine="913"/>
        <w:spacing w:after="0" w:line="291"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The priority of payments provision of the Credit Facility provides for the payment of certain operating expenses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out of collections on principal and interest during the Revolving Period and out of collections on interest following the termination of the Revolving Period in accordance with the priority established in such provision. The operating expenses payable pursuant to the priority of payment provisions is limited to $350,000 for each monthly payment date or $2.5 million for the immediately preceding period of twelve consecutive monthly payment dates. This ceiling can be increased by the lesser of 5.0% or the percentage increase in the fair market value of all the Company’s assets only on the first monthly payment date to occur after each one-year anniversary following the closing of the Credit Facility. Upon the occurrence of a Manager Event (described below), the consent of the administrative agent is required in order to pay operating expenses through the priority of payments provision.</w:t>
      </w:r>
    </w:p>
    <w:p>
      <w:pPr>
        <w:spacing w:after="0" w:line="167" w:lineRule="exact"/>
        <w:rPr>
          <w:sz w:val="20"/>
          <w:szCs w:val="20"/>
          <w:color w:val="auto"/>
        </w:rPr>
      </w:pPr>
    </w:p>
    <w:p>
      <w:pPr>
        <w:ind w:right="200" w:firstLine="913"/>
        <w:spacing w:after="0" w:line="279" w:lineRule="auto"/>
        <w:rPr>
          <w:sz w:val="20"/>
          <w:szCs w:val="20"/>
          <w:color w:val="auto"/>
        </w:rPr>
      </w:pPr>
      <w:r>
        <w:rPr>
          <w:rFonts w:ascii="Arial" w:cs="Arial" w:eastAsia="Arial" w:hAnsi="Arial"/>
          <w:sz w:val="17"/>
          <w:szCs w:val="17"/>
          <w:i w:val="1"/>
          <w:iCs w:val="1"/>
          <w:color w:val="auto"/>
        </w:rPr>
        <w:t xml:space="preserve">Events of Default. </w:t>
      </w:r>
      <w:r>
        <w:rPr>
          <w:rFonts w:ascii="Arial" w:cs="Arial" w:eastAsia="Arial" w:hAnsi="Arial"/>
          <w:sz w:val="17"/>
          <w:szCs w:val="17"/>
          <w:color w:val="auto"/>
        </w:rPr>
        <w:t>The Credit Facility contains certain negative covenants, customary representations and warranties and affirmative covenants</w:t>
      </w:r>
      <w:r>
        <w:rPr>
          <w:rFonts w:ascii="Arial" w:cs="Arial" w:eastAsia="Arial" w:hAnsi="Arial"/>
          <w:sz w:val="17"/>
          <w:szCs w:val="17"/>
          <w:i w:val="1"/>
          <w:iCs w:val="1"/>
          <w:color w:val="auto"/>
        </w:rPr>
        <w:t xml:space="preserve"> </w:t>
      </w:r>
      <w:r>
        <w:rPr>
          <w:rFonts w:ascii="Arial" w:cs="Arial" w:eastAsia="Arial" w:hAnsi="Arial"/>
          <w:sz w:val="17"/>
          <w:szCs w:val="17"/>
          <w:color w:val="auto"/>
        </w:rPr>
        <w:t>and events of default. The Credit Facility does not contain grace periods for breach by the Company of certain covenants, including, without limitation, preservation of existence, negative pledge, change of name or jurisdiction and separate legal entity status of the Company covenants and certain other customary covenants. Other events of default under the Credit Facility include, among other things, the following:</w:t>
      </w:r>
    </w:p>
    <w:p>
      <w:pPr>
        <w:spacing w:after="0" w:line="77" w:lineRule="exact"/>
        <w:rPr>
          <w:sz w:val="20"/>
          <w:szCs w:val="20"/>
          <w:color w:val="auto"/>
        </w:rPr>
      </w:pPr>
    </w:p>
    <w:p>
      <w:pPr>
        <w:ind w:left="1460" w:hanging="547"/>
        <w:spacing w:after="0"/>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Interest Coverage Ratio of less than 150.0%;</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 Overcollateralization Ratio of less than 175.0%;</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filing of certain ERISA or tax liens;</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occurrence of certain “Manager Events” such as:</w:t>
      </w:r>
    </w:p>
    <w:p>
      <w:pPr>
        <w:spacing w:after="0" w:line="130" w:lineRule="exact"/>
        <w:rPr>
          <w:rFonts w:ascii="Arial" w:cs="Arial" w:eastAsia="Arial" w:hAnsi="Arial"/>
          <w:sz w:val="18"/>
          <w:szCs w:val="18"/>
          <w:color w:val="auto"/>
        </w:rPr>
      </w:pPr>
    </w:p>
    <w:p>
      <w:pPr>
        <w:ind w:left="2380" w:right="60" w:hanging="441"/>
        <w:spacing w:after="0" w:line="264" w:lineRule="auto"/>
        <w:tabs>
          <w:tab w:leader="none" w:pos="23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failure by Saratoga Investment Advisors and its affiliates to maintain collectively, directly or indirectly, a cash equity investment in the Company in an amount equal to at least $5,000,000 at any time prior to the third anniversary of the closing date;</w:t>
      </w:r>
    </w:p>
    <w:p>
      <w:pPr>
        <w:spacing w:after="0" w:line="86" w:lineRule="exact"/>
        <w:rPr>
          <w:rFonts w:ascii="Arial" w:cs="Arial" w:eastAsia="Arial" w:hAnsi="Arial"/>
          <w:sz w:val="18"/>
          <w:szCs w:val="18"/>
          <w:color w:val="auto"/>
        </w:rPr>
      </w:pPr>
    </w:p>
    <w:p>
      <w:pPr>
        <w:ind w:left="2380" w:hanging="441"/>
        <w:spacing w:after="0"/>
        <w:tabs>
          <w:tab w:leader="none" w:pos="2380" w:val="left"/>
        </w:tabs>
        <w:numPr>
          <w:ilvl w:val="1"/>
          <w:numId w:val="31"/>
        </w:numPr>
        <w:rPr>
          <w:rFonts w:ascii="Arial" w:cs="Arial" w:eastAsia="Arial" w:hAnsi="Arial"/>
          <w:sz w:val="16"/>
          <w:szCs w:val="16"/>
          <w:color w:val="auto"/>
        </w:rPr>
      </w:pPr>
      <w:r>
        <w:rPr>
          <w:rFonts w:ascii="Arial" w:cs="Arial" w:eastAsia="Arial" w:hAnsi="Arial"/>
          <w:sz w:val="16"/>
          <w:szCs w:val="16"/>
          <w:color w:val="auto"/>
        </w:rPr>
        <w:t>failure of the Management Agreement between Saratoga Investment Advisors and the Company to be in full force and effect;</w:t>
      </w:r>
    </w:p>
    <w:p>
      <w:pPr>
        <w:spacing w:after="0" w:line="153" w:lineRule="exact"/>
        <w:rPr>
          <w:rFonts w:ascii="Arial" w:cs="Arial" w:eastAsia="Arial" w:hAnsi="Arial"/>
          <w:sz w:val="16"/>
          <w:szCs w:val="16"/>
          <w:color w:val="auto"/>
        </w:rPr>
      </w:pPr>
    </w:p>
    <w:p>
      <w:pPr>
        <w:ind w:left="2380" w:right="220" w:hanging="441"/>
        <w:spacing w:after="0" w:line="259" w:lineRule="auto"/>
        <w:tabs>
          <w:tab w:leader="none" w:pos="23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indictment or conviction of Saratoga Investment Advisors or any “key person” for a felony offense, or any fraud, embezzlement or misappropriation of funds by Saratoga Investment Advisors or any “key person” and, in the case of “key persons,” without a reputable, experienced individual reasonably satisfactory to Madison Capital Funding appointed to replace such key person within 30 days;</w:t>
      </w:r>
    </w:p>
    <w:p>
      <w:pPr>
        <w:spacing w:after="0" w:line="92" w:lineRule="exact"/>
        <w:rPr>
          <w:rFonts w:ascii="Arial" w:cs="Arial" w:eastAsia="Arial" w:hAnsi="Arial"/>
          <w:sz w:val="18"/>
          <w:szCs w:val="18"/>
          <w:color w:val="auto"/>
        </w:rPr>
      </w:pPr>
    </w:p>
    <w:p>
      <w:pPr>
        <w:ind w:left="2380" w:right="20" w:hanging="441"/>
        <w:spacing w:after="0" w:line="264" w:lineRule="auto"/>
        <w:tabs>
          <w:tab w:leader="none" w:pos="23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resignation, termination, disability or death of a “key person” or failure of any “key person” to provide active participation in Saratoga Investment Advisors’ daily activities, all without a reputable, experienced individual reasonably satisfactory to Madison Capital Funding appointed within 30 days; or</w:t>
      </w:r>
    </w:p>
    <w:p>
      <w:pPr>
        <w:spacing w:after="0" w:line="86" w:lineRule="exact"/>
        <w:rPr>
          <w:rFonts w:ascii="Arial" w:cs="Arial" w:eastAsia="Arial" w:hAnsi="Arial"/>
          <w:sz w:val="18"/>
          <w:szCs w:val="18"/>
          <w:color w:val="auto"/>
        </w:rPr>
      </w:pPr>
    </w:p>
    <w:p>
      <w:pPr>
        <w:ind w:left="2380" w:right="400" w:hanging="441"/>
        <w:spacing w:after="0" w:line="259" w:lineRule="auto"/>
        <w:tabs>
          <w:tab w:leader="none" w:pos="2380" w:val="left"/>
        </w:tabs>
        <w:numPr>
          <w:ilvl w:val="1"/>
          <w:numId w:val="31"/>
        </w:numPr>
        <w:rPr>
          <w:rFonts w:ascii="Arial" w:cs="Arial" w:eastAsia="Arial" w:hAnsi="Arial"/>
          <w:sz w:val="18"/>
          <w:szCs w:val="18"/>
          <w:color w:val="auto"/>
        </w:rPr>
      </w:pPr>
      <w:r>
        <w:rPr>
          <w:rFonts w:ascii="Arial" w:cs="Arial" w:eastAsia="Arial" w:hAnsi="Arial"/>
          <w:sz w:val="18"/>
          <w:szCs w:val="18"/>
          <w:color w:val="auto"/>
        </w:rPr>
        <w:t>occurrence of any event constituting “cause” under the Collateral Management Agreement between the Company and Saratoga CLO (the “CLO Management Agreement”), delivery of a notice under Section 12(c) of the CLO Management Agreement with respect to the removal of the Company as collateral manager or the Company ceases to act as collateral manager under the CLO Management Agreement.</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40" w:firstLine="913"/>
        <w:spacing w:after="0" w:line="259" w:lineRule="auto"/>
        <w:rPr>
          <w:sz w:val="20"/>
          <w:szCs w:val="20"/>
          <w:color w:val="auto"/>
        </w:rPr>
      </w:pPr>
      <w:r>
        <w:rPr>
          <w:rFonts w:ascii="Arial" w:cs="Arial" w:eastAsia="Arial" w:hAnsi="Arial"/>
          <w:sz w:val="18"/>
          <w:szCs w:val="18"/>
          <w:i w:val="1"/>
          <w:iCs w:val="1"/>
          <w:color w:val="auto"/>
        </w:rPr>
        <w:t xml:space="preserve">Conditions to Acquisitions and Pledges of Loan Assets. </w:t>
      </w:r>
      <w:r>
        <w:rPr>
          <w:rFonts w:ascii="Arial" w:cs="Arial" w:eastAsia="Arial" w:hAnsi="Arial"/>
          <w:sz w:val="18"/>
          <w:szCs w:val="18"/>
          <w:color w:val="auto"/>
        </w:rPr>
        <w:t>The Credit Facility imposes certain additional conditions to the acquisition and pledge of</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loan assets. Among other things, the Company may not acquire additional loan assets without the prior written consent of the administrative agent until such time that the administrative agent indicates in writing its satisfaction with Saratoga Investment Advisors’ policies, personnel and processes relating to the loan assets.</w:t>
      </w:r>
    </w:p>
    <w:p>
      <w:pPr>
        <w:spacing w:after="0" w:line="187" w:lineRule="exact"/>
        <w:rPr>
          <w:sz w:val="20"/>
          <w:szCs w:val="20"/>
          <w:color w:val="auto"/>
        </w:rPr>
      </w:pPr>
    </w:p>
    <w:p>
      <w:pPr>
        <w:ind w:right="160" w:firstLine="913"/>
        <w:spacing w:after="0" w:line="259" w:lineRule="auto"/>
        <w:rPr>
          <w:sz w:val="20"/>
          <w:szCs w:val="20"/>
          <w:color w:val="auto"/>
        </w:rPr>
      </w:pPr>
      <w:r>
        <w:rPr>
          <w:rFonts w:ascii="Arial" w:cs="Arial" w:eastAsia="Arial" w:hAnsi="Arial"/>
          <w:sz w:val="18"/>
          <w:szCs w:val="18"/>
          <w:i w:val="1"/>
          <w:iCs w:val="1"/>
          <w:color w:val="auto"/>
        </w:rPr>
        <w:t xml:space="preserve">Fees and Expenses. </w:t>
      </w:r>
      <w:r>
        <w:rPr>
          <w:rFonts w:ascii="Arial" w:cs="Arial" w:eastAsia="Arial" w:hAnsi="Arial"/>
          <w:sz w:val="18"/>
          <w:szCs w:val="18"/>
          <w:color w:val="auto"/>
        </w:rPr>
        <w:t>The Company paid certain fees and reimbursed Madison Capital Funding for the aggregate amount of all documented, out-of-pocket costs and expenses, including the reasonable fees and expenses of lawyers, incurred by Madison Capital Funding in connection with the Credit Facility and the carrying out of any and all acts contemplated thereunder up to and as of the date of closing of the stock purchase transaction with Saratoga Investment Advisors and certain of its affiliates. These amounts totaled $2.0 million.</w:t>
      </w:r>
    </w:p>
    <w:p>
      <w:pPr>
        <w:spacing w:after="0" w:line="18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On February 24, 2012, we amended our senior secured revolving credit facility with Madison Capital Funding LLC to, among other things:</w:t>
      </w:r>
    </w:p>
    <w:p>
      <w:pPr>
        <w:spacing w:after="0" w:line="142" w:lineRule="exact"/>
        <w:rPr>
          <w:sz w:val="20"/>
          <w:szCs w:val="20"/>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expand the borrowing capacity under the credit facility from $40.0 million to $45.0 million;</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extend the Revolving Period from July 30, 2013 to February 24, 2015; and</w:t>
      </w:r>
    </w:p>
    <w:p>
      <w:pPr>
        <w:spacing w:after="0" w:line="130" w:lineRule="exact"/>
        <w:rPr>
          <w:rFonts w:ascii="Arial" w:cs="Arial" w:eastAsia="Arial" w:hAnsi="Arial"/>
          <w:sz w:val="18"/>
          <w:szCs w:val="18"/>
          <w:color w:val="auto"/>
        </w:rPr>
      </w:pPr>
    </w:p>
    <w:p>
      <w:pPr>
        <w:ind w:left="1460" w:hanging="547"/>
        <w:spacing w:after="0"/>
        <w:tabs>
          <w:tab w:leader="none" w:pos="1460" w:val="left"/>
        </w:tabs>
        <w:numPr>
          <w:ilvl w:val="0"/>
          <w:numId w:val="32"/>
        </w:numPr>
        <w:rPr>
          <w:rFonts w:ascii="Arial" w:cs="Arial" w:eastAsia="Arial" w:hAnsi="Arial"/>
          <w:sz w:val="17"/>
          <w:szCs w:val="17"/>
          <w:color w:val="auto"/>
        </w:rPr>
      </w:pPr>
      <w:r>
        <w:rPr>
          <w:rFonts w:ascii="Arial" w:cs="Arial" w:eastAsia="Arial" w:hAnsi="Arial"/>
          <w:sz w:val="17"/>
          <w:szCs w:val="17"/>
          <w:color w:val="auto"/>
        </w:rPr>
        <w:t>remove the condition that we may not acquire additional loan assets without the prior written consent of the administrative agent.</w:t>
      </w:r>
    </w:p>
    <w:p>
      <w:pPr>
        <w:spacing w:after="0" w:line="23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On September 17, 2014, we entered into a second amendment to the Revolving Facility with Madison Capital Funding LLC to, among other</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things:</w:t>
      </w:r>
    </w:p>
    <w:p>
      <w:pPr>
        <w:spacing w:after="0" w:line="116" w:lineRule="exact"/>
        <w:rPr>
          <w:sz w:val="20"/>
          <w:szCs w:val="20"/>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extend the commitment termination date from February 24, 2015 to September 17, 2017;</w:t>
      </w:r>
    </w:p>
    <w:p>
      <w:pPr>
        <w:spacing w:after="0" w:line="130" w:lineRule="exact"/>
        <w:rPr>
          <w:rFonts w:ascii="Arial" w:cs="Arial" w:eastAsia="Arial" w:hAnsi="Arial"/>
          <w:sz w:val="18"/>
          <w:szCs w:val="18"/>
          <w:color w:val="auto"/>
        </w:rPr>
      </w:pPr>
    </w:p>
    <w:p>
      <w:pPr>
        <w:ind w:left="1460" w:right="60" w:hanging="547"/>
        <w:spacing w:after="0" w:line="277" w:lineRule="auto"/>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extend the maturity date of the Revolving Facility from February 24, 2020 to September 17, 2022 (unless terminated sooner upon certain events);</w:t>
      </w:r>
    </w:p>
    <w:p>
      <w:pPr>
        <w:spacing w:after="0" w:line="75" w:lineRule="exact"/>
        <w:rPr>
          <w:rFonts w:ascii="Arial" w:cs="Arial" w:eastAsia="Arial" w:hAnsi="Arial"/>
          <w:sz w:val="18"/>
          <w:szCs w:val="18"/>
          <w:color w:val="auto"/>
        </w:rPr>
      </w:pPr>
    </w:p>
    <w:p>
      <w:pPr>
        <w:ind w:left="1460" w:hanging="547"/>
        <w:spacing w:after="0"/>
        <w:tabs>
          <w:tab w:leader="none" w:pos="1460"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reduce the applicable margin rate on base rate borrowings from 4.50% to 3.75%, and on LIBOR borrowings from 5.50% to 4.75%; and</w:t>
      </w:r>
    </w:p>
    <w:p>
      <w:pPr>
        <w:spacing w:after="0" w:line="153" w:lineRule="exact"/>
        <w:rPr>
          <w:rFonts w:ascii="Arial" w:cs="Arial" w:eastAsia="Arial" w:hAnsi="Arial"/>
          <w:sz w:val="16"/>
          <w:szCs w:val="16"/>
          <w:color w:val="auto"/>
        </w:rPr>
      </w:pPr>
    </w:p>
    <w:p>
      <w:pPr>
        <w:ind w:left="1460" w:hanging="547"/>
        <w:spacing w:after="0"/>
        <w:tabs>
          <w:tab w:leader="none" w:pos="14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reduce the floor on base rate borrowings from 3.00% to 2.25%; and on LIBOR borrowings from 2.00% to 1.25%.</w:t>
      </w:r>
    </w:p>
    <w:p>
      <w:pPr>
        <w:spacing w:after="0" w:line="225"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As of August 31, 2014, we had $8.9 million outstanding under the Credit Facility and $64.0 million SBA-guaranteed debentures outstanding (which are discussed below). As of February 28, 2014 we had no outstanding balance under the Credit Facility and $50.0 million SBA-guaranteed debentures outstanding. Our borrowing base under the Credit Facility at August 31, 2014 and February 28, 2014 was $42.2 million, and $44.6 million, respectively.</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asset coverage ratio, as defined in the 1940 Act, was 309.5% as of August 31, 2014 and 337.9% as of February 28, 2014.</w:t>
      </w:r>
    </w:p>
    <w:p>
      <w:pPr>
        <w:spacing w:after="0" w:line="333"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SBA-guaranteed debentures</w:t>
      </w:r>
    </w:p>
    <w:p>
      <w:pPr>
        <w:spacing w:after="0" w:line="117" w:lineRule="exact"/>
        <w:rPr>
          <w:sz w:val="20"/>
          <w:szCs w:val="20"/>
          <w:color w:val="auto"/>
        </w:rPr>
      </w:pPr>
    </w:p>
    <w:p>
      <w:pPr>
        <w:ind w:right="760" w:firstLine="913"/>
        <w:spacing w:after="0" w:line="291" w:lineRule="auto"/>
        <w:rPr>
          <w:sz w:val="20"/>
          <w:szCs w:val="20"/>
          <w:color w:val="auto"/>
        </w:rPr>
      </w:pPr>
      <w:r>
        <w:rPr>
          <w:rFonts w:ascii="Arial" w:cs="Arial" w:eastAsia="Arial" w:hAnsi="Arial"/>
          <w:sz w:val="16"/>
          <w:szCs w:val="16"/>
          <w:color w:val="auto"/>
        </w:rPr>
        <w:t>In addition, we, through a wholly-owned subsidiary, sought and obtained a license from the SBA to operate an SBIC. In this regard, on March 28, 2012, our wholly-owned subsidiary, Saratoga Investment Corp. SBIC, LP, received a license from the SBA to operate as an SBIC under</w:t>
      </w:r>
    </w:p>
    <w:p>
      <w:pPr>
        <w:spacing w:after="0"/>
        <w:rPr>
          <w:sz w:val="20"/>
          <w:szCs w:val="20"/>
          <w:color w:val="auto"/>
        </w:rPr>
      </w:pPr>
      <w:r>
        <w:rPr>
          <w:rFonts w:ascii="Arial" w:cs="Arial" w:eastAsia="Arial" w:hAnsi="Arial"/>
          <w:sz w:val="16"/>
          <w:szCs w:val="16"/>
          <w:color w:val="auto"/>
        </w:rPr>
        <w:t>Section 301(c) of the Small Business Investment Act of 1958. SBICs are designated to stimulate the flow of private equity capital to eligible small businesses.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SBA regulations, SBICs may make loans to eligible small businesses and invest in the equity securities of small businesses.</w:t>
      </w:r>
    </w:p>
    <w:p>
      <w:pPr>
        <w:spacing w:after="0" w:line="211" w:lineRule="exact"/>
        <w:rPr>
          <w:sz w:val="20"/>
          <w:szCs w:val="20"/>
          <w:color w:val="auto"/>
        </w:rPr>
      </w:pPr>
    </w:p>
    <w:p>
      <w:pPr>
        <w:jc w:val="both"/>
        <w:ind w:right="200" w:firstLine="913"/>
        <w:spacing w:after="0" w:line="279" w:lineRule="auto"/>
        <w:rPr>
          <w:sz w:val="20"/>
          <w:szCs w:val="20"/>
          <w:color w:val="auto"/>
        </w:rPr>
      </w:pPr>
      <w:r>
        <w:rPr>
          <w:rFonts w:ascii="Arial" w:cs="Arial" w:eastAsia="Arial" w:hAnsi="Arial"/>
          <w:sz w:val="17"/>
          <w:szCs w:val="17"/>
          <w:color w:val="auto"/>
        </w:rPr>
        <w:t>The SBIC license allows our SBIC subsidiary to obtain leverage by issuing SBA-guaranteed debentures. SBA-guaranteed debentures are non-recourse, interest only debentures with interest payable semi-annually and have a ten year maturity. The principal amount of SBA-guaranteed debentures is not required to be paid prior to maturity but may be prepaid at any time without penalty. The interest rate of SBA-guaranteed debentures is fixed on a semi-annual basis at a market-driven spread over U.S. Treasury Notes with 10-year maturities.</w:t>
      </w:r>
    </w:p>
    <w:p>
      <w:pPr>
        <w:spacing w:after="0" w:line="171" w:lineRule="exact"/>
        <w:rPr>
          <w:sz w:val="20"/>
          <w:szCs w:val="20"/>
          <w:color w:val="auto"/>
        </w:rPr>
      </w:pPr>
    </w:p>
    <w:p>
      <w:pPr>
        <w:ind w:right="60" w:firstLine="913"/>
        <w:spacing w:after="0" w:line="286" w:lineRule="auto"/>
        <w:rPr>
          <w:sz w:val="20"/>
          <w:szCs w:val="20"/>
          <w:color w:val="auto"/>
        </w:rPr>
      </w:pPr>
      <w:r>
        <w:rPr>
          <w:rFonts w:ascii="Arial" w:cs="Arial" w:eastAsia="Arial" w:hAnsi="Arial"/>
          <w:sz w:val="17"/>
          <w:szCs w:val="17"/>
          <w:color w:val="auto"/>
        </w:rPr>
        <w:t>SBA regulations currently limit the amount that our SBIC subsidiary may borrow to a maximum of $150 million when it has at least $75 million in regulatory capital, receives a capital commitment from the SBA and has been through an examination by the SBA subsequent to licensing. As of August 31, 2014, our SBIC subsidiary had $45.5 million in regulatory capital and $64.0 million SBA-guaranteed debentures outstanding.</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firstLine="913"/>
        <w:spacing w:after="0" w:line="312" w:lineRule="auto"/>
        <w:rPr>
          <w:sz w:val="20"/>
          <w:szCs w:val="20"/>
          <w:color w:val="auto"/>
        </w:rPr>
      </w:pPr>
      <w:r>
        <w:rPr>
          <w:rFonts w:ascii="Arial" w:cs="Arial" w:eastAsia="Arial" w:hAnsi="Arial"/>
          <w:sz w:val="16"/>
          <w:szCs w:val="16"/>
          <w:color w:val="auto"/>
        </w:rPr>
        <w:t>We received exemptive relief from the Securities and Exchange Commission to permit us to exclude the debt of our SBIC subsidiary guaranteed by the SBA from the definition of senior securities in the 200% asset coverage test under the 1940 Act. This allows us increased flexibility under the 200% asset coverage test by permitting us to borrow up to $150 million more than we would otherwise be able to absent the receipt of this exemptive relief.</w:t>
      </w:r>
    </w:p>
    <w:p>
      <w:pPr>
        <w:spacing w:after="0" w:line="255" w:lineRule="exact"/>
        <w:rPr>
          <w:sz w:val="20"/>
          <w:szCs w:val="20"/>
          <w:color w:val="auto"/>
        </w:rPr>
      </w:pPr>
    </w:p>
    <w:p>
      <w:pPr>
        <w:ind w:left="920"/>
        <w:spacing w:after="0"/>
        <w:rPr>
          <w:sz w:val="20"/>
          <w:szCs w:val="20"/>
          <w:color w:val="auto"/>
        </w:rPr>
      </w:pPr>
      <w:r>
        <w:rPr>
          <w:rFonts w:ascii="Arial" w:cs="Arial" w:eastAsia="Arial" w:hAnsi="Arial"/>
          <w:sz w:val="18"/>
          <w:szCs w:val="18"/>
          <w:b w:val="1"/>
          <w:bCs w:val="1"/>
          <w:i w:val="1"/>
          <w:iCs w:val="1"/>
          <w:color w:val="auto"/>
        </w:rPr>
        <w:t>Unsecured notes</w:t>
      </w:r>
    </w:p>
    <w:p>
      <w:pPr>
        <w:spacing w:after="0" w:line="117" w:lineRule="exact"/>
        <w:rPr>
          <w:sz w:val="20"/>
          <w:szCs w:val="20"/>
          <w:color w:val="auto"/>
        </w:rPr>
      </w:pPr>
    </w:p>
    <w:p>
      <w:pPr>
        <w:ind w:right="60" w:firstLine="913"/>
        <w:spacing w:after="0" w:line="255" w:lineRule="auto"/>
        <w:rPr>
          <w:sz w:val="20"/>
          <w:szCs w:val="20"/>
          <w:color w:val="auto"/>
        </w:rPr>
      </w:pPr>
      <w:r>
        <w:rPr>
          <w:rFonts w:ascii="Arial" w:cs="Arial" w:eastAsia="Arial" w:hAnsi="Arial"/>
          <w:sz w:val="18"/>
          <w:szCs w:val="18"/>
          <w:color w:val="auto"/>
        </w:rPr>
        <w:t>In May 2013, we issued $48.3 million in aggregate principal amount of our 7.50% unsecured notes due 2020 for net proceeds of $46.1 million after deducting underwriting commissions of $1.9 million and offering costs of $0.3 million. The proceeds included the underwriters’ full exercise of their overallotment option. Interest on these notes is paid quarterly in arrears on February 15, May 15, August 15 and November 15, at a rate of 7.50% per year, beginning August 15, 2013. The notes mature on May 31, 2020 and may be redeemed in whole or in part at any time or from time to time at our option on or after May 31, 2016. In connection with the issuance of the notes, we agreed to the following covenants for the period of time during which the notes are outstanding:</w:t>
      </w:r>
    </w:p>
    <w:p>
      <w:pPr>
        <w:spacing w:after="0" w:line="99" w:lineRule="exact"/>
        <w:rPr>
          <w:sz w:val="20"/>
          <w:szCs w:val="20"/>
          <w:color w:val="auto"/>
        </w:rPr>
      </w:pPr>
    </w:p>
    <w:p>
      <w:pPr>
        <w:ind w:left="1460" w:right="40" w:hanging="547"/>
        <w:spacing w:after="0" w:line="279" w:lineRule="auto"/>
        <w:tabs>
          <w:tab w:leader="none" w:pos="1460" w:val="left"/>
        </w:tabs>
        <w:numPr>
          <w:ilvl w:val="0"/>
          <w:numId w:val="34"/>
        </w:numPr>
        <w:rPr>
          <w:rFonts w:ascii="Arial" w:cs="Arial" w:eastAsia="Arial" w:hAnsi="Arial"/>
          <w:sz w:val="17"/>
          <w:szCs w:val="17"/>
          <w:color w:val="auto"/>
        </w:rPr>
      </w:pPr>
      <w:r>
        <w:rPr>
          <w:rFonts w:ascii="Arial" w:cs="Arial" w:eastAsia="Arial" w:hAnsi="Arial"/>
          <w:sz w:val="17"/>
          <w:szCs w:val="17"/>
          <w:color w:val="auto"/>
        </w:rPr>
        <w:t>we will not violate (whether or not we are subject to) Section 18(a)(1)(A) as modified by Section 61(a)(1) of the 1940 Act or any successor provisions, but giving effect to any exemptive relief granted to us by the SEC. Currently, these provisions generally prohibit us from making additional borrowings, including through the issuance of additional debt or the sale of additional debt securities, unless our asset coverage, as defined in the 1940 Act, equals at least 200% after such borrowings.</w:t>
      </w:r>
    </w:p>
    <w:p>
      <w:pPr>
        <w:spacing w:after="0" w:line="76" w:lineRule="exact"/>
        <w:rPr>
          <w:rFonts w:ascii="Arial" w:cs="Arial" w:eastAsia="Arial" w:hAnsi="Arial"/>
          <w:sz w:val="17"/>
          <w:szCs w:val="17"/>
          <w:color w:val="auto"/>
        </w:rPr>
      </w:pPr>
    </w:p>
    <w:p>
      <w:pPr>
        <w:ind w:left="1460" w:hanging="547"/>
        <w:spacing w:after="0" w:line="290" w:lineRule="auto"/>
        <w:tabs>
          <w:tab w:leader="none" w:pos="14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we will not violate (regardless of whether we are subject to) Section 18(a)(1)(B) as modified by Section 61(a)(1) of the 1940 Act or any successor provisions, but giving effect to (i) any exemptive relief granted to us by the SEC and (ii) no-action relief granted by the SEC to another BDC (or to the Company if it determines to seek such similar no-action or other relief) permitting the BDC to declare any cash dividend or distribution notwithstanding the prohibition contained in Section 18(a)(1)(B) as modified by Section 61(a)(1) of the 1940 Act in order to maintain the BDC’s status as a regulated investment company under Subchapter M of the Internal Revenue Code of 1986. Currently these provisions generally prohibit us from declaring any cash dividend or distribution upon any class of our capital stock, or purchasing any such capital stock if our asset coverage, as defined in the 1940 Act, is below 200% at the time of the declaration of the dividend or distribution or the purchase and after deducting the amount of such dividend, distribution or purchase.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Notes are listed on the NYSE under the trading symbol “SAQ” with a par value of $25.00 per share.</w:t>
      </w:r>
    </w:p>
    <w:p>
      <w:pPr>
        <w:spacing w:after="0" w:line="225" w:lineRule="exact"/>
        <w:rPr>
          <w:sz w:val="20"/>
          <w:szCs w:val="20"/>
          <w:color w:val="auto"/>
        </w:rPr>
      </w:pPr>
    </w:p>
    <w:p>
      <w:pPr>
        <w:ind w:right="20" w:firstLine="913"/>
        <w:spacing w:after="0" w:line="277" w:lineRule="auto"/>
        <w:rPr>
          <w:sz w:val="20"/>
          <w:szCs w:val="20"/>
          <w:color w:val="auto"/>
        </w:rPr>
      </w:pPr>
      <w:r>
        <w:rPr>
          <w:rFonts w:ascii="Arial" w:cs="Arial" w:eastAsia="Arial" w:hAnsi="Arial"/>
          <w:sz w:val="18"/>
          <w:szCs w:val="18"/>
          <w:color w:val="auto"/>
        </w:rPr>
        <w:t>At August 31, 2014 and February 28, 2014, the fair value of investments, cash and cash equivalents and cash and cash equivalents, securitization accounts were as follows:</w:t>
      </w:r>
    </w:p>
    <w:p>
      <w:pPr>
        <w:spacing w:after="0" w:line="17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0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3"/>
              </w:rPr>
              <w:t>At August 31,</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8"/>
              </w:rPr>
              <w:t>At February 28,</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rPr>
              <w:t>2014</w:t>
            </w:r>
          </w:p>
        </w:tc>
        <w:tc>
          <w:tcPr>
            <w:tcW w:w="4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2014</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4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6"/>
              </w:rPr>
              <w:t>Percent</w:t>
            </w: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8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Percent</w:t>
            </w:r>
          </w:p>
        </w:tc>
        <w:tc>
          <w:tcPr>
            <w:tcW w:w="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4"/>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8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of</w:t>
            </w:r>
          </w:p>
        </w:tc>
        <w:tc>
          <w:tcPr>
            <w:tcW w:w="220" w:type="dxa"/>
            <w:vAlign w:val="bottom"/>
          </w:tcPr>
          <w:p>
            <w:pPr>
              <w:spacing w:after="0"/>
              <w:rPr>
                <w:sz w:val="12"/>
                <w:szCs w:val="12"/>
                <w:color w:val="auto"/>
              </w:rPr>
            </w:pPr>
          </w:p>
        </w:tc>
        <w:tc>
          <w:tcPr>
            <w:tcW w:w="11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6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of</w:t>
            </w:r>
          </w:p>
        </w:tc>
        <w:tc>
          <w:tcPr>
            <w:tcW w:w="0" w:type="dxa"/>
            <w:vAlign w:val="bottom"/>
          </w:tcPr>
          <w:p>
            <w:pPr>
              <w:spacing w:after="0"/>
              <w:rPr>
                <w:sz w:val="1"/>
                <w:szCs w:val="1"/>
                <w:color w:val="auto"/>
              </w:rPr>
            </w:pPr>
          </w:p>
        </w:tc>
      </w:tr>
      <w:tr>
        <w:trPr>
          <w:trHeight w:val="171"/>
        </w:trPr>
        <w:tc>
          <w:tcPr>
            <w:tcW w:w="6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60" w:type="dxa"/>
            <w:vAlign w:val="bottom"/>
            <w:gridSpan w:val="4"/>
            <w:vMerge w:val="continue"/>
          </w:tcPr>
          <w:p>
            <w:pPr>
              <w:spacing w:after="0"/>
              <w:rPr>
                <w:sz w:val="14"/>
                <w:szCs w:val="14"/>
                <w:color w:val="auto"/>
              </w:rPr>
            </w:pPr>
          </w:p>
        </w:tc>
        <w:tc>
          <w:tcPr>
            <w:tcW w:w="8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Total</w:t>
            </w:r>
          </w:p>
        </w:tc>
        <w:tc>
          <w:tcPr>
            <w:tcW w:w="220" w:type="dxa"/>
            <w:vAlign w:val="bottom"/>
          </w:tcPr>
          <w:p>
            <w:pPr>
              <w:spacing w:after="0"/>
              <w:rPr>
                <w:sz w:val="14"/>
                <w:szCs w:val="14"/>
                <w:color w:val="auto"/>
              </w:rPr>
            </w:pPr>
          </w:p>
        </w:tc>
        <w:tc>
          <w:tcPr>
            <w:tcW w:w="1160" w:type="dxa"/>
            <w:vAlign w:val="bottom"/>
            <w:gridSpan w:val="3"/>
            <w:vMerge w:val="continue"/>
          </w:tcPr>
          <w:p>
            <w:pPr>
              <w:spacing w:after="0"/>
              <w:rPr>
                <w:sz w:val="14"/>
                <w:szCs w:val="14"/>
                <w:color w:val="auto"/>
              </w:rPr>
            </w:pPr>
          </w:p>
        </w:tc>
        <w:tc>
          <w:tcPr>
            <w:tcW w:w="6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2"/>
        </w:trPr>
        <w:tc>
          <w:tcPr>
            <w:tcW w:w="6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2200" w:type="dxa"/>
            <w:vAlign w:val="bottom"/>
            <w:tcBorders>
              <w:top w:val="single" w:sz="8" w:color="auto"/>
            </w:tcBorders>
            <w:gridSpan w:val="6"/>
          </w:tcPr>
          <w:p>
            <w:pPr>
              <w:ind w:left="260"/>
              <w:spacing w:after="0" w:line="142" w:lineRule="exact"/>
              <w:rPr>
                <w:sz w:val="20"/>
                <w:szCs w:val="20"/>
                <w:color w:val="auto"/>
              </w:rPr>
            </w:pPr>
            <w:r>
              <w:rPr>
                <w:rFonts w:ascii="Arial" w:cs="Arial" w:eastAsia="Arial" w:hAnsi="Arial"/>
                <w:sz w:val="14"/>
                <w:szCs w:val="14"/>
                <w:b w:val="1"/>
                <w:bCs w:val="1"/>
                <w:color w:val="auto"/>
              </w:rPr>
              <w:t>($ in thousands)</w:t>
            </w:r>
          </w:p>
        </w:tc>
        <w:tc>
          <w:tcPr>
            <w:tcW w:w="48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3,294</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Cash and cash equivalents, securitization accounts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3,216</w:t>
            </w:r>
          </w:p>
        </w:tc>
        <w:tc>
          <w:tcPr>
            <w:tcW w:w="460" w:type="dxa"/>
            <w:vAlign w:val="bottom"/>
          </w:tcPr>
          <w:p>
            <w:pPr>
              <w:spacing w:after="0"/>
              <w:rPr>
                <w:sz w:val="18"/>
                <w:szCs w:val="18"/>
                <w:color w:val="auto"/>
              </w:rPr>
            </w:pP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3,293</w:t>
            </w:r>
          </w:p>
        </w:tc>
        <w:tc>
          <w:tcPr>
            <w:tcW w:w="480" w:type="dxa"/>
            <w:vAlign w:val="bottom"/>
          </w:tcPr>
          <w:p>
            <w:pPr>
              <w:jc w:val="right"/>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Middle market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26,814</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11.2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32,390</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First lien term loans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w w:val="89"/>
              </w:rPr>
              <w:t>115,589</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48.2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80,246</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37.8</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Second lien term loans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29,262</w:t>
            </w: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27,804</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Senior secured notes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25,035</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10.4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30,032</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Unsecured notes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5,909</w:t>
            </w:r>
          </w:p>
        </w:tc>
        <w:tc>
          <w:tcPr>
            <w:tcW w:w="4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5,471</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Structured finance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3"/>
          </w:tcPr>
          <w:p>
            <w:pPr>
              <w:jc w:val="right"/>
              <w:ind w:right="480"/>
              <w:spacing w:after="0"/>
              <w:rPr>
                <w:sz w:val="20"/>
                <w:szCs w:val="20"/>
                <w:color w:val="auto"/>
              </w:rPr>
            </w:pPr>
            <w:r>
              <w:rPr>
                <w:rFonts w:ascii="Arial" w:cs="Arial" w:eastAsia="Arial" w:hAnsi="Arial"/>
                <w:sz w:val="18"/>
                <w:szCs w:val="18"/>
                <w:color w:val="auto"/>
              </w:rPr>
              <w:t>20,090</w:t>
            </w:r>
          </w:p>
        </w:tc>
        <w:tc>
          <w:tcPr>
            <w:tcW w:w="820" w:type="dxa"/>
            <w:vAlign w:val="bottom"/>
            <w:gridSpan w:val="2"/>
          </w:tcPr>
          <w:p>
            <w:pPr>
              <w:jc w:val="right"/>
              <w:ind w:right="360"/>
              <w:spacing w:after="0"/>
              <w:rPr>
                <w:sz w:val="20"/>
                <w:szCs w:val="20"/>
                <w:color w:val="auto"/>
              </w:rPr>
            </w:pPr>
            <w:r>
              <w:rPr>
                <w:rFonts w:ascii="Arial" w:cs="Arial" w:eastAsia="Arial" w:hAnsi="Arial"/>
                <w:sz w:val="18"/>
                <w:szCs w:val="18"/>
                <w:color w:val="auto"/>
              </w:rPr>
              <w:t>8.4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460"/>
              <w:spacing w:after="0"/>
              <w:rPr>
                <w:sz w:val="20"/>
                <w:szCs w:val="20"/>
                <w:color w:val="auto"/>
              </w:rPr>
            </w:pPr>
            <w:r>
              <w:rPr>
                <w:rFonts w:ascii="Arial" w:cs="Arial" w:eastAsia="Arial" w:hAnsi="Arial"/>
                <w:sz w:val="18"/>
                <w:szCs w:val="18"/>
                <w:color w:val="auto"/>
              </w:rPr>
              <w:t>19,570</w:t>
            </w: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Equity Interest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13,621</w:t>
            </w:r>
          </w:p>
        </w:tc>
        <w:tc>
          <w:tcPr>
            <w:tcW w:w="480" w:type="dxa"/>
            <w:vAlign w:val="bottom"/>
            <w:gridSpan w:val="2"/>
            <w:shd w:val="clear" w:color="auto" w:fill="CCEEFF"/>
          </w:tcPr>
          <w:p>
            <w:pPr>
              <w:spacing w:after="0"/>
              <w:rPr>
                <w:sz w:val="18"/>
                <w:szCs w:val="18"/>
                <w:color w:val="auto"/>
              </w:rPr>
            </w:pPr>
          </w:p>
        </w:tc>
        <w:tc>
          <w:tcPr>
            <w:tcW w:w="8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5.7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10,332</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vMerge w:val="restart"/>
          </w:tcPr>
          <w:p>
            <w:pPr>
              <w:ind w:left="360"/>
              <w:spacing w:after="0"/>
              <w:rPr>
                <w:sz w:val="20"/>
                <w:szCs w:val="20"/>
                <w:color w:val="auto"/>
              </w:rPr>
            </w:pPr>
            <w:r>
              <w:rPr>
                <w:rFonts w:ascii="Arial" w:cs="Arial" w:eastAsia="Arial" w:hAnsi="Arial"/>
                <w:sz w:val="18"/>
                <w:szCs w:val="18"/>
                <w:color w:val="auto"/>
              </w:rPr>
              <w:t>Total</w:t>
            </w:r>
          </w:p>
        </w:tc>
        <w:tc>
          <w:tcPr>
            <w:tcW w:w="2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60" w:type="dxa"/>
            <w:vAlign w:val="bottom"/>
            <w:vMerge w:val="restart"/>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6440" w:type="dxa"/>
            <w:vAlign w:val="bottom"/>
            <w:vMerge w:val="continue"/>
          </w:tcPr>
          <w:p>
            <w:pPr>
              <w:spacing w:after="0"/>
              <w:rPr>
                <w:sz w:val="19"/>
                <w:szCs w:val="19"/>
                <w:color w:val="auto"/>
              </w:rPr>
            </w:pPr>
          </w:p>
        </w:tc>
        <w:tc>
          <w:tcPr>
            <w:tcW w:w="2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239,807</w:t>
            </w:r>
          </w:p>
        </w:tc>
        <w:tc>
          <w:tcPr>
            <w:tcW w:w="20" w:type="dxa"/>
            <w:vAlign w:val="bottom"/>
            <w:vMerge w:val="continue"/>
          </w:tcPr>
          <w:p>
            <w:pPr>
              <w:spacing w:after="0"/>
              <w:rPr>
                <w:sz w:val="19"/>
                <w:szCs w:val="19"/>
                <w:color w:val="auto"/>
              </w:rPr>
            </w:pPr>
          </w:p>
        </w:tc>
        <w:tc>
          <w:tcPr>
            <w:tcW w:w="460" w:type="dxa"/>
            <w:vAlign w:val="bottom"/>
            <w:vMerge w:val="continue"/>
          </w:tcPr>
          <w:p>
            <w:pPr>
              <w:spacing w:after="0"/>
              <w:rPr>
                <w:sz w:val="19"/>
                <w:szCs w:val="19"/>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w w:val="98"/>
              </w:rPr>
              <w:t>100.0%</w:t>
            </w:r>
          </w:p>
        </w:tc>
        <w:tc>
          <w:tcPr>
            <w:tcW w:w="2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u w:val="single" w:color="auto"/>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w w:val="89"/>
              </w:rPr>
              <w:t>212,432</w:t>
            </w:r>
          </w:p>
        </w:tc>
        <w:tc>
          <w:tcPr>
            <w:tcW w:w="460" w:type="dxa"/>
            <w:vAlign w:val="bottom"/>
            <w:vMerge w:val="continue"/>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100.0%</w:t>
            </w:r>
          </w:p>
        </w:tc>
        <w:tc>
          <w:tcPr>
            <w:tcW w:w="0" w:type="dxa"/>
            <w:vAlign w:val="bottom"/>
          </w:tcPr>
          <w:p>
            <w:pPr>
              <w:spacing w:after="0"/>
              <w:rPr>
                <w:sz w:val="1"/>
                <w:szCs w:val="1"/>
                <w:color w:val="auto"/>
              </w:rPr>
            </w:pPr>
          </w:p>
        </w:tc>
      </w:tr>
      <w:tr>
        <w:trPr>
          <w:trHeight w:val="20"/>
        </w:trPr>
        <w:tc>
          <w:tcPr>
            <w:tcW w:w="64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firstLine="913"/>
        <w:spacing w:after="0" w:line="312" w:lineRule="auto"/>
        <w:rPr>
          <w:sz w:val="20"/>
          <w:szCs w:val="20"/>
          <w:color w:val="auto"/>
        </w:rPr>
      </w:pPr>
      <w:r>
        <w:rPr>
          <w:rFonts w:ascii="Arial" w:cs="Arial" w:eastAsia="Arial" w:hAnsi="Arial"/>
          <w:sz w:val="16"/>
          <w:szCs w:val="16"/>
          <w:color w:val="auto"/>
        </w:rPr>
        <w:t>On October 30, 2013, our board of directors declared a dividend of $2.65 per share payable on December 27, 2013, to common stockholders of record on November 13, 2013. Shareholders had the option to receive payment of the dividend in cash, shares of common stock, or a combination of cash and shares of common stock, provided that the aggregate cash payable to all shareholders was limited to approximately $2.5 million or $0.53 per share.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380"/>
          </w:cols>
          <w:pgMar w:left="240" w:top="459" w:right="27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913"/>
        <w:spacing w:after="0" w:line="276" w:lineRule="auto"/>
        <w:rPr>
          <w:sz w:val="20"/>
          <w:szCs w:val="20"/>
          <w:color w:val="auto"/>
        </w:rPr>
      </w:pPr>
      <w:r>
        <w:rPr>
          <w:rFonts w:ascii="Arial" w:cs="Arial" w:eastAsia="Arial" w:hAnsi="Arial"/>
          <w:sz w:val="17"/>
          <w:szCs w:val="17"/>
          <w:color w:val="auto"/>
        </w:rPr>
        <w:t>Based on shareholder elections, the dividend consisted of approximately $2.5 million in cash and 649,500 shares of common stock, or 13.7%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$15.439 per share, which equaled the volume weighted average trading price per share of the common stock on December 11, 13, and 16, 2013.</w:t>
      </w:r>
    </w:p>
    <w:p>
      <w:pPr>
        <w:spacing w:after="0" w:line="173" w:lineRule="exact"/>
        <w:rPr>
          <w:sz w:val="20"/>
          <w:szCs w:val="20"/>
          <w:color w:val="auto"/>
        </w:rPr>
      </w:pPr>
    </w:p>
    <w:p>
      <w:pPr>
        <w:jc w:val="both"/>
        <w:ind w:right="20" w:firstLine="913"/>
        <w:spacing w:after="0" w:line="312" w:lineRule="auto"/>
        <w:rPr>
          <w:sz w:val="20"/>
          <w:szCs w:val="20"/>
          <w:color w:val="auto"/>
        </w:rPr>
      </w:pPr>
      <w:r>
        <w:rPr>
          <w:rFonts w:ascii="Arial" w:cs="Arial" w:eastAsia="Arial" w:hAnsi="Arial"/>
          <w:sz w:val="16"/>
          <w:szCs w:val="16"/>
          <w:color w:val="auto"/>
        </w:rPr>
        <w:t>On November 9, 2012, our board of directors declared a dividend of $4.25 per share payable on December 31, 2012, to common stockholders of record on November 20, 2012. Shareholders had the option to receive payment of the dividend in cash, shares of common stock, or a combination of cash and shares of common stock, provided that the aggregate cash payable to all shareholders was limited to approximately $3.3 million or $0.85 per share.</w:t>
      </w:r>
    </w:p>
    <w:p>
      <w:pPr>
        <w:spacing w:after="0" w:line="14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Based on shareholder elections, the dividend consisted of $3.3 million in cash and 853,455 shares of common stock, or 22.0%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$15.444 per share, which equaled the volume weighted average trading price per share of the common stock on December 14, 17 and 19, 2012.</w:t>
      </w:r>
    </w:p>
    <w:p>
      <w:pPr>
        <w:spacing w:after="0" w:line="188" w:lineRule="exact"/>
        <w:rPr>
          <w:sz w:val="20"/>
          <w:szCs w:val="20"/>
          <w:color w:val="auto"/>
        </w:rPr>
      </w:pPr>
    </w:p>
    <w:p>
      <w:pPr>
        <w:jc w:val="both"/>
        <w:ind w:firstLine="913"/>
        <w:spacing w:after="0" w:line="312" w:lineRule="auto"/>
        <w:rPr>
          <w:sz w:val="20"/>
          <w:szCs w:val="20"/>
          <w:color w:val="auto"/>
        </w:rPr>
      </w:pPr>
      <w:r>
        <w:rPr>
          <w:rFonts w:ascii="Arial" w:cs="Arial" w:eastAsia="Arial" w:hAnsi="Arial"/>
          <w:sz w:val="16"/>
          <w:szCs w:val="16"/>
          <w:color w:val="auto"/>
        </w:rPr>
        <w:t>On November 15, 2011, our board of directors declared a dividend of $3.00 per share payable on December 30, 2011, to common stockholders of record on November 25, 2011. Shareholders had the option to receive payment of the dividend in cash, shares of common stock, or a combination of cash and shares of common stock, provided that the aggregate cash payable to all shareholders was limited to $2.0 million or $0.60 per share.</w:t>
      </w:r>
    </w:p>
    <w:p>
      <w:pPr>
        <w:spacing w:after="0" w:line="14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Based on shareholder elections, the dividend consisted of $2.0 million in cash and 599,584 shares of common stock, or 18.0% of our outstanding common stock prior to the dividend payment. The amount of cash elected to be received was greater than the cash limit of 20.0% of the aggregate dividend amount, thus resulting in the payment of a combination of cash and stock to shareholders who elected to receive cash. The number of shares of common stock comprising the stock portion was calculated based on a price of $13.117067 per share, which equaled the volume weighted average trading price per share of the common stock on December 20, 21 and 22, 2011.</w:t>
      </w:r>
    </w:p>
    <w:p>
      <w:pPr>
        <w:spacing w:after="0" w:line="188" w:lineRule="exact"/>
        <w:rPr>
          <w:sz w:val="20"/>
          <w:szCs w:val="20"/>
          <w:color w:val="auto"/>
        </w:rPr>
      </w:pPr>
    </w:p>
    <w:p>
      <w:pPr>
        <w:ind w:right="20" w:firstLine="913"/>
        <w:spacing w:after="0" w:line="259" w:lineRule="auto"/>
        <w:rPr>
          <w:sz w:val="20"/>
          <w:szCs w:val="20"/>
          <w:color w:val="auto"/>
        </w:rPr>
      </w:pPr>
      <w:r>
        <w:rPr>
          <w:rFonts w:ascii="Arial" w:cs="Arial" w:eastAsia="Arial" w:hAnsi="Arial"/>
          <w:sz w:val="18"/>
          <w:szCs w:val="18"/>
          <w:color w:val="auto"/>
        </w:rPr>
        <w:t>On November 12, 2010, our board of directors declared a dividend of $4.40 per share to shareholders payable in cash or shares of our common stock, in accordance with the provisions of the IRS Revenue Procedure 2010-12, which allows a publicly-traded regulated investment company to satisfy its distribution requirements with a distribution paid partly in common stock provided that at least 10.0% of the distribution is payable in cash. The dividend was paid on December 29, 2010 to common shareholders of record on November 19, 2010.</w:t>
      </w:r>
    </w:p>
    <w:p>
      <w:pPr>
        <w:spacing w:after="0" w:line="18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Based on shareholder elections, the dividend consisted of $1.2 million in cash and 596,235 shares of common stock, or 22.0% of our outstanding common stock prior to the dividend payment. The amount of cash elected to be received was greater than the cash limit of 10.0% of the aggregate dividend amount, thus resulting in the payment of a combination of cash and stock to shareholders who elected to receive cash. The number of shares of common stock comprising the stock portion was calculated based on a price of $17.8049 per share, which equaled the volume weighted average trading price per share of the common stock on December 20, 21 and 22, 2010.</w:t>
      </w:r>
    </w:p>
    <w:p>
      <w:pPr>
        <w:spacing w:after="0" w:line="188" w:lineRule="exact"/>
        <w:rPr>
          <w:sz w:val="20"/>
          <w:szCs w:val="20"/>
          <w:color w:val="auto"/>
        </w:rPr>
      </w:pPr>
    </w:p>
    <w:p>
      <w:pPr>
        <w:jc w:val="both"/>
        <w:ind w:right="80" w:firstLine="913"/>
        <w:spacing w:after="0" w:line="312" w:lineRule="auto"/>
        <w:rPr>
          <w:sz w:val="20"/>
          <w:szCs w:val="20"/>
          <w:color w:val="auto"/>
        </w:rPr>
      </w:pPr>
      <w:r>
        <w:rPr>
          <w:rFonts w:ascii="Arial" w:cs="Arial" w:eastAsia="Arial" w:hAnsi="Arial"/>
          <w:sz w:val="16"/>
          <w:szCs w:val="16"/>
          <w:color w:val="auto"/>
        </w:rPr>
        <w:t>On November 13, 2009, our board of directors declared a dividend of $18.25 per share payable on December 31, 2009, to common stockholders of record on November 25, 2009. Shareholders had the option to receive payment of the dividend in cash, shares of common stock, or a combination of cash and shares of common stock, provided that the aggregate cash payable to all shareholders was limited to $2.1 million or $0.25 per share.</w:t>
      </w:r>
    </w:p>
    <w:p>
      <w:pPr>
        <w:spacing w:after="0" w:line="147" w:lineRule="exact"/>
        <w:rPr>
          <w:sz w:val="20"/>
          <w:szCs w:val="20"/>
          <w:color w:val="auto"/>
        </w:rPr>
      </w:pPr>
    </w:p>
    <w:p>
      <w:pPr>
        <w:ind w:firstLine="913"/>
        <w:spacing w:after="0" w:line="257" w:lineRule="auto"/>
        <w:rPr>
          <w:sz w:val="20"/>
          <w:szCs w:val="20"/>
          <w:color w:val="auto"/>
        </w:rPr>
      </w:pPr>
      <w:r>
        <w:rPr>
          <w:rFonts w:ascii="Arial" w:cs="Arial" w:eastAsia="Arial" w:hAnsi="Arial"/>
          <w:sz w:val="18"/>
          <w:szCs w:val="18"/>
          <w:color w:val="auto"/>
        </w:rPr>
        <w:t>Based on shareholder elections, the dividend consisted of $2.1 million in cash and 8,648,725 shares of common stock, or 104.0% of our outstanding common stock prior to the dividend payment. The amount of cash elected to be received was greater than the cash limit of 13.7% of the aggregate dividend amount, thus resulting in the payment of a combination of cash and stock to shareholders who elected to receive cash. The number of shares of common stock comprising the stock portion was calculated based on a price of $1.5099 per share, which equaled the volume weighted average trading price per share of the common stock on December 24 and 28, 2009.</w:t>
      </w:r>
    </w:p>
    <w:p>
      <w:pPr>
        <w:spacing w:after="0" w:line="188" w:lineRule="exact"/>
        <w:rPr>
          <w:sz w:val="20"/>
          <w:szCs w:val="20"/>
          <w:color w:val="auto"/>
        </w:rPr>
      </w:pPr>
    </w:p>
    <w:p>
      <w:pPr>
        <w:jc w:val="center"/>
        <w:ind w:left="360" w:right="800"/>
        <w:spacing w:after="0" w:line="449" w:lineRule="auto"/>
        <w:rPr>
          <w:sz w:val="20"/>
          <w:szCs w:val="20"/>
          <w:color w:val="auto"/>
        </w:rPr>
      </w:pPr>
      <w:r>
        <w:rPr>
          <w:rFonts w:ascii="Arial" w:cs="Arial" w:eastAsia="Arial" w:hAnsi="Arial"/>
          <w:sz w:val="18"/>
          <w:szCs w:val="18"/>
          <w:color w:val="auto"/>
        </w:rPr>
        <w:t>We cannot provide any assurance that these measures will provide sufficient sources of liquidity to support our operations and growth. 57</w:t>
      </w:r>
    </w:p>
    <w:p>
      <w:pPr>
        <w:sectPr>
          <w:pgSz w:w="11900" w:h="16838" w:orient="portrait"/>
          <w:cols w:equalWidth="0" w:num="1">
            <w:col w:w="11400"/>
          </w:cols>
          <w:pgMar w:left="240" w:top="459" w:right="2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The following table shows our payment obligations for repayment of debt and other contractual obligations at August 31, 2014: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Payment Due by Period</w:t>
            </w:r>
          </w:p>
        </w:tc>
        <w:tc>
          <w:tcPr>
            <w:tcW w:w="7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4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7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6"/>
              </w:rPr>
              <w:t>Less Than</w:t>
            </w:r>
          </w:p>
        </w:tc>
        <w:tc>
          <w:tcPr>
            <w:tcW w:w="6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1 - 3</w:t>
            </w:r>
          </w:p>
        </w:tc>
        <w:tc>
          <w:tcPr>
            <w:tcW w:w="400" w:type="dxa"/>
            <w:vAlign w:val="bottom"/>
          </w:tcPr>
          <w:p>
            <w:pPr>
              <w:spacing w:after="0"/>
              <w:rPr>
                <w:sz w:val="10"/>
                <w:szCs w:val="10"/>
                <w:color w:val="auto"/>
              </w:rPr>
            </w:pPr>
          </w:p>
        </w:tc>
        <w:tc>
          <w:tcPr>
            <w:tcW w:w="3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3 - 5</w:t>
            </w:r>
          </w:p>
        </w:tc>
        <w:tc>
          <w:tcPr>
            <w:tcW w:w="38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More Than</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1 Year</w:t>
            </w:r>
          </w:p>
        </w:tc>
        <w:tc>
          <w:tcPr>
            <w:tcW w:w="280" w:type="dxa"/>
            <w:vAlign w:val="bottom"/>
          </w:tcPr>
          <w:p>
            <w:pPr>
              <w:spacing w:after="0"/>
              <w:rPr>
                <w:sz w:val="14"/>
                <w:szCs w:val="14"/>
                <w:color w:val="auto"/>
              </w:rPr>
            </w:pP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74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8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8"/>
              </w:rPr>
              <w:t>5 Years</w:t>
            </w: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9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8"/>
              </w:rPr>
              <w:t>($ in thousands)</w:t>
            </w:r>
          </w:p>
        </w:tc>
        <w:tc>
          <w:tcPr>
            <w:tcW w:w="400" w:type="dxa"/>
            <w:vAlign w:val="bottom"/>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2520" w:type="dxa"/>
            <w:vAlign w:val="bottom"/>
            <w:gridSpan w:val="2"/>
            <w:shd w:val="clear" w:color="auto" w:fill="CCEEFF"/>
          </w:tcPr>
          <w:p>
            <w:pPr>
              <w:ind w:left="232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121,200</w:t>
            </w:r>
          </w:p>
        </w:tc>
        <w:tc>
          <w:tcPr>
            <w:tcW w:w="7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  8,900</w:t>
            </w: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center"/>
              <w:ind w:right="400"/>
              <w:spacing w:after="0"/>
              <w:rPr>
                <w:sz w:val="20"/>
                <w:szCs w:val="20"/>
                <w:color w:val="auto"/>
              </w:rPr>
            </w:pPr>
            <w:r>
              <w:rPr>
                <w:rFonts w:ascii="Arial" w:cs="Arial" w:eastAsia="Arial" w:hAnsi="Arial"/>
                <w:sz w:val="18"/>
                <w:szCs w:val="18"/>
                <w:color w:val="auto"/>
              </w:rPr>
              <w:t>$ —</w:t>
            </w:r>
          </w:p>
        </w:tc>
        <w:tc>
          <w:tcPr>
            <w:tcW w:w="74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rPr>
              <w:t>$ —</w:t>
            </w:r>
          </w:p>
        </w:tc>
        <w:tc>
          <w:tcPr>
            <w:tcW w:w="8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$ 112,300</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20" w:firstLine="913"/>
        <w:spacing w:after="0" w:line="257" w:lineRule="auto"/>
        <w:rPr>
          <w:sz w:val="20"/>
          <w:szCs w:val="20"/>
          <w:color w:val="auto"/>
        </w:rPr>
      </w:pPr>
      <w:r>
        <w:rPr>
          <w:rFonts w:ascii="Arial" w:cs="Arial" w:eastAsia="Arial" w:hAnsi="Arial"/>
          <w:sz w:val="18"/>
          <w:szCs w:val="18"/>
          <w:color w:val="auto"/>
        </w:rPr>
        <w:t>The Company’s off-balance sheet arrangements consisted of $13.1 million and $12.2 million of unfunded commitments to provide debt financing to its portfolio companies or to fund limited partnership interests as of August 31, 2014 and February 28, 2014, respectively. Such commitments are generally up to the Company’s discretion to approve, or the satisfaction of certain financial and nonfinancial covenants and involve, to varying degrees, elements of credit risk in excess of the amount recognized in the Company’s Consolidated Statement of Assets and Liabilities and are not reflected in the Company’s Consolidated Statements of Assets and Liabilities.</w:t>
      </w:r>
    </w:p>
    <w:p>
      <w:pPr>
        <w:spacing w:after="0" w:line="188" w:lineRule="exact"/>
        <w:rPr>
          <w:sz w:val="20"/>
          <w:szCs w:val="20"/>
          <w:color w:val="auto"/>
        </w:rPr>
      </w:pPr>
    </w:p>
    <w:p>
      <w:pPr>
        <w:ind w:right="80" w:firstLine="913"/>
        <w:spacing w:after="0" w:line="264" w:lineRule="auto"/>
        <w:rPr>
          <w:sz w:val="20"/>
          <w:szCs w:val="20"/>
          <w:color w:val="auto"/>
        </w:rPr>
      </w:pPr>
      <w:r>
        <w:rPr>
          <w:rFonts w:ascii="Arial" w:cs="Arial" w:eastAsia="Arial" w:hAnsi="Arial"/>
          <w:sz w:val="18"/>
          <w:szCs w:val="18"/>
          <w:color w:val="auto"/>
        </w:rPr>
        <w:t>On July 10, 2014, our board of directors appointed Henri J. Steenkamp to serve as our Chief Financial Officer and Chief Compliance Officer. As previously disclosed, Mr. Steenkamp was previously appointed to serve as our Interim Chief Financial Officer and Interim Chief Compliance Officer on March 4, 2014.</w:t>
      </w:r>
    </w:p>
    <w:p>
      <w:pPr>
        <w:spacing w:after="0" w:line="181" w:lineRule="exact"/>
        <w:rPr>
          <w:sz w:val="20"/>
          <w:szCs w:val="20"/>
          <w:color w:val="auto"/>
        </w:rPr>
      </w:pPr>
    </w:p>
    <w:p>
      <w:pPr>
        <w:ind w:right="120" w:firstLine="913"/>
        <w:spacing w:after="0" w:line="259" w:lineRule="auto"/>
        <w:rPr>
          <w:sz w:val="20"/>
          <w:szCs w:val="20"/>
          <w:color w:val="auto"/>
        </w:rPr>
      </w:pPr>
      <w:r>
        <w:rPr>
          <w:rFonts w:ascii="Arial" w:cs="Arial" w:eastAsia="Arial" w:hAnsi="Arial"/>
          <w:sz w:val="18"/>
          <w:szCs w:val="18"/>
          <w:color w:val="auto"/>
        </w:rPr>
        <w:t>On July 10, 2014, our board of directors, including a majority of the independent directors, approved the annual continuation of our investment advisory and management agreement with Saratoga Investment Advisors, LLC. Our board of directors also approved the renewal of the administration agreement with Saratoga Investment Advisors, LLC for an additional one-year term and determined to maintain the cap on the payment or reimbursement of expenses by us thereunder to $1.0 million for the additional one-year term.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121" w:lineRule="exact"/>
        <w:rPr>
          <w:sz w:val="20"/>
          <w:szCs w:val="20"/>
          <w:color w:val="auto"/>
        </w:rPr>
      </w:pPr>
    </w:p>
    <w:p>
      <w:pPr>
        <w:ind w:right="100" w:firstLine="913"/>
        <w:spacing w:after="0" w:line="276" w:lineRule="auto"/>
        <w:rPr>
          <w:sz w:val="20"/>
          <w:szCs w:val="20"/>
          <w:color w:val="auto"/>
        </w:rPr>
      </w:pPr>
      <w:r>
        <w:rPr>
          <w:rFonts w:ascii="Arial" w:cs="Arial" w:eastAsia="Arial" w:hAnsi="Arial"/>
          <w:sz w:val="17"/>
          <w:szCs w:val="17"/>
          <w:color w:val="auto"/>
        </w:rPr>
        <w:t>On September 17, 2014, we entered into a second amendment to the Revolving Facility with Madison Capital Funding LLC to, among other things, (1) extend the commitment termination date from February 24, 2015 to September 17, 2017; (2) extend the maturity date of the Revolving Facility from February 24, 2020 to September 17, 2022 (unless terminated sooner upon certain events); (3) reduce the applicable margin rate on base rate borrowings from 4.50% to 3.75%; (4) reduce the applicable margin rate on LIBOR borrowings from 5.50% to 4.75%; (5) reduce the floor on base rate borrowings from 3.00% to 2.25%; and (6) reduce the floor on LIBOR borrowings from 2.00% to 1.25%.</w:t>
      </w:r>
    </w:p>
    <w:p>
      <w:pPr>
        <w:spacing w:after="0" w:line="173" w:lineRule="exact"/>
        <w:rPr>
          <w:sz w:val="20"/>
          <w:szCs w:val="20"/>
          <w:color w:val="auto"/>
        </w:rPr>
      </w:pPr>
    </w:p>
    <w:p>
      <w:pPr>
        <w:ind w:right="120" w:firstLine="913"/>
        <w:spacing w:after="0" w:line="302" w:lineRule="auto"/>
        <w:rPr>
          <w:sz w:val="20"/>
          <w:szCs w:val="20"/>
          <w:color w:val="auto"/>
        </w:rPr>
      </w:pPr>
      <w:r>
        <w:rPr>
          <w:rFonts w:ascii="Arial" w:cs="Arial" w:eastAsia="Arial" w:hAnsi="Arial"/>
          <w:sz w:val="16"/>
          <w:szCs w:val="16"/>
          <w:color w:val="auto"/>
        </w:rPr>
        <w:t>On September 24, 2014, the Company announced that its Board of Directors adopted a new dividend policy to pay a regular quarterly cash dividend to shareholders. The Company will pay a quarterly dividend of $0.18 per share for the quarter ended August 31, 2014, which will be payable on November 28, 2014 to all stockholders of record at the close of business on November 3, 2014. The second dividend of $0.22 per share for the quarter ended November 30, 2014, will be payable on February 27, 2015 to all stockholders of record at the close of business on February 2, 2015.</w:t>
      </w:r>
    </w:p>
    <w:p>
      <w:pPr>
        <w:spacing w:after="0" w:line="154" w:lineRule="exact"/>
        <w:rPr>
          <w:sz w:val="20"/>
          <w:szCs w:val="20"/>
          <w:color w:val="auto"/>
        </w:rPr>
      </w:pPr>
    </w:p>
    <w:p>
      <w:pPr>
        <w:ind w:right="20" w:firstLine="913"/>
        <w:spacing w:after="0" w:line="312" w:lineRule="auto"/>
        <w:rPr>
          <w:sz w:val="20"/>
          <w:szCs w:val="20"/>
          <w:color w:val="auto"/>
        </w:rPr>
      </w:pPr>
      <w:r>
        <w:rPr>
          <w:rFonts w:ascii="Arial" w:cs="Arial" w:eastAsia="Arial" w:hAnsi="Arial"/>
          <w:sz w:val="16"/>
          <w:szCs w:val="16"/>
          <w:color w:val="auto"/>
        </w:rPr>
        <w:t>On September 24, 2014, the Company also adopted a new dividend reinvestment plan (“DRIP”) that provides for the reinvestment of dividends on behalf of its stockholders, unless a stockholder has elected to receive dividends in cash. If the Company declares a dividend, its stockholders who have not “opted out” of the DRIP by the dividend record date will have their dividend automatically reinvested into additional shares of the Company’s common stock.</w:t>
      </w:r>
    </w:p>
    <w:p>
      <w:pPr>
        <w:spacing w:after="0" w:line="147" w:lineRule="exact"/>
        <w:rPr>
          <w:sz w:val="20"/>
          <w:szCs w:val="20"/>
          <w:color w:val="auto"/>
        </w:rPr>
      </w:pPr>
    </w:p>
    <w:p>
      <w:pPr>
        <w:ind w:right="180" w:firstLine="913"/>
        <w:spacing w:after="0" w:line="308" w:lineRule="auto"/>
        <w:rPr>
          <w:sz w:val="20"/>
          <w:szCs w:val="20"/>
          <w:color w:val="auto"/>
        </w:rPr>
      </w:pPr>
      <w:r>
        <w:rPr>
          <w:rFonts w:ascii="Arial" w:cs="Arial" w:eastAsia="Arial" w:hAnsi="Arial"/>
          <w:sz w:val="17"/>
          <w:szCs w:val="17"/>
          <w:color w:val="auto"/>
        </w:rPr>
        <w:t>On the same day, the Company also announced the approval of an open market share repurchase plan that allows it to repurchase up to 200,000 shares of its common stock at prices below its NAV as reported in its then most recently published financial statements.</w:t>
      </w:r>
    </w:p>
    <w:p>
      <w:pPr>
        <w:spacing w:after="0" w:line="291"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Our market risks have not changed materially from the risks reported in our Form 10-K for the year ended February 28, 2014.</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35" w:lineRule="exact"/>
        <w:rPr>
          <w:sz w:val="20"/>
          <w:szCs w:val="20"/>
          <w:color w:val="auto"/>
        </w:rPr>
      </w:pPr>
    </w:p>
    <w:p>
      <w:pPr>
        <w:ind w:left="1480" w:right="260" w:hanging="567"/>
        <w:spacing w:after="0" w:line="277" w:lineRule="auto"/>
        <w:tabs>
          <w:tab w:leader="none" w:pos="14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As of the end of the period covered by this report, we carried out an evaluation, under the supervision and with the participation of our management, including our chief executive officer and our chief financial officer, of the effectiveness of</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459" w:right="23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right="320"/>
        <w:spacing w:after="0" w:line="279" w:lineRule="auto"/>
        <w:rPr>
          <w:sz w:val="20"/>
          <w:szCs w:val="20"/>
          <w:color w:val="auto"/>
        </w:rPr>
      </w:pPr>
      <w:r>
        <w:rPr>
          <w:rFonts w:ascii="Arial" w:cs="Arial" w:eastAsia="Arial" w:hAnsi="Arial"/>
          <w:sz w:val="17"/>
          <w:szCs w:val="17"/>
          <w:color w:val="auto"/>
        </w:rPr>
        <w:t>the design and operation of our disclosure controls and procedures (as defined in Rule 13a-15(e) and 15d-15(e) of the Securities Exchange Act of 1934). Based on that evaluation, our chief executive officer and our chief financial officer have concluded that our current disclosure controls and procedures are effective in facilitating timely decisions regarding required disclosure of any material information relating to us that is required to be disclosed by us in the reports we file or submit under the Securities Exchange Act of 1934.</w:t>
      </w:r>
    </w:p>
    <w:p>
      <w:pPr>
        <w:spacing w:after="0" w:line="77" w:lineRule="exact"/>
        <w:rPr>
          <w:sz w:val="20"/>
          <w:szCs w:val="20"/>
          <w:color w:val="auto"/>
        </w:rPr>
      </w:pPr>
    </w:p>
    <w:p>
      <w:pPr>
        <w:ind w:left="460" w:right="60" w:hanging="452"/>
        <w:spacing w:after="0" w:line="277" w:lineRule="auto"/>
        <w:tabs>
          <w:tab w:leader="none" w:pos="4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There have been no changes in our internal control over financial reporting that occurred during the quarter ended August 31, 2014 that have materially affected, or are reasonably likely to materially affect, our internal control over financial reporting.</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 II. OTHER INFORMATION</w:t>
      </w:r>
    </w:p>
    <w:p>
      <w:pPr>
        <w:spacing w:after="0" w:line="24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40" w:firstLine="913"/>
        <w:spacing w:after="0" w:line="253" w:lineRule="auto"/>
        <w:rPr>
          <w:sz w:val="20"/>
          <w:szCs w:val="20"/>
          <w:color w:val="auto"/>
        </w:rPr>
      </w:pPr>
      <w:r>
        <w:rPr>
          <w:rFonts w:ascii="Arial" w:cs="Arial" w:eastAsia="Arial" w:hAnsi="Arial"/>
          <w:sz w:val="18"/>
          <w:szCs w:val="18"/>
          <w:color w:val="auto"/>
        </w:rPr>
        <w:t>On August 31, 2012, a complaint was filed in the United States Bankruptcy Court for the Southern District of New York by GSC Acquisition Holdings, LLC against us to recover, among other things, approximately $2.6 million for the benefit of the estates and the general unsecured creditors of GSC Group, Inc. and its affiliates, including the Company’s former investment adviser, GSCP (NJ), L.P. The complaint alleges that the former investment adviser made a constructively fraudulent transfer of $2.6 million in deferred incentive fees by waiving them in connection with the termination of the Management Agreement with us, and that the termination of the Management Agreement was itself a fraudulent transfer. These transfers, the complaint alleges, were made without receipt of reasonably equivalent value and while the former investment adviser was insolvent. The complaint has not yet been served, and the plaintiff’s motion for authority to prosecute the case on behalf of the estates was taken under advisement by the court on October 1, 2012. We opposed that motion. We believe that the claims in this lawsuit are without merit and, if the plaintiff is authorized to proceed, intend to vigorously defend against this action.</w:t>
      </w:r>
    </w:p>
    <w:p>
      <w:pPr>
        <w:spacing w:after="0" w:line="19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Except as discussed above, neither we nor our wholly-owned subsidiaries, Saratoga Investment Funding LLC and Saratoga Investment Corp.</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SBIC LP, are currently subject to any material legal proceedings.</w:t>
      </w:r>
    </w:p>
    <w:p>
      <w:pPr>
        <w:spacing w:after="0" w:line="35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160" w:firstLine="913"/>
        <w:spacing w:after="0" w:line="277" w:lineRule="auto"/>
        <w:rPr>
          <w:sz w:val="20"/>
          <w:szCs w:val="20"/>
          <w:color w:val="auto"/>
        </w:rPr>
      </w:pPr>
      <w:r>
        <w:rPr>
          <w:rFonts w:ascii="Arial" w:cs="Arial" w:eastAsia="Arial" w:hAnsi="Arial"/>
          <w:sz w:val="18"/>
          <w:szCs w:val="18"/>
          <w:color w:val="auto"/>
        </w:rPr>
        <w:t>Other than as set forth below, there have been no material changes from the risk factors set forth in our annual report on Form 10-K for the year ended February 28, 2014.</w:t>
      </w:r>
    </w:p>
    <w:p>
      <w:pPr>
        <w:spacing w:after="0" w:line="31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jc w:val="both"/>
        <w:ind w:firstLine="913"/>
        <w:spacing w:after="0" w:line="286" w:lineRule="auto"/>
        <w:rPr>
          <w:sz w:val="20"/>
          <w:szCs w:val="20"/>
          <w:color w:val="auto"/>
        </w:rPr>
      </w:pPr>
      <w:r>
        <w:rPr>
          <w:rFonts w:ascii="Arial" w:cs="Arial" w:eastAsia="Arial" w:hAnsi="Arial"/>
          <w:sz w:val="17"/>
          <w:szCs w:val="17"/>
          <w:color w:val="auto"/>
        </w:rPr>
        <w:t>On July 10, 2014, our board of directors appointed Henri J. Steenkamp to serve as our Chief Financial Officer and Chief Compliance Officer. As disclosed in Item 5.02 of the Current Report on Form 8-K filed by us on March 7, 2014 (which Form 8-K is incorporated herein by reference), Mr. Steenkamp was previously appointed to serve as our Interim Chief Financial Officer and Interim Chief Compliance Officer.</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10380" w:type="dxa"/>
            <w:vAlign w:val="bottom"/>
            <w:gridSpan w:val="3"/>
          </w:tcPr>
          <w:p>
            <w:pPr>
              <w:ind w:left="220"/>
              <w:spacing w:after="0"/>
              <w:rPr>
                <w:sz w:val="20"/>
                <w:szCs w:val="20"/>
                <w:color w:val="auto"/>
              </w:rPr>
            </w:pPr>
            <w:r>
              <w:rPr>
                <w:rFonts w:ascii="Arial" w:cs="Arial" w:eastAsia="Arial" w:hAnsi="Arial"/>
                <w:sz w:val="18"/>
                <w:szCs w:val="18"/>
                <w:b w:val="1"/>
                <w:bCs w:val="1"/>
                <w:color w:val="auto"/>
              </w:rPr>
              <w:t>Exhibits</w:t>
            </w:r>
          </w:p>
        </w:tc>
      </w:tr>
      <w:tr>
        <w:trPr>
          <w:trHeight w:val="324"/>
        </w:trPr>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380" w:type="dxa"/>
            <w:vAlign w:val="bottom"/>
            <w:gridSpan w:val="3"/>
          </w:tcPr>
          <w:p>
            <w:pPr>
              <w:ind w:left="220"/>
              <w:spacing w:after="0"/>
              <w:rPr>
                <w:sz w:val="20"/>
                <w:szCs w:val="20"/>
                <w:color w:val="auto"/>
              </w:rPr>
            </w:pPr>
            <w:r>
              <w:rPr>
                <w:rFonts w:ascii="Arial" w:cs="Arial" w:eastAsia="Arial" w:hAnsi="Arial"/>
                <w:sz w:val="18"/>
                <w:szCs w:val="18"/>
                <w:color w:val="auto"/>
                <w:w w:val="91"/>
              </w:rPr>
              <w:t>Listed below are the exhibits which are filed as part of this report (according to the number assigned to them in Item 601 of Regulation S-K):</w:t>
            </w:r>
          </w:p>
        </w:tc>
      </w:tr>
      <w:tr>
        <w:trPr>
          <w:trHeight w:val="369"/>
        </w:trPr>
        <w:tc>
          <w:tcPr>
            <w:tcW w:w="70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w:t>
            </w:r>
          </w:p>
        </w:tc>
        <w:tc>
          <w:tcPr>
            <w:tcW w:w="46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4180" w:type="dxa"/>
            <w:vAlign w:val="bottom"/>
          </w:tcPr>
          <w:p>
            <w:pPr>
              <w:spacing w:after="0"/>
              <w:rPr>
                <w:sz w:val="24"/>
                <w:szCs w:val="24"/>
                <w:color w:val="auto"/>
              </w:rPr>
            </w:pPr>
          </w:p>
        </w:tc>
      </w:tr>
      <w:tr>
        <w:trPr>
          <w:trHeight w:val="185"/>
        </w:trPr>
        <w:tc>
          <w:tcPr>
            <w:tcW w:w="70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10380" w:type="dxa"/>
            <w:vAlign w:val="bottom"/>
            <w:gridSpan w:val="3"/>
          </w:tcPr>
          <w:p>
            <w:pPr>
              <w:ind w:left="4660"/>
              <w:spacing w:after="0"/>
              <w:rPr>
                <w:sz w:val="20"/>
                <w:szCs w:val="20"/>
                <w:color w:val="auto"/>
              </w:rPr>
            </w:pPr>
            <w:r>
              <w:rPr>
                <w:rFonts w:ascii="Arial" w:cs="Arial" w:eastAsia="Arial" w:hAnsi="Arial"/>
                <w:sz w:val="14"/>
                <w:szCs w:val="14"/>
                <w:b w:val="1"/>
                <w:bCs w:val="1"/>
                <w:color w:val="auto"/>
              </w:rPr>
              <w:t>Description of Document</w:t>
            </w:r>
          </w:p>
        </w:tc>
      </w:tr>
      <w:tr>
        <w:trPr>
          <w:trHeight w:val="20"/>
        </w:trPr>
        <w:tc>
          <w:tcPr>
            <w:tcW w:w="520" w:type="dxa"/>
            <w:vAlign w:val="bottom"/>
            <w:tcBorders>
              <w:top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r>
      <w:tr>
        <w:trPr>
          <w:trHeight w:val="291"/>
        </w:trPr>
        <w:tc>
          <w:tcPr>
            <w:tcW w:w="520" w:type="dxa"/>
            <w:vAlign w:val="bottom"/>
          </w:tcPr>
          <w:p>
            <w:pPr>
              <w:spacing w:after="0"/>
              <w:rPr>
                <w:sz w:val="20"/>
                <w:szCs w:val="20"/>
                <w:color w:val="auto"/>
              </w:rPr>
            </w:pPr>
            <w:r>
              <w:rPr>
                <w:rFonts w:ascii="Arial" w:cs="Arial" w:eastAsia="Arial" w:hAnsi="Arial"/>
                <w:sz w:val="18"/>
                <w:szCs w:val="18"/>
                <w:color w:val="auto"/>
              </w:rPr>
              <w:t>31.1*</w:t>
            </w:r>
          </w:p>
        </w:tc>
        <w:tc>
          <w:tcPr>
            <w:tcW w:w="180" w:type="dxa"/>
            <w:vAlign w:val="bottom"/>
          </w:tcPr>
          <w:p>
            <w:pPr>
              <w:spacing w:after="0"/>
              <w:rPr>
                <w:sz w:val="24"/>
                <w:szCs w:val="24"/>
                <w:color w:val="auto"/>
              </w:rPr>
            </w:pPr>
          </w:p>
        </w:tc>
        <w:tc>
          <w:tcPr>
            <w:tcW w:w="10380" w:type="dxa"/>
            <w:vAlign w:val="bottom"/>
            <w:gridSpan w:val="3"/>
          </w:tcPr>
          <w:p>
            <w:pPr>
              <w:ind w:left="140"/>
              <w:spacing w:after="0"/>
              <w:rPr>
                <w:sz w:val="20"/>
                <w:szCs w:val="20"/>
                <w:color w:val="auto"/>
              </w:rPr>
            </w:pPr>
            <w:r>
              <w:rPr>
                <w:rFonts w:ascii="Arial" w:cs="Arial" w:eastAsia="Arial" w:hAnsi="Arial"/>
                <w:sz w:val="18"/>
                <w:szCs w:val="18"/>
                <w:color w:val="auto"/>
              </w:rPr>
              <w:t>Certification of Chief Executive Officer Pursuant to Rule 13a-14(a) under the Securities Exchange Act of 1934</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31.2*</w:t>
            </w:r>
          </w:p>
        </w:tc>
        <w:tc>
          <w:tcPr>
            <w:tcW w:w="180" w:type="dxa"/>
            <w:vAlign w:val="bottom"/>
          </w:tcPr>
          <w:p>
            <w:pPr>
              <w:spacing w:after="0"/>
              <w:rPr>
                <w:sz w:val="24"/>
                <w:szCs w:val="24"/>
                <w:color w:val="auto"/>
              </w:rPr>
            </w:pPr>
          </w:p>
        </w:tc>
        <w:tc>
          <w:tcPr>
            <w:tcW w:w="10380" w:type="dxa"/>
            <w:vAlign w:val="bottom"/>
            <w:gridSpan w:val="3"/>
          </w:tcPr>
          <w:p>
            <w:pPr>
              <w:ind w:left="140"/>
              <w:spacing w:after="0"/>
              <w:rPr>
                <w:sz w:val="20"/>
                <w:szCs w:val="20"/>
                <w:color w:val="auto"/>
              </w:rPr>
            </w:pPr>
            <w:r>
              <w:rPr>
                <w:rFonts w:ascii="Arial" w:cs="Arial" w:eastAsia="Arial" w:hAnsi="Arial"/>
                <w:sz w:val="18"/>
                <w:szCs w:val="18"/>
                <w:color w:val="auto"/>
              </w:rPr>
              <w:t>Certification of Chief Financial Officer Pursuant to Rule 13a-14(a) under the Securities Exchange Act of 1934</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32.1*</w:t>
            </w:r>
          </w:p>
        </w:tc>
        <w:tc>
          <w:tcPr>
            <w:tcW w:w="180" w:type="dxa"/>
            <w:vAlign w:val="bottom"/>
          </w:tcPr>
          <w:p>
            <w:pPr>
              <w:spacing w:after="0"/>
              <w:rPr>
                <w:sz w:val="24"/>
                <w:szCs w:val="24"/>
                <w:color w:val="auto"/>
              </w:rPr>
            </w:pPr>
          </w:p>
        </w:tc>
        <w:tc>
          <w:tcPr>
            <w:tcW w:w="10380" w:type="dxa"/>
            <w:vAlign w:val="bottom"/>
            <w:gridSpan w:val="3"/>
          </w:tcPr>
          <w:p>
            <w:pPr>
              <w:ind w:left="14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 (18 U.S.C. 1350)</w:t>
            </w:r>
          </w:p>
        </w:tc>
      </w:tr>
      <w:tr>
        <w:trPr>
          <w:trHeight w:val="324"/>
        </w:trPr>
        <w:tc>
          <w:tcPr>
            <w:tcW w:w="520" w:type="dxa"/>
            <w:vAlign w:val="bottom"/>
          </w:tcPr>
          <w:p>
            <w:pPr>
              <w:spacing w:after="0"/>
              <w:rPr>
                <w:sz w:val="20"/>
                <w:szCs w:val="20"/>
                <w:color w:val="auto"/>
              </w:rPr>
            </w:pPr>
            <w:r>
              <w:rPr>
                <w:rFonts w:ascii="Arial" w:cs="Arial" w:eastAsia="Arial" w:hAnsi="Arial"/>
                <w:sz w:val="18"/>
                <w:szCs w:val="18"/>
                <w:color w:val="auto"/>
              </w:rPr>
              <w:t>32.2*</w:t>
            </w:r>
          </w:p>
        </w:tc>
        <w:tc>
          <w:tcPr>
            <w:tcW w:w="180" w:type="dxa"/>
            <w:vAlign w:val="bottom"/>
          </w:tcPr>
          <w:p>
            <w:pPr>
              <w:spacing w:after="0"/>
              <w:rPr>
                <w:sz w:val="24"/>
                <w:szCs w:val="24"/>
                <w:color w:val="auto"/>
              </w:rPr>
            </w:pPr>
          </w:p>
        </w:tc>
        <w:tc>
          <w:tcPr>
            <w:tcW w:w="10380" w:type="dxa"/>
            <w:vAlign w:val="bottom"/>
            <w:gridSpan w:val="3"/>
          </w:tcPr>
          <w:p>
            <w:pPr>
              <w:ind w:left="14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 (18 U.S.C. 1350)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Submitted herewith.</w:t>
      </w:r>
    </w:p>
    <w:p>
      <w:pPr>
        <w:spacing w:after="0" w:line="158"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080"/>
          </w:cols>
          <w:pgMar w:left="240" w:top="459" w:right="5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91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SARATOGA INVESTMENT CORP.</w:t>
      </w:r>
    </w:p>
    <w:p>
      <w:pPr>
        <w:spacing w:after="0" w:line="225" w:lineRule="exact"/>
        <w:rPr>
          <w:sz w:val="20"/>
          <w:szCs w:val="20"/>
          <w:color w:val="auto"/>
        </w:rPr>
      </w:pPr>
    </w:p>
    <w:p>
      <w:pPr>
        <w:spacing w:after="0"/>
        <w:tabs>
          <w:tab w:leader="none" w:pos="5560" w:val="left"/>
          <w:tab w:leader="none" w:pos="5940" w:val="left"/>
        </w:tabs>
        <w:rPr>
          <w:sz w:val="20"/>
          <w:szCs w:val="20"/>
          <w:color w:val="auto"/>
        </w:rPr>
      </w:pPr>
      <w:r>
        <w:rPr>
          <w:rFonts w:ascii="Arial" w:cs="Arial" w:eastAsia="Arial" w:hAnsi="Arial"/>
          <w:sz w:val="18"/>
          <w:szCs w:val="18"/>
          <w:color w:val="auto"/>
        </w:rPr>
        <w:t>Date: October 14, 2014</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Christian L. Oberbeck</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Executive Officer</w:t>
      </w:r>
    </w:p>
    <w:p>
      <w:pPr>
        <w:spacing w:after="0" w:line="211" w:lineRule="exact"/>
        <w:rPr>
          <w:sz w:val="20"/>
          <w:szCs w:val="20"/>
          <w:color w:val="auto"/>
        </w:rPr>
      </w:pPr>
    </w:p>
    <w:p>
      <w:pPr>
        <w:ind w:left="5580"/>
        <w:spacing w:after="0"/>
        <w:tabs>
          <w:tab w:leader="none" w:pos="59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HENRI J. STEENKAMP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14605</wp:posOffset>
            </wp:positionV>
            <wp:extent cx="34734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0"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Henri J. Steenkamp</w:t>
      </w:r>
    </w:p>
    <w:p>
      <w:pPr>
        <w:spacing w:after="0" w:line="9"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 and Chief Compliance Officer</w:t>
      </w:r>
    </w:p>
    <w:p>
      <w:pPr>
        <w:spacing w:after="0" w:line="143"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00"/>
          </w:cols>
          <w:pgMar w:left="240" w:top="459" w:right="459" w:bottom="1440" w:gutter="0" w:footer="0" w:header="0"/>
        </w:sectPr>
      </w:pPr>
    </w:p>
    <w:bookmarkStart w:id="68" w:name="page69"/>
    <w:bookmarkEnd w:id="68"/>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Christian L. Oberbeck, certify that:</w:t>
      </w:r>
    </w:p>
    <w:p>
      <w:pPr>
        <w:spacing w:after="0" w:line="225" w:lineRule="exact"/>
        <w:rPr>
          <w:sz w:val="20"/>
          <w:szCs w:val="20"/>
          <w:color w:val="auto"/>
        </w:rPr>
      </w:pPr>
    </w:p>
    <w:p>
      <w:pPr>
        <w:ind w:left="640" w:hanging="176"/>
        <w:spacing w:after="0"/>
        <w:tabs>
          <w:tab w:leader="none" w:pos="6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Saratoga Investment Corp.;</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ind w:right="320" w:firstLine="464"/>
        <w:spacing w:after="0" w:line="277" w:lineRule="auto"/>
        <w:tabs>
          <w:tab w:leader="none" w:pos="636"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62"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3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580" w:firstLine="443"/>
        <w:spacing w:after="0" w:line="342" w:lineRule="auto"/>
        <w:tabs>
          <w:tab w:leader="none" w:pos="1143" w:val="left"/>
        </w:tabs>
        <w:numPr>
          <w:ilvl w:val="1"/>
          <w:numId w:val="37"/>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80" w:firstLine="443"/>
        <w:spacing w:after="0" w:line="264" w:lineRule="auto"/>
        <w:tabs>
          <w:tab w:leader="none" w:pos="1153" w:val="left"/>
        </w:tabs>
        <w:numPr>
          <w:ilvl w:val="1"/>
          <w:numId w:val="37"/>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20" w:firstLine="464"/>
        <w:spacing w:after="0" w:line="308" w:lineRule="auto"/>
        <w:tabs>
          <w:tab w:leader="none" w:pos="636"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37"/>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3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October 14,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Christian L. Oberbeck</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1" w:right="239" w:bottom="1440" w:gutter="0" w:footer="0" w:header="0"/>
        </w:sectPr>
      </w:pPr>
    </w:p>
    <w:bookmarkStart w:id="69" w:name="page70"/>
    <w:bookmarkEnd w:id="69"/>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 AS AMENDED</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 Henri J. Steenkamp, certify that:</w:t>
      </w:r>
    </w:p>
    <w:p>
      <w:pPr>
        <w:spacing w:after="0" w:line="225" w:lineRule="exact"/>
        <w:rPr>
          <w:sz w:val="20"/>
          <w:szCs w:val="20"/>
          <w:color w:val="auto"/>
        </w:rPr>
      </w:pPr>
    </w:p>
    <w:p>
      <w:pPr>
        <w:ind w:left="640" w:hanging="176"/>
        <w:spacing w:after="0"/>
        <w:tabs>
          <w:tab w:leader="none" w:pos="64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Saratoga Investment Corp.;</w:t>
      </w:r>
    </w:p>
    <w:p>
      <w:pPr>
        <w:spacing w:after="0" w:line="225" w:lineRule="exact"/>
        <w:rPr>
          <w:rFonts w:ascii="Arial" w:cs="Arial" w:eastAsia="Arial" w:hAnsi="Arial"/>
          <w:sz w:val="18"/>
          <w:szCs w:val="18"/>
          <w:color w:val="auto"/>
        </w:rPr>
      </w:pPr>
    </w:p>
    <w:p>
      <w:pPr>
        <w:ind w:right="300" w:firstLine="464"/>
        <w:spacing w:after="0" w:line="342" w:lineRule="auto"/>
        <w:tabs>
          <w:tab w:leader="none" w:pos="636" w:val="left"/>
        </w:tabs>
        <w:numPr>
          <w:ilvl w:val="0"/>
          <w:numId w:val="3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260" w:firstLine="464"/>
        <w:spacing w:after="0" w:line="277" w:lineRule="auto"/>
        <w:tabs>
          <w:tab w:leader="none" w:pos="636"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70" w:lineRule="exact"/>
        <w:rPr>
          <w:rFonts w:ascii="Arial" w:cs="Arial" w:eastAsia="Arial" w:hAnsi="Arial"/>
          <w:sz w:val="18"/>
          <w:szCs w:val="18"/>
          <w:color w:val="auto"/>
        </w:rPr>
      </w:pPr>
    </w:p>
    <w:p>
      <w:pPr>
        <w:ind w:right="320" w:firstLine="464"/>
        <w:spacing w:after="0" w:line="277" w:lineRule="auto"/>
        <w:tabs>
          <w:tab w:leader="none" w:pos="636"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company’s other certifying officer(s) and I are responsible for establishing and maintaining disclosure controls and procedures (as defined in Exchange Act Rules 13a-15(e) and 15d-15(e)) for the company and have:</w:t>
      </w:r>
    </w:p>
    <w:p>
      <w:pPr>
        <w:spacing w:after="0" w:line="62" w:lineRule="exact"/>
        <w:rPr>
          <w:rFonts w:ascii="Arial" w:cs="Arial" w:eastAsia="Arial" w:hAnsi="Arial"/>
          <w:sz w:val="18"/>
          <w:szCs w:val="18"/>
          <w:color w:val="auto"/>
        </w:rPr>
      </w:pPr>
    </w:p>
    <w:p>
      <w:pPr>
        <w:ind w:left="460" w:right="60" w:firstLine="443"/>
        <w:spacing w:after="0" w:line="264" w:lineRule="auto"/>
        <w:tabs>
          <w:tab w:leader="none" w:pos="1143"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jc w:val="both"/>
        <w:ind w:left="460" w:right="440" w:firstLine="443"/>
        <w:spacing w:after="0" w:line="264" w:lineRule="auto"/>
        <w:tabs>
          <w:tab w:leader="none" w:pos="1153"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ind w:left="460" w:right="580" w:firstLine="443"/>
        <w:spacing w:after="0" w:line="342" w:lineRule="auto"/>
        <w:tabs>
          <w:tab w:leader="none" w:pos="1143" w:val="left"/>
        </w:tabs>
        <w:numPr>
          <w:ilvl w:val="1"/>
          <w:numId w:val="38"/>
        </w:numPr>
        <w:rPr>
          <w:rFonts w:ascii="Arial" w:cs="Arial" w:eastAsia="Arial" w:hAnsi="Arial"/>
          <w:sz w:val="16"/>
          <w:szCs w:val="16"/>
          <w:color w:val="auto"/>
        </w:rPr>
      </w:pPr>
      <w:r>
        <w:rPr>
          <w:rFonts w:ascii="Arial" w:cs="Arial" w:eastAsia="Arial" w:hAnsi="Arial"/>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460" w:right="80" w:firstLine="443"/>
        <w:spacing w:after="0" w:line="264" w:lineRule="auto"/>
        <w:tabs>
          <w:tab w:leader="none" w:pos="1153"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company’s internal control over financial reporting that occurred during the company’s most recent fiscal quarter (the registrant’s fourth fiscal quarter in the case of an annual report) that has materially affected, or is reasonably likely to materially affect, the company’s internal control over financial reporting; and</w:t>
      </w:r>
    </w:p>
    <w:p>
      <w:pPr>
        <w:spacing w:after="0" w:line="181" w:lineRule="exact"/>
        <w:rPr>
          <w:rFonts w:ascii="Arial" w:cs="Arial" w:eastAsia="Arial" w:hAnsi="Arial"/>
          <w:sz w:val="18"/>
          <w:szCs w:val="18"/>
          <w:color w:val="auto"/>
        </w:rPr>
      </w:pPr>
    </w:p>
    <w:p>
      <w:pPr>
        <w:ind w:right="20" w:firstLine="464"/>
        <w:spacing w:after="0" w:line="308" w:lineRule="auto"/>
        <w:tabs>
          <w:tab w:leader="none" w:pos="636"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38" w:lineRule="exact"/>
        <w:rPr>
          <w:rFonts w:ascii="Arial" w:cs="Arial" w:eastAsia="Arial" w:hAnsi="Arial"/>
          <w:sz w:val="17"/>
          <w:szCs w:val="17"/>
          <w:color w:val="auto"/>
        </w:rPr>
      </w:pPr>
    </w:p>
    <w:p>
      <w:pPr>
        <w:ind w:left="460" w:right="780" w:firstLine="443"/>
        <w:spacing w:after="0" w:line="308" w:lineRule="auto"/>
        <w:tabs>
          <w:tab w:leader="none" w:pos="1143" w:val="left"/>
        </w:tabs>
        <w:numPr>
          <w:ilvl w:val="1"/>
          <w:numId w:val="3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38" w:lineRule="exact"/>
        <w:rPr>
          <w:rFonts w:ascii="Arial" w:cs="Arial" w:eastAsia="Arial" w:hAnsi="Arial"/>
          <w:sz w:val="17"/>
          <w:szCs w:val="17"/>
          <w:color w:val="auto"/>
        </w:rPr>
      </w:pPr>
    </w:p>
    <w:p>
      <w:pPr>
        <w:ind w:left="460" w:right="460" w:firstLine="443"/>
        <w:spacing w:after="0" w:line="277" w:lineRule="auto"/>
        <w:tabs>
          <w:tab w:leader="none" w:pos="1153"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October 14, 2014</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HENRI J. STEENKAMP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Henri J. Steenkamp</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Chief Financial Officer and Chief Compliance Officer</w:t>
      </w:r>
    </w:p>
    <w:p>
      <w:pPr>
        <w:sectPr>
          <w:pgSz w:w="11900" w:h="16838" w:orient="portrait"/>
          <w:cols w:equalWidth="0" w:num="1">
            <w:col w:w="11420"/>
          </w:cols>
          <w:pgMar w:left="240" w:top="12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accompanying Quarterly Report of Saratoga Investment Corp. on Form 10-Q (the “Report”) for the purpose of complying with Rule 13a-14(b) or Rule 15d-14(b) of the Securities Exchange Act of 1934 (the “Exchange Act”) and Section 1350 of Chapter 63 of Title 18 of the United States Code.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Christian L. Oberbeck, the Chief Executive Officer, certifies that, to the best of his knowledge:</w:t>
      </w:r>
    </w:p>
    <w:p>
      <w:pPr>
        <w:spacing w:after="0" w:line="131" w:lineRule="exact"/>
        <w:rPr>
          <w:sz w:val="20"/>
          <w:szCs w:val="20"/>
          <w:color w:val="auto"/>
        </w:rPr>
      </w:pPr>
    </w:p>
    <w:p>
      <w:pPr>
        <w:ind w:left="460" w:hanging="452"/>
        <w:spacing w:after="0"/>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30"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Saratoga Investment Corp.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October 14, 2014</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CHRISTIAN L. OBERBECK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Christian L. Oberbeck</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420"/>
          </w:cols>
          <w:pgMar w:left="24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456"/>
        <w:spacing w:after="0" w:line="264" w:lineRule="auto"/>
        <w:rPr>
          <w:sz w:val="20"/>
          <w:szCs w:val="20"/>
          <w:color w:val="auto"/>
        </w:rPr>
      </w:pPr>
      <w:r>
        <w:rPr>
          <w:rFonts w:ascii="Arial" w:cs="Arial" w:eastAsia="Arial" w:hAnsi="Arial"/>
          <w:sz w:val="18"/>
          <w:szCs w:val="18"/>
          <w:color w:val="auto"/>
        </w:rPr>
        <w:t>The certification set forth below is being submitted in connection with the accompanying Quarterly Report of Saratoga Investment Corp. on Form 10-Q (the “Report”) for the purpose of complying with Rule 13a-14(b) or Rule 15d-14(b) of the Securities Exchange Act of 1934 (the “Exchange Act”) and Section 1350 of Chapter 63 of Title 18 of the United States Code.</w:t>
      </w:r>
    </w:p>
    <w:p>
      <w:pPr>
        <w:spacing w:after="0" w:line="18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Henri J. Steenkamp, the Chief Financial Officer, Chief Compliance Officer and Secretary of Saratoga Investment Corp., certifies that, to the best of his knowledge:</w:t>
      </w:r>
    </w:p>
    <w:p>
      <w:pPr>
        <w:spacing w:after="0" w:line="76" w:lineRule="exact"/>
        <w:rPr>
          <w:sz w:val="20"/>
          <w:szCs w:val="20"/>
          <w:color w:val="auto"/>
        </w:rPr>
      </w:pPr>
    </w:p>
    <w:p>
      <w:pPr>
        <w:ind w:left="460" w:hanging="452"/>
        <w:spacing w:after="0"/>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Exchange Act; and</w:t>
      </w:r>
    </w:p>
    <w:p>
      <w:pPr>
        <w:spacing w:after="0" w:line="130" w:lineRule="exact"/>
        <w:rPr>
          <w:rFonts w:ascii="Arial" w:cs="Arial" w:eastAsia="Arial" w:hAnsi="Arial"/>
          <w:sz w:val="18"/>
          <w:szCs w:val="18"/>
          <w:color w:val="auto"/>
        </w:rPr>
      </w:pPr>
    </w:p>
    <w:p>
      <w:pPr>
        <w:ind w:left="460" w:right="100" w:hanging="452"/>
        <w:spacing w:after="0" w:line="277" w:lineRule="auto"/>
        <w:tabs>
          <w:tab w:leader="none" w:pos="4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Saratoga Investment Corp.</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 October 14, 2014</w:t>
      </w:r>
    </w:p>
    <w:p>
      <w:pPr>
        <w:spacing w:after="0" w:line="225"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/s/ HENRI J. STEENKAMP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14605</wp:posOffset>
            </wp:positionV>
            <wp:extent cx="33274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16" w:lineRule="exact"/>
        <w:rPr>
          <w:sz w:val="20"/>
          <w:szCs w:val="20"/>
          <w:color w:val="auto"/>
        </w:rPr>
      </w:pPr>
    </w:p>
    <w:p>
      <w:pPr>
        <w:ind w:left="6180"/>
        <w:spacing w:after="0"/>
        <w:rPr>
          <w:sz w:val="20"/>
          <w:szCs w:val="20"/>
          <w:color w:val="auto"/>
        </w:rPr>
      </w:pPr>
      <w:r>
        <w:rPr>
          <w:rFonts w:ascii="Arial" w:cs="Arial" w:eastAsia="Arial" w:hAnsi="Arial"/>
          <w:sz w:val="18"/>
          <w:szCs w:val="18"/>
          <w:color w:val="auto"/>
        </w:rPr>
        <w:t>Name: Henri J. Steenkamp</w:t>
      </w:r>
    </w:p>
    <w:p>
      <w:pPr>
        <w:spacing w:after="0" w:line="23" w:lineRule="exact"/>
        <w:rPr>
          <w:sz w:val="20"/>
          <w:szCs w:val="20"/>
          <w:color w:val="auto"/>
        </w:rPr>
      </w:pPr>
    </w:p>
    <w:p>
      <w:pPr>
        <w:ind w:left="6180"/>
        <w:spacing w:after="0"/>
        <w:rPr>
          <w:sz w:val="20"/>
          <w:szCs w:val="20"/>
          <w:color w:val="auto"/>
        </w:rPr>
      </w:pPr>
      <w:r>
        <w:rPr>
          <w:rFonts w:ascii="Arial" w:cs="Arial" w:eastAsia="Arial" w:hAnsi="Arial"/>
          <w:sz w:val="18"/>
          <w:szCs w:val="18"/>
          <w:i w:val="1"/>
          <w:iCs w:val="1"/>
          <w:color w:val="auto"/>
        </w:rPr>
        <w:t>Chief Financial Officer and Chief Compliance Officer</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1)"/>
      <w:numFmt w:val="lowerLetter"/>
      <w:start w:val="1"/>
    </w:lvl>
  </w:abstractNum>
  <w:abstractNum w:abstractNumId="3">
    <w:nsid w:val="721DA317"/>
    <w:multiLevelType w:val="hybridMultilevel"/>
    <w:lvl w:ilvl="0">
      <w:lvlJc w:val="left"/>
      <w:lvlText w:val="(%1)"/>
      <w:numFmt w:val="lowerLetter"/>
      <w:start w:val="7"/>
    </w:lvl>
  </w:abstractNum>
  <w:abstractNum w:abstractNumId="4">
    <w:nsid w:val="2443A858"/>
    <w:multiLevelType w:val="hybridMultilevel"/>
    <w:lvl w:ilvl="0">
      <w:lvlJc w:val="left"/>
      <w:lvlText w:val="(%1)"/>
      <w:numFmt w:val="lowerLetter"/>
      <w:start w:val="1"/>
    </w:lvl>
  </w:abstractNum>
  <w:abstractNum w:abstractNumId="5">
    <w:nsid w:val="2D1D5AE9"/>
    <w:multiLevelType w:val="hybridMultilevel"/>
    <w:lvl w:ilvl="0">
      <w:lvlJc w:val="left"/>
      <w:lvlText w:val="(%1)"/>
      <w:numFmt w:val="lowerLetter"/>
      <w:start w:val="7"/>
    </w:lvl>
  </w:abstractNum>
  <w:abstractNum w:abstractNumId="6">
    <w:nsid w:val="6763845E"/>
    <w:multiLevelType w:val="hybridMultilevel"/>
    <w:lvl w:ilvl="0">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
      <w:numFmt w:val="bullet"/>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
      <w:numFmt w:val="bullet"/>
      <w:start w:val="1"/>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decimal"/>
      <w:start w:val="1"/>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1"/>
    </w:lvl>
  </w:abstractNum>
  <w:abstractNum w:abstractNumId="28">
    <w:nsid w:val="419AC241"/>
    <w:multiLevelType w:val="hybridMultilevel"/>
    <w:lvl w:ilvl="0">
      <w:lvlJc w:val="left"/>
      <w:lvlText w:val="(%1)"/>
      <w:numFmt w:val="decimal"/>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lvl w:ilvl="1">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lowerLetter"/>
      <w:start w:val="1"/>
    </w:lvl>
  </w:abstractNum>
  <w:abstractNum w:abstractNumId="35">
    <w:nsid w:val="5C482A97"/>
    <w:multiLevelType w:val="hybridMultilevel"/>
    <w:lvl w:ilvl="0">
      <w:lvlJc w:val="left"/>
      <w:lvlText w:val="(%1)"/>
      <w:numFmt w:val="lowerLetter"/>
      <w:start w:val="2"/>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2019-12-07T14:23:55Z</dcterms:created>
  <dcterms:modified xsi:type="dcterms:W3CDTF">2019-12-07T14:23:55Z</dcterms:modified>
</cp:coreProperties>
</file>