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January 16, 2026</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Securities Act 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15518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146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33020</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5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34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FORM N-2</w:t>
      </w:r>
    </w:p>
    <w:p>
      <w:pPr>
        <w:spacing w:after="0" w:line="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REGISTRATION STATEMENT</w:t>
      </w:r>
    </w:p>
    <w:p>
      <w:pPr>
        <w:spacing w:after="0" w:line="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i w:val="1"/>
          <w:iCs w:val="1"/>
          <w:color w:val="auto"/>
        </w:rPr>
        <w:t>UNDER THE SECURITIES ACT OF 1933</w:t>
      </w:r>
    </w:p>
    <w:p>
      <w:pPr>
        <w:sectPr>
          <w:pgSz w:w="11900" w:h="16838" w:orient="portrait"/>
          <w:cols w:equalWidth="0" w:num="1">
            <w:col w:w="11270"/>
          </w:cols>
          <w:pgMar w:left="310" w:top="211" w:right="319" w:bottom="1440" w:gutter="0" w:footer="0" w:header="0"/>
        </w:sectPr>
      </w:pPr>
    </w:p>
    <w:p>
      <w:pPr>
        <w:spacing w:after="0" w:line="349" w:lineRule="exact"/>
        <w:rPr>
          <w:sz w:val="24"/>
          <w:szCs w:val="24"/>
          <w:color w:val="auto"/>
        </w:rPr>
      </w:pPr>
    </w:p>
    <w:p>
      <w:pPr>
        <w:ind w:left="4670"/>
        <w:spacing w:after="0"/>
        <w:rPr>
          <w:sz w:val="20"/>
          <w:szCs w:val="20"/>
          <w:color w:val="auto"/>
        </w:rPr>
      </w:pPr>
      <w:r>
        <w:rPr>
          <w:rFonts w:ascii="Times New Roman" w:cs="Times New Roman" w:eastAsia="Times New Roman" w:hAnsi="Times New Roman"/>
          <w:sz w:val="15"/>
          <w:szCs w:val="15"/>
          <w:b w:val="1"/>
          <w:bCs w:val="1"/>
          <w:color w:val="auto"/>
        </w:rPr>
        <w:t>Pre-Effective Amendment No.</w:t>
      </w:r>
    </w:p>
    <w:p>
      <w:pPr>
        <w:spacing w:after="0" w:line="27" w:lineRule="exact"/>
        <w:rPr>
          <w:sz w:val="24"/>
          <w:szCs w:val="24"/>
          <w:color w:val="auto"/>
        </w:rPr>
      </w:pPr>
    </w:p>
    <w:p>
      <w:pPr>
        <w:ind w:left="4650"/>
        <w:spacing w:after="0"/>
        <w:rPr>
          <w:sz w:val="20"/>
          <w:szCs w:val="20"/>
          <w:color w:val="auto"/>
        </w:rPr>
      </w:pPr>
      <w:r>
        <w:rPr>
          <w:rFonts w:ascii="Times New Roman" w:cs="Times New Roman" w:eastAsia="Times New Roman" w:hAnsi="Times New Roman"/>
          <w:sz w:val="15"/>
          <w:szCs w:val="15"/>
          <w:b w:val="1"/>
          <w:bCs w:val="1"/>
          <w:color w:val="auto"/>
        </w:rPr>
        <w:t>Post-Effective Amendment No.</w:t>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57" w:lineRule="exact"/>
        <w:rPr>
          <w:sz w:val="24"/>
          <w:szCs w:val="24"/>
          <w:color w:val="auto"/>
        </w:rPr>
      </w:pPr>
    </w:p>
    <w:p>
      <w:pPr>
        <w:sectPr>
          <w:pgSz w:w="11900" w:h="16838" w:orient="portrait"/>
          <w:cols w:equalWidth="0" w:num="2">
            <w:col w:w="8310" w:space="720"/>
            <w:col w:w="2240"/>
          </w:cols>
          <w:pgMar w:left="310" w:top="211" w:right="319" w:bottom="1440" w:gutter="0" w:footer="0" w:header="0"/>
          <w:type w:val="continuous"/>
        </w:sectPr>
      </w:pPr>
    </w:p>
    <w:p>
      <w:pPr>
        <w:spacing w:after="0" w:line="14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SARATOGA INVESTMENT CORP.</w:t>
      </w:r>
    </w:p>
    <w:p>
      <w:pPr>
        <w:spacing w:after="0" w:line="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Charter)</w:t>
      </w:r>
    </w:p>
    <w:p>
      <w:pPr>
        <w:spacing w:after="0" w:line="34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535 Madison Avenue</w:t>
      </w:r>
    </w:p>
    <w:p>
      <w:pPr>
        <w:spacing w:after="0" w:line="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New York, New York 10022</w:t>
      </w:r>
    </w:p>
    <w:p>
      <w:pPr>
        <w:spacing w:after="0" w:line="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p>
      <w:pPr>
        <w:spacing w:after="0" w:line="34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(212) 906-7800</w:t>
      </w:r>
    </w:p>
    <w:p>
      <w:pPr>
        <w:spacing w:after="0" w:line="2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w:t>
      </w:r>
    </w:p>
    <w:p>
      <w:pPr>
        <w:spacing w:after="0" w:line="34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Christian L. Oberbeck</w:t>
      </w:r>
    </w:p>
    <w:p>
      <w:pPr>
        <w:spacing w:after="0" w:line="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spacing w:after="0" w:line="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Saratoga Investment Corp.</w:t>
      </w:r>
    </w:p>
    <w:p>
      <w:pPr>
        <w:spacing w:after="0" w:line="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535 Madison Avenue</w:t>
      </w:r>
    </w:p>
    <w:p>
      <w:pPr>
        <w:spacing w:after="0" w:line="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New York, New York 10022</w:t>
      </w:r>
    </w:p>
    <w:p>
      <w:pPr>
        <w:spacing w:after="0" w:line="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(Name and Address of Agent for Service)</w:t>
      </w:r>
    </w:p>
    <w:p>
      <w:pPr>
        <w:spacing w:after="0" w:line="34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i w:val="1"/>
          <w:iCs w:val="1"/>
          <w:color w:val="auto"/>
        </w:rPr>
        <w:t>COPIES TO:</w:t>
      </w:r>
    </w:p>
    <w:p>
      <w:pPr>
        <w:spacing w:after="0" w:line="18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Steven B. Boehm, Esq.</w:t>
      </w:r>
    </w:p>
    <w:p>
      <w:pPr>
        <w:spacing w:after="0" w:line="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Payam Siadatpour, Esq.</w:t>
      </w:r>
    </w:p>
    <w:p>
      <w:pPr>
        <w:spacing w:after="0" w:line="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Sara Sabour Nasseri, Esq.</w:t>
      </w:r>
    </w:p>
    <w:p>
      <w:pPr>
        <w:spacing w:after="0" w:line="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Eversheds Sutherland (US) LLP</w:t>
      </w:r>
    </w:p>
    <w:p>
      <w:pPr>
        <w:spacing w:after="0" w:line="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700 Sixth Street, NW, Suite 700</w:t>
      </w:r>
    </w:p>
    <w:p>
      <w:pPr>
        <w:spacing w:after="0" w:line="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Washington, D.C. 20001-3980</w:t>
      </w:r>
    </w:p>
    <w:p>
      <w:pPr>
        <w:spacing w:after="0" w:line="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(202) 383-0100</w:t>
      </w:r>
    </w:p>
    <w:p>
      <w:pPr>
        <w:spacing w:after="0" w:line="16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Public Offering: </w:t>
      </w:r>
      <w:r>
        <w:rPr>
          <w:rFonts w:ascii="Times New Roman" w:cs="Times New Roman" w:eastAsia="Times New Roman" w:hAnsi="Times New Roman"/>
          <w:sz w:val="15"/>
          <w:szCs w:val="15"/>
          <w:color w:val="auto"/>
        </w:rPr>
        <w:t>From time to time after the effective date of the Registration Statement.</w:t>
      </w:r>
    </w:p>
    <w:p>
      <w:pPr>
        <w:spacing w:after="0" w:line="192" w:lineRule="exact"/>
        <w:rPr>
          <w:sz w:val="24"/>
          <w:szCs w:val="24"/>
          <w:color w:val="auto"/>
        </w:rPr>
      </w:pPr>
    </w:p>
    <w:p>
      <w:pPr>
        <w:ind w:left="270" w:hanging="270"/>
        <w:spacing w:after="0"/>
        <w:tabs>
          <w:tab w:leader="none" w:pos="27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Check box if the only securities being registered on this Form are being offered pursuant to dividend or interest reinvestment plans.</w:t>
      </w:r>
    </w:p>
    <w:p>
      <w:pPr>
        <w:spacing w:after="0" w:line="18" w:lineRule="exact"/>
        <w:rPr>
          <w:sz w:val="24"/>
          <w:szCs w:val="24"/>
          <w:color w:val="auto"/>
        </w:rPr>
      </w:pPr>
    </w:p>
    <w:p>
      <w:pPr>
        <w:ind w:left="270" w:right="20" w:hanging="270"/>
        <w:spacing w:after="0" w:line="254" w:lineRule="auto"/>
        <w:tabs>
          <w:tab w:leader="none" w:pos="27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Check box if any securities being registered on this Form will be offered on a delayed or continuous basis in reliance on Rule 415 under the Securities Act of 1933 (“Securities Act”), other than securities offered in connection with a dividend reinvestment plan.</w:t>
      </w:r>
    </w:p>
    <w:p>
      <w:pPr>
        <w:ind w:left="270" w:hanging="270"/>
        <w:spacing w:after="0"/>
        <w:tabs>
          <w:tab w:leader="none" w:pos="27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Check box if this Form is a registration statement pursuant to General Instruction A.2 or a post-effective amendment thereto.</w:t>
      </w:r>
    </w:p>
    <w:p>
      <w:pPr>
        <w:spacing w:after="0" w:line="3" w:lineRule="exact"/>
        <w:rPr>
          <w:sz w:val="24"/>
          <w:szCs w:val="24"/>
          <w:color w:val="auto"/>
        </w:rPr>
      </w:pPr>
    </w:p>
    <w:p>
      <w:pPr>
        <w:ind w:left="270" w:hanging="270"/>
        <w:spacing w:after="0" w:line="254" w:lineRule="auto"/>
        <w:tabs>
          <w:tab w:leader="none" w:pos="27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Check box if this Form is a registration statement pursuant to General Instruction B or a post-effective amendment thereto that will become effective upon filing with the Commission pursuant to Rule 462(e) under the Securities Act.</w:t>
      </w:r>
    </w:p>
    <w:p>
      <w:pPr>
        <w:ind w:left="270" w:hanging="270"/>
        <w:spacing w:after="0" w:line="262" w:lineRule="auto"/>
        <w:tabs>
          <w:tab w:leader="none" w:pos="27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Check box if this Form is a post-effective amendment to a registration statement filed pursuant to General Instruction B to register additional securities or additional classes of securities pursuant to Rule 413(b)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333375</wp:posOffset>
            </wp:positionV>
            <wp:extent cx="715518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211" w:right="319" w:bottom="1440" w:gutter="0" w:footer="0" w:header="0"/>
          <w:type w:val="continuous"/>
        </w:sectPr>
      </w:pPr>
    </w:p>
    <w:bookmarkStart w:id="1" w:name="page2"/>
    <w:bookmarkEnd w:id="1"/>
    <w:p>
      <w:pPr>
        <w:ind w:left="10"/>
        <w:spacing w:after="0"/>
        <w:rPr>
          <w:sz w:val="20"/>
          <w:szCs w:val="20"/>
          <w:color w:val="auto"/>
        </w:rPr>
      </w:pPr>
      <w:r>
        <w:rPr>
          <w:rFonts w:ascii="Times New Roman" w:cs="Times New Roman" w:eastAsia="Times New Roman" w:hAnsi="Times New Roman"/>
          <w:sz w:val="15"/>
          <w:szCs w:val="15"/>
          <w:b w:val="1"/>
          <w:bCs w:val="1"/>
          <w:color w:val="auto"/>
        </w:rPr>
        <w:t>It is proposed that this filing will become effective (check appropriate box):</w:t>
      </w:r>
    </w:p>
    <w:p>
      <w:pPr>
        <w:spacing w:after="0" w:line="192" w:lineRule="exact"/>
        <w:rPr>
          <w:sz w:val="20"/>
          <w:szCs w:val="20"/>
          <w:color w:val="auto"/>
        </w:rPr>
      </w:pPr>
    </w:p>
    <w:p>
      <w:pPr>
        <w:ind w:left="270" w:hanging="270"/>
        <w:spacing w:after="0"/>
        <w:tabs>
          <w:tab w:leader="none" w:pos="27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when declared effective pursuant to Section 8(c) of the Securities Act.</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If appropriate, check the following box:</w:t>
      </w:r>
    </w:p>
    <w:p>
      <w:pPr>
        <w:spacing w:after="0" w:line="192" w:lineRule="exact"/>
        <w:rPr>
          <w:sz w:val="20"/>
          <w:szCs w:val="20"/>
          <w:color w:val="auto"/>
        </w:rPr>
      </w:pPr>
    </w:p>
    <w:p>
      <w:pPr>
        <w:ind w:left="270" w:hanging="270"/>
        <w:spacing w:after="0"/>
        <w:tabs>
          <w:tab w:leader="none" w:pos="27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This [post-effective] amendment designates a new effective date for a previously filed [post-effective amendment] [registration statement].</w:t>
      </w:r>
    </w:p>
    <w:p>
      <w:pPr>
        <w:spacing w:after="0" w:line="23" w:lineRule="exact"/>
        <w:rPr>
          <w:rFonts w:ascii="MS PGothic" w:cs="MS PGothic" w:eastAsia="MS PGothic" w:hAnsi="MS PGothic"/>
          <w:sz w:val="15"/>
          <w:szCs w:val="15"/>
          <w:color w:val="auto"/>
        </w:rPr>
      </w:pPr>
    </w:p>
    <w:p>
      <w:pPr>
        <w:ind w:left="270" w:hanging="270"/>
        <w:spacing w:after="0" w:line="250" w:lineRule="auto"/>
        <w:tabs>
          <w:tab w:leader="none" w:pos="27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This Form is filed to register additional securities for an offering pursuant to Rule 462(b) under the Securities Act, and the Securities Act registration statement number of the earlier effective registration statement for the same offering is: _______.</w:t>
      </w:r>
    </w:p>
    <w:p>
      <w:pPr>
        <w:spacing w:after="0" w:line="1" w:lineRule="exact"/>
        <w:rPr>
          <w:rFonts w:ascii="MS PGothic" w:cs="MS PGothic" w:eastAsia="MS PGothic" w:hAnsi="MS PGothic"/>
          <w:sz w:val="15"/>
          <w:szCs w:val="15"/>
          <w:color w:val="auto"/>
        </w:rPr>
      </w:pPr>
    </w:p>
    <w:p>
      <w:pPr>
        <w:ind w:left="270" w:hanging="270"/>
        <w:spacing w:after="0" w:line="251" w:lineRule="auto"/>
        <w:tabs>
          <w:tab w:leader="none" w:pos="27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This Form is a post-effective amendment filed pursuant to Rule 462(c) under the Securities Act, and the Securities Act registration statement number of the earlier effective registration statement for the same offering is:_______.</w:t>
      </w:r>
    </w:p>
    <w:p>
      <w:pPr>
        <w:ind w:left="270" w:hanging="270"/>
        <w:spacing w:after="0" w:line="262" w:lineRule="auto"/>
        <w:tabs>
          <w:tab w:leader="none" w:pos="27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This Form is a post-effective amendment filed pursuant to Rule 462(d) under the Securities Act, and the Securities Act registration statement number of the earlier effective registration statement for the same offering is:_______.</w:t>
      </w:r>
    </w:p>
    <w:p>
      <w:pPr>
        <w:spacing w:after="0" w:line="1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Check each box that appropriately characterizes the Registrant:</w:t>
      </w:r>
    </w:p>
    <w:p>
      <w:pPr>
        <w:spacing w:after="0" w:line="192" w:lineRule="exact"/>
        <w:rPr>
          <w:sz w:val="20"/>
          <w:szCs w:val="20"/>
          <w:color w:val="auto"/>
        </w:rPr>
      </w:pPr>
    </w:p>
    <w:p>
      <w:pPr>
        <w:ind w:left="270" w:hanging="270"/>
        <w:spacing w:after="0"/>
        <w:tabs>
          <w:tab w:leader="none" w:pos="270" w:val="left"/>
        </w:tabs>
        <w:numPr>
          <w:ilvl w:val="0"/>
          <w:numId w:val="6"/>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Registered Closed-End Fund (closed-end company that is registered under the Investment Company Act of 1940 (“Investment Company Act”)).</w:t>
      </w:r>
    </w:p>
    <w:p>
      <w:pPr>
        <w:spacing w:after="0" w:line="18" w:lineRule="exact"/>
        <w:rPr>
          <w:sz w:val="20"/>
          <w:szCs w:val="20"/>
          <w:color w:val="auto"/>
        </w:rPr>
      </w:pPr>
    </w:p>
    <w:p>
      <w:pPr>
        <w:ind w:left="270" w:hanging="270"/>
        <w:spacing w:after="0"/>
        <w:tabs>
          <w:tab w:leader="none" w:pos="270" w:val="left"/>
        </w:tabs>
        <w:numPr>
          <w:ilvl w:val="0"/>
          <w:numId w:val="7"/>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Business Development Company (closed-end company that intends or has elected to be regulated as a business development company under the Investment Company Act).</w:t>
      </w:r>
    </w:p>
    <w:p>
      <w:pPr>
        <w:spacing w:after="0" w:line="13" w:lineRule="exact"/>
        <w:rPr>
          <w:rFonts w:ascii="MS PGothic" w:cs="MS PGothic" w:eastAsia="MS PGothic" w:hAnsi="MS PGothic"/>
          <w:sz w:val="15"/>
          <w:szCs w:val="15"/>
          <w:color w:val="auto"/>
        </w:rPr>
      </w:pPr>
    </w:p>
    <w:p>
      <w:pPr>
        <w:ind w:left="10"/>
        <w:spacing w:after="0" w:line="173" w:lineRule="exact"/>
        <w:rPr>
          <w:rFonts w:ascii="MS PGothic" w:cs="MS PGothic" w:eastAsia="MS PGothic" w:hAnsi="MS PGothic"/>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Interval Fund (Registered Closed-End Fund or a Business Development Company that makes periodic repurchase offers under Rule 23c-3 under the Investment Company Act).</w:t>
      </w:r>
    </w:p>
    <w:p>
      <w:pPr>
        <w:spacing w:after="0" w:line="7" w:lineRule="exact"/>
        <w:rPr>
          <w:rFonts w:ascii="MS PGothic" w:cs="MS PGothic" w:eastAsia="MS PGothic" w:hAnsi="MS PGothic"/>
          <w:sz w:val="15"/>
          <w:szCs w:val="15"/>
          <w:color w:val="auto"/>
        </w:rPr>
      </w:pPr>
    </w:p>
    <w:p>
      <w:pPr>
        <w:ind w:left="270" w:hanging="270"/>
        <w:spacing w:after="0"/>
        <w:tabs>
          <w:tab w:leader="none" w:pos="270" w:val="left"/>
        </w:tabs>
        <w:numPr>
          <w:ilvl w:val="0"/>
          <w:numId w:val="7"/>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A.2 Qualified (qualified to register securities pursuant to General Instruction A.2 of this Form).</w:t>
      </w:r>
    </w:p>
    <w:p>
      <w:pPr>
        <w:spacing w:after="0" w:line="2" w:lineRule="exact"/>
        <w:rPr>
          <w:sz w:val="20"/>
          <w:szCs w:val="20"/>
          <w:color w:val="auto"/>
        </w:rPr>
      </w:pPr>
    </w:p>
    <w:p>
      <w:pPr>
        <w:ind w:left="270" w:hanging="270"/>
        <w:spacing w:after="0"/>
        <w:tabs>
          <w:tab w:leader="none" w:pos="270" w:val="left"/>
        </w:tabs>
        <w:numPr>
          <w:ilvl w:val="0"/>
          <w:numId w:val="8"/>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Well-Known Seasoned Issuer (as defined by Rule 405 under the Securities Act).</w:t>
      </w:r>
    </w:p>
    <w:p>
      <w:pPr>
        <w:spacing w:after="0" w:line="13" w:lineRule="exact"/>
        <w:rPr>
          <w:rFonts w:ascii="MS PGothic" w:cs="MS PGothic" w:eastAsia="MS PGothic" w:hAnsi="MS PGothic"/>
          <w:sz w:val="15"/>
          <w:szCs w:val="15"/>
          <w:color w:val="auto"/>
        </w:rPr>
      </w:pPr>
    </w:p>
    <w:p>
      <w:pPr>
        <w:ind w:left="270" w:hanging="270"/>
        <w:spacing w:after="0"/>
        <w:tabs>
          <w:tab w:leader="none" w:pos="270" w:val="left"/>
        </w:tabs>
        <w:numPr>
          <w:ilvl w:val="0"/>
          <w:numId w:val="8"/>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Emerging Growth Company (as defined by Rule 12b-2 under the Securities Exchange Act of 1934 (“Exchange Act”).</w:t>
      </w:r>
    </w:p>
    <w:p>
      <w:pPr>
        <w:spacing w:after="0" w:line="7" w:lineRule="exact"/>
        <w:rPr>
          <w:rFonts w:ascii="MS PGothic" w:cs="MS PGothic" w:eastAsia="MS PGothic" w:hAnsi="MS PGothic"/>
          <w:sz w:val="15"/>
          <w:szCs w:val="15"/>
          <w:color w:val="auto"/>
        </w:rPr>
      </w:pPr>
    </w:p>
    <w:p>
      <w:pPr>
        <w:ind w:left="270" w:hanging="270"/>
        <w:spacing w:after="0" w:line="250" w:lineRule="auto"/>
        <w:tabs>
          <w:tab w:leader="none" w:pos="270" w:val="left"/>
        </w:tabs>
        <w:numPr>
          <w:ilvl w:val="0"/>
          <w:numId w:val="8"/>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7(a)(2)(B) of Securities Act.</w:t>
      </w:r>
    </w:p>
    <w:p>
      <w:pPr>
        <w:spacing w:after="0" w:line="1" w:lineRule="exact"/>
        <w:rPr>
          <w:rFonts w:ascii="MS PGothic" w:cs="MS PGothic" w:eastAsia="MS PGothic" w:hAnsi="MS PGothic"/>
          <w:sz w:val="15"/>
          <w:szCs w:val="15"/>
          <w:color w:val="auto"/>
        </w:rPr>
      </w:pPr>
    </w:p>
    <w:p>
      <w:pPr>
        <w:ind w:left="270" w:hanging="270"/>
        <w:spacing w:after="0"/>
        <w:tabs>
          <w:tab w:leader="none" w:pos="270" w:val="left"/>
        </w:tabs>
        <w:numPr>
          <w:ilvl w:val="0"/>
          <w:numId w:val="8"/>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New Registrant (registered or regulated under the Investment Company Act for less than 12 calendar months preceding this filing).</w:t>
      </w:r>
    </w:p>
    <w:p>
      <w:pPr>
        <w:spacing w:after="0" w:line="169" w:lineRule="exact"/>
        <w:rPr>
          <w:sz w:val="20"/>
          <w:szCs w:val="20"/>
          <w:color w:val="auto"/>
        </w:rPr>
      </w:pPr>
    </w:p>
    <w:p>
      <w:pPr>
        <w:jc w:val="both"/>
        <w:ind w:left="10"/>
        <w:spacing w:after="0" w:line="270"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1551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wp:posOffset>
            </wp:positionV>
            <wp:extent cx="715518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5180" cy="146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394335</wp:posOffset>
            </wp:positionV>
            <wp:extent cx="715518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53" w:right="319" w:bottom="1440" w:gutter="0" w:footer="0" w:header="0"/>
        </w:sectPr>
      </w:pPr>
    </w:p>
    <w:bookmarkStart w:id="2" w:name="page3"/>
    <w:bookmarkEnd w:id="2"/>
    <w:p>
      <w:pPr>
        <w:jc w:val="both"/>
        <w:spacing w:after="0" w:line="270" w:lineRule="auto"/>
        <w:rPr>
          <w:sz w:val="20"/>
          <w:szCs w:val="20"/>
          <w:color w:val="auto"/>
        </w:rPr>
      </w:pPr>
      <w:r>
        <w:rPr>
          <w:rFonts w:ascii="Times New Roman" w:cs="Times New Roman" w:eastAsia="Times New Roman" w:hAnsi="Times New Roman"/>
          <w:sz w:val="15"/>
          <w:szCs w:val="15"/>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FF0000"/>
        </w:rPr>
        <w:t>Subject To Completion, Dated January 15,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$750,000,000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Subscription Rights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Debt Securities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Warrants</w:t>
      </w:r>
    </w:p>
    <w:p>
      <w:pPr>
        <w:spacing w:after="0" w:line="173"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are a specialty finance company that invests primarily in senior and unitranche leveraged loans and mezzanine debt issued by private U.S. middle-market companies, both through direct lending and through participation in loan syndicates, and, to a lesser extent, equity issued by private U.S. middle-market companies. Our investment objective is to create attractive risk-adjusted returns by generating current income and, to a lesser extent, capital appreciation from our investments.</w:t>
      </w:r>
    </w:p>
    <w:p>
      <w:pPr>
        <w:spacing w:after="0" w:line="14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are externally managed and advised by Saratoga Investment Advisors, LLC, a New York-based investment firm affiliated with Saratoga Partners, a middle-market private equity investment firm.</w:t>
      </w:r>
    </w:p>
    <w:p>
      <w:pPr>
        <w:spacing w:after="0" w:line="135"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We may offer, from time to time, in one or more offerings or series, up to $750,000,000 of our common stock, preferred stock, subscription rights to purchase shares of our common stock, debt securities, and warrants representing rights to purchase shares of our common stock, preferred stock or debt securities, which we refer to, collectively, as our “securities.” The preferred stock, subscription rights, warrants and debt securities offered hereby may be convertible or exchangeable into shares of our common stock. The securities may be offered at prices and on terms to be described in one or more supplements to this prospectus.</w:t>
      </w:r>
    </w:p>
    <w:p>
      <w:pPr>
        <w:spacing w:after="0" w:line="15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Absent approval by the majority of our common stockholders, the offering price per share of our common stock less any underwriting commissions or discounts will not be less than the net asset value (“NAV”) per share of our common stock at the time we make the offering unless we issue shares in connection with a rights offering to our existing stockholders or under such other circumstances as the Securities and Exchange Commission (the “SEC”) may permit. We do not currently have stockholder approval for issuances below NAV. In addition, we cannot issue shares of our common stock below NAV unless our board of directors determines that it would be in our and our stockholders’ best interests to do so. Sales of common stock at prices below NAV per share dilute the interests of existing stockholders, have the effect of reducing our NAV per share and may reduce our market price per share. In addition, sales of common stock below NAV may have a negative impact on total returns and could have a negative impact on the market price of our shares of common stock. See “Sales of Common Stock Below Net Asset Value.”</w:t>
      </w:r>
    </w:p>
    <w:p>
      <w:pPr>
        <w:spacing w:after="0" w:line="156"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Our securities may be offered directly to one or more purchasers, or through agents designated from time to time by us, or to or through underwriters or dealers. The prospectus supplement relating to an offering will identify any agents or underwriters involved in the sale of our securities, and will disclose any applicable purchase price, fee, commission or discount arrangement between us and our agents or underwriters or among our underwriters or the basis upon which such amount may be calculated. See “Plan of Distribution.” We may not sell any of our securities through agents, underwriters or dealers without delivery of this prospectus and a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335280</wp:posOffset>
            </wp:positionV>
            <wp:extent cx="715518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2" w:right="319" w:bottom="1440" w:gutter="0" w:footer="0" w:header="0"/>
        </w:sectPr>
      </w:pPr>
    </w:p>
    <w:bookmarkStart w:id="3" w:name="page4"/>
    <w:bookmarkEnd w:id="3"/>
    <w:p>
      <w:pPr>
        <w:jc w:val="both"/>
        <w:ind w:firstLine="271"/>
        <w:spacing w:after="0" w:line="270" w:lineRule="auto"/>
        <w:rPr>
          <w:sz w:val="20"/>
          <w:szCs w:val="20"/>
          <w:color w:val="auto"/>
        </w:rPr>
      </w:pPr>
      <w:r>
        <w:rPr>
          <w:rFonts w:ascii="Times New Roman" w:cs="Times New Roman" w:eastAsia="Times New Roman" w:hAnsi="Times New Roman"/>
          <w:sz w:val="15"/>
          <w:szCs w:val="15"/>
          <w:b w:val="1"/>
          <w:bCs w:val="1"/>
          <w:color w:val="auto"/>
        </w:rPr>
        <w:t>We generally invest in securities that would be rated below investment grade if they were rated. Below investment grade securities, which are often referred to as “high yield” or “junk,” have speculative characteristics with respect to our capacity to pay interest and repay principal. See “Risk Factors” in Part I, Item 1A in our most recent Annual Report on Form 10-K and in Part II, Item 1A of our most recent Quarterly Report on Form 10-Q for more information.</w:t>
      </w:r>
    </w:p>
    <w:p>
      <w:pPr>
        <w:spacing w:after="0" w:line="144"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Our common stock is traded on the New York Stock Exchange (“NYSE”) under the symbol “SAR.” On January 14, 2026, the last reported sales price on the NYSE for our common stock was $23.43 per share. We are required to determine the NAV per share of our common stock on a quarterly basis. Our NAV per share of our common stock as of November 30, 2025 was $25.59.</w:t>
      </w:r>
    </w:p>
    <w:p>
      <w:pPr>
        <w:spacing w:after="0" w:line="146"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and the documents incorporated by reference, before buying any of the securities being offered. We file annual, quarterly and current reports, proxy statements and other information with the SEC, which is available free of charge upon written or oral request by contacting us by mail at 535 Madison Avenue, New York, New York 10022, by accessing our website at </w:t>
      </w:r>
      <w:r>
        <w:rPr>
          <w:rFonts w:ascii="Times New Roman" w:cs="Times New Roman" w:eastAsia="Times New Roman" w:hAnsi="Times New Roman"/>
          <w:sz w:val="15"/>
          <w:szCs w:val="15"/>
          <w:i w:val="1"/>
          <w:iCs w:val="1"/>
          <w:color w:val="auto"/>
        </w:rPr>
        <w:t>www.saratogainvestmentcorp.com</w:t>
      </w:r>
      <w:r>
        <w:rPr>
          <w:rFonts w:ascii="Times New Roman" w:cs="Times New Roman" w:eastAsia="Times New Roman" w:hAnsi="Times New Roman"/>
          <w:sz w:val="15"/>
          <w:szCs w:val="15"/>
          <w:color w:val="auto"/>
        </w:rPr>
        <w:t xml:space="preserve"> or by calling us collect at (212) 906-7800. The SEC also maintains a website at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 xml:space="preserve"> that contains such information, including the documents incorporated by reference into this prospectus. Information contained on our website is not incorporated by reference into this prospectus or any supplements to this prospectus, and you should not consider that information to be part of this prospectus or any supplements to this prospectus. The contact information provided above may be used by you to make investor inquiries. This prospectus should be retained for future reference.</w:t>
      </w:r>
    </w:p>
    <w:p>
      <w:pPr>
        <w:spacing w:after="0" w:line="151" w:lineRule="exact"/>
        <w:rPr>
          <w:sz w:val="20"/>
          <w:szCs w:val="20"/>
          <w:color w:val="auto"/>
        </w:rPr>
      </w:pPr>
    </w:p>
    <w:p>
      <w:pPr>
        <w:jc w:val="both"/>
        <w:ind w:firstLine="271"/>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An investment in our securities is very risky and highly speculative. Shares of closed-end investment companies, including business development companies (“BDCs”), frequently trade at a discount to their NAV. In addition, the companies in which we invest are subject to special risks. You should review carefully the risks and uncertainties, including the risk of leverage and dilution, described in the section titled “Risk Factors” included in this prospectus, , or incorporated by reference into, the applicable prospectus supplement and in any free writing prospectuses we may authorize for use in connection with a specific offering, and under similar headings in the other documents that are incorporated by reference into this prospectus, to read about factors you should consider, including the risk of leverage, before investing in our securities.</w:t>
      </w:r>
    </w:p>
    <w:p>
      <w:pPr>
        <w:spacing w:after="0" w:line="148" w:lineRule="exact"/>
        <w:rPr>
          <w:sz w:val="20"/>
          <w:szCs w:val="20"/>
          <w:color w:val="auto"/>
        </w:rPr>
      </w:pPr>
    </w:p>
    <w:p>
      <w:pPr>
        <w:jc w:val="both"/>
        <w:ind w:firstLine="271"/>
        <w:spacing w:after="0" w:line="289" w:lineRule="auto"/>
        <w:rPr>
          <w:sz w:val="20"/>
          <w:szCs w:val="20"/>
          <w:color w:val="auto"/>
        </w:rPr>
      </w:pPr>
      <w:r>
        <w:rPr>
          <w:rFonts w:ascii="Times New Roman" w:cs="Times New Roman" w:eastAsia="Times New Roman" w:hAnsi="Times New Roman"/>
          <w:sz w:val="15"/>
          <w:szCs w:val="15"/>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This prospectus may not be used to consummate sales of securities unless accompanied by a prospectus supplement.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60" w:type="dxa"/>
            <w:vAlign w:val="bottom"/>
          </w:tcPr>
          <w:p>
            <w:pPr>
              <w:ind w:left="4200"/>
              <w:spacing w:after="0"/>
              <w:rPr>
                <w:sz w:val="20"/>
                <w:szCs w:val="20"/>
                <w:color w:val="auto"/>
              </w:rPr>
            </w:pPr>
            <w:r>
              <w:rPr>
                <w:rFonts w:ascii="Times New Roman" w:cs="Times New Roman" w:eastAsia="Times New Roman" w:hAnsi="Times New Roman"/>
                <w:sz w:val="15"/>
                <w:szCs w:val="15"/>
                <w:b w:val="1"/>
                <w:bCs w:val="1"/>
                <w:color w:val="auto"/>
              </w:rPr>
              <w:t>The date of this prospectus is</w:t>
            </w:r>
          </w:p>
        </w:tc>
        <w:tc>
          <w:tcPr>
            <w:tcW w:w="4900" w:type="dxa"/>
            <w:vAlign w:val="bottom"/>
          </w:tcPr>
          <w:p>
            <w:pPr>
              <w:jc w:val="right"/>
              <w:ind w:right="4145"/>
              <w:spacing w:after="0"/>
              <w:rPr>
                <w:sz w:val="20"/>
                <w:szCs w:val="20"/>
                <w:color w:val="auto"/>
              </w:rPr>
            </w:pPr>
            <w:r>
              <w:rPr>
                <w:rFonts w:ascii="Times New Roman" w:cs="Times New Roman" w:eastAsia="Times New Roman" w:hAnsi="Times New Roman"/>
                <w:sz w:val="15"/>
                <w:szCs w:val="15"/>
                <w:b w:val="1"/>
                <w:bCs w:val="1"/>
                <w:color w:val="auto"/>
              </w:rPr>
              <w:t>, 2026</w:t>
            </w:r>
          </w:p>
        </w:tc>
      </w:tr>
      <w:tr>
        <w:trPr>
          <w:trHeight w:val="543"/>
        </w:trPr>
        <w:tc>
          <w:tcPr>
            <w:tcW w:w="63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53" w:right="31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20" w:type="dxa"/>
            <w:vAlign w:val="bottom"/>
            <w:gridSpan w:val="2"/>
          </w:tcPr>
          <w:p>
            <w:pPr>
              <w:ind w:left="106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900" w:type="dxa"/>
            <w:vAlign w:val="bottom"/>
          </w:tcPr>
          <w:p>
            <w:pPr>
              <w:spacing w:after="0"/>
              <w:rPr>
                <w:sz w:val="17"/>
                <w:szCs w:val="17"/>
                <w:color w:val="auto"/>
              </w:rPr>
            </w:pPr>
          </w:p>
        </w:tc>
      </w:tr>
      <w:tr>
        <w:trPr>
          <w:trHeight w:val="363"/>
        </w:trPr>
        <w:tc>
          <w:tcPr>
            <w:tcW w:w="20" w:type="dxa"/>
            <w:vAlign w:val="bottom"/>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49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60"/>
        </w:trPr>
        <w:tc>
          <w:tcPr>
            <w:tcW w:w="20" w:type="dxa"/>
            <w:vAlign w:val="bottom"/>
          </w:tcPr>
          <w:p>
            <w:pPr>
              <w:spacing w:after="0"/>
              <w:rPr>
                <w:sz w:val="13"/>
                <w:szCs w:val="13"/>
                <w:color w:val="auto"/>
              </w:rPr>
            </w:pPr>
          </w:p>
        </w:tc>
        <w:tc>
          <w:tcPr>
            <w:tcW w:w="10340" w:type="dxa"/>
            <w:vAlign w:val="bottom"/>
            <w:gridSpan w:val="22"/>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0000EE"/>
              </w:rPr>
              <w:t>Prospectus Summary</w:t>
            </w:r>
          </w:p>
        </w:tc>
        <w:tc>
          <w:tcPr>
            <w:tcW w:w="900" w:type="dxa"/>
            <w:vAlign w:val="bottom"/>
            <w:shd w:val="clear" w:color="auto" w:fill="CCEEFF"/>
          </w:tcPr>
          <w:p>
            <w:pPr>
              <w:jc w:val="center"/>
              <w:spacing w:after="0" w:line="116" w:lineRule="exact"/>
              <w:rPr>
                <w:sz w:val="20"/>
                <w:szCs w:val="20"/>
                <w:color w:val="auto"/>
              </w:rPr>
            </w:pPr>
            <w:r>
              <w:rPr>
                <w:rFonts w:ascii="Times New Roman" w:cs="Times New Roman" w:eastAsia="Times New Roman" w:hAnsi="Times New Roman"/>
                <w:sz w:val="13"/>
                <w:szCs w:val="13"/>
                <w:color w:val="auto"/>
                <w:w w:val="91"/>
              </w:rPr>
              <w:t>1</w:t>
            </w:r>
          </w:p>
        </w:tc>
      </w:tr>
      <w:tr>
        <w:trPr>
          <w:trHeight w:val="147"/>
        </w:trPr>
        <w:tc>
          <w:tcPr>
            <w:tcW w:w="20" w:type="dxa"/>
            <w:vAlign w:val="bottom"/>
          </w:tcPr>
          <w:p>
            <w:pPr>
              <w:spacing w:after="0"/>
              <w:rPr>
                <w:sz w:val="12"/>
                <w:szCs w:val="12"/>
                <w:color w:val="auto"/>
              </w:rPr>
            </w:pPr>
          </w:p>
        </w:tc>
        <w:tc>
          <w:tcPr>
            <w:tcW w:w="800" w:type="dxa"/>
            <w:vAlign w:val="bottom"/>
            <w:tcBorders>
              <w:top w:val="single" w:sz="8" w:color="0000EE"/>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5"/>
                <w:szCs w:val="15"/>
                <w:color w:val="0000EE"/>
                <w:w w:val="96"/>
              </w:rPr>
              <w:t>The Offering</w:t>
            </w:r>
          </w:p>
        </w:tc>
        <w:tc>
          <w:tcPr>
            <w:tcW w:w="520" w:type="dxa"/>
            <w:vAlign w:val="bottom"/>
            <w:tcBorders>
              <w:top w:val="single" w:sz="8" w:color="0000EE"/>
            </w:tcBorders>
            <w:gridSpan w:val="3"/>
          </w:tcPr>
          <w:p>
            <w:pPr>
              <w:spacing w:after="0"/>
              <w:rPr>
                <w:sz w:val="12"/>
                <w:szCs w:val="12"/>
                <w:color w:val="auto"/>
              </w:rPr>
            </w:pPr>
          </w:p>
        </w:tc>
        <w:tc>
          <w:tcPr>
            <w:tcW w:w="9020" w:type="dxa"/>
            <w:vAlign w:val="bottom"/>
            <w:tcBorders>
              <w:top w:val="single" w:sz="8" w:color="CCEEFF"/>
            </w:tcBorders>
            <w:gridSpan w:val="17"/>
          </w:tcPr>
          <w:p>
            <w:pPr>
              <w:spacing w:after="0"/>
              <w:rPr>
                <w:sz w:val="12"/>
                <w:szCs w:val="12"/>
                <w:color w:val="auto"/>
              </w:rPr>
            </w:pPr>
          </w:p>
        </w:tc>
        <w:tc>
          <w:tcPr>
            <w:tcW w:w="900" w:type="dxa"/>
            <w:vAlign w:val="bottom"/>
            <w:tcBorders>
              <w:top w:val="single" w:sz="8" w:color="CCEEFF"/>
            </w:tcBorders>
          </w:tcPr>
          <w:p>
            <w:pPr>
              <w:jc w:val="center"/>
              <w:spacing w:after="0" w:line="147" w:lineRule="exact"/>
              <w:rPr>
                <w:sz w:val="20"/>
                <w:szCs w:val="20"/>
                <w:color w:val="auto"/>
              </w:rPr>
            </w:pPr>
            <w:r>
              <w:rPr>
                <w:rFonts w:ascii="Times New Roman" w:cs="Times New Roman" w:eastAsia="Times New Roman" w:hAnsi="Times New Roman"/>
                <w:sz w:val="15"/>
                <w:szCs w:val="15"/>
                <w:color w:val="auto"/>
                <w:w w:val="79"/>
              </w:rPr>
              <w:t>5</w:t>
            </w:r>
          </w:p>
        </w:tc>
      </w:tr>
      <w:tr>
        <w:trPr>
          <w:trHeight w:val="160"/>
        </w:trPr>
        <w:tc>
          <w:tcPr>
            <w:tcW w:w="20" w:type="dxa"/>
            <w:vAlign w:val="bottom"/>
          </w:tcPr>
          <w:p>
            <w:pPr>
              <w:spacing w:after="0"/>
              <w:rPr>
                <w:sz w:val="13"/>
                <w:szCs w:val="13"/>
                <w:color w:val="auto"/>
              </w:rPr>
            </w:pPr>
          </w:p>
        </w:tc>
        <w:tc>
          <w:tcPr>
            <w:tcW w:w="10340" w:type="dxa"/>
            <w:vAlign w:val="bottom"/>
            <w:gridSpan w:val="2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Fees and Expenses</w:t>
            </w: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79"/>
              </w:rPr>
              <w:t>8</w:t>
            </w:r>
          </w:p>
        </w:tc>
      </w:tr>
      <w:tr>
        <w:trPr>
          <w:trHeight w:val="34"/>
        </w:trPr>
        <w:tc>
          <w:tcPr>
            <w:tcW w:w="2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20" w:type="dxa"/>
            <w:vAlign w:val="bottom"/>
            <w:tcBorders>
              <w:right w:val="single" w:sz="8" w:color="CCEEFF"/>
            </w:tcBorders>
            <w:shd w:val="clear" w:color="auto" w:fill="0000EE"/>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r>
        <w:trPr>
          <w:trHeight w:val="147"/>
        </w:trPr>
        <w:tc>
          <w:tcPr>
            <w:tcW w:w="20" w:type="dxa"/>
            <w:vAlign w:val="bottom"/>
          </w:tcPr>
          <w:p>
            <w:pPr>
              <w:spacing w:after="0"/>
              <w:rPr>
                <w:sz w:val="12"/>
                <w:szCs w:val="12"/>
                <w:color w:val="auto"/>
              </w:rPr>
            </w:pPr>
          </w:p>
        </w:tc>
        <w:tc>
          <w:tcPr>
            <w:tcW w:w="10340" w:type="dxa"/>
            <w:vAlign w:val="bottom"/>
            <w:gridSpan w:val="22"/>
          </w:tcPr>
          <w:p>
            <w:pPr>
              <w:spacing w:after="0" w:line="147" w:lineRule="exact"/>
              <w:rPr>
                <w:sz w:val="20"/>
                <w:szCs w:val="20"/>
                <w:color w:val="auto"/>
              </w:rPr>
            </w:pPr>
            <w:r>
              <w:rPr>
                <w:rFonts w:ascii="Times New Roman" w:cs="Times New Roman" w:eastAsia="Times New Roman" w:hAnsi="Times New Roman"/>
                <w:sz w:val="15"/>
                <w:szCs w:val="15"/>
                <w:color w:val="0000EE"/>
              </w:rPr>
              <w:t>Financial Highlights</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color w:val="auto"/>
                <w:w w:val="93"/>
              </w:rPr>
              <w:t>11</w:t>
            </w:r>
          </w:p>
        </w:tc>
      </w:tr>
      <w:tr>
        <w:trPr>
          <w:trHeight w:val="160"/>
        </w:trPr>
        <w:tc>
          <w:tcPr>
            <w:tcW w:w="20" w:type="dxa"/>
            <w:vAlign w:val="bottom"/>
          </w:tcPr>
          <w:p>
            <w:pPr>
              <w:spacing w:after="0"/>
              <w:rPr>
                <w:sz w:val="13"/>
                <w:szCs w:val="13"/>
                <w:color w:val="auto"/>
              </w:rPr>
            </w:pPr>
          </w:p>
        </w:tc>
        <w:tc>
          <w:tcPr>
            <w:tcW w:w="1320" w:type="dxa"/>
            <w:vAlign w:val="bottom"/>
            <w:tcBorders>
              <w:top w:val="single" w:sz="8" w:color="0000EE"/>
              <w:right w:val="single" w:sz="8" w:color="CCEEFF"/>
            </w:tcBorders>
            <w:gridSpan w:val="5"/>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Risk Factors</w:t>
            </w:r>
          </w:p>
        </w:tc>
        <w:tc>
          <w:tcPr>
            <w:tcW w:w="9020" w:type="dxa"/>
            <w:vAlign w:val="bottom"/>
            <w:gridSpan w:val="17"/>
            <w:shd w:val="clear" w:color="auto" w:fill="CCEEFF"/>
          </w:tcPr>
          <w:p>
            <w:pPr>
              <w:spacing w:after="0"/>
              <w:rPr>
                <w:sz w:val="13"/>
                <w:szCs w:val="13"/>
                <w:color w:val="auto"/>
              </w:rPr>
            </w:pP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3"/>
              </w:rPr>
              <w:t>12</w:t>
            </w:r>
          </w:p>
        </w:tc>
      </w:tr>
      <w:tr>
        <w:trPr>
          <w:trHeight w:val="34"/>
        </w:trPr>
        <w:tc>
          <w:tcPr>
            <w:tcW w:w="2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80" w:type="dxa"/>
            <w:vAlign w:val="bottom"/>
            <w:tcBorders>
              <w:right w:val="single" w:sz="8" w:color="CCEEFF"/>
            </w:tcBorders>
            <w:shd w:val="clear" w:color="auto" w:fill="0000EE"/>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r>
        <w:trPr>
          <w:trHeight w:val="147"/>
        </w:trPr>
        <w:tc>
          <w:tcPr>
            <w:tcW w:w="20" w:type="dxa"/>
            <w:vAlign w:val="bottom"/>
          </w:tcPr>
          <w:p>
            <w:pPr>
              <w:spacing w:after="0"/>
              <w:rPr>
                <w:sz w:val="12"/>
                <w:szCs w:val="12"/>
                <w:color w:val="auto"/>
              </w:rPr>
            </w:pPr>
          </w:p>
        </w:tc>
        <w:tc>
          <w:tcPr>
            <w:tcW w:w="10340" w:type="dxa"/>
            <w:vAlign w:val="bottom"/>
            <w:gridSpan w:val="22"/>
          </w:tcPr>
          <w:p>
            <w:pPr>
              <w:spacing w:after="0" w:line="147" w:lineRule="exact"/>
              <w:rPr>
                <w:sz w:val="20"/>
                <w:szCs w:val="20"/>
                <w:color w:val="auto"/>
              </w:rPr>
            </w:pPr>
            <w:r>
              <w:rPr>
                <w:rFonts w:ascii="Times New Roman" w:cs="Times New Roman" w:eastAsia="Times New Roman" w:hAnsi="Times New Roman"/>
                <w:sz w:val="15"/>
                <w:szCs w:val="15"/>
                <w:color w:val="0000EE"/>
              </w:rPr>
              <w:t>Use of Proceeds</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color w:val="auto"/>
                <w:w w:val="93"/>
              </w:rPr>
              <w:t>13</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0340" w:type="dxa"/>
            <w:vAlign w:val="bottom"/>
            <w:gridSpan w:val="2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Special Note Regarding Forward-Looking Statements</w:t>
            </w: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3"/>
              </w:rPr>
              <w:t>14</w:t>
            </w:r>
          </w:p>
        </w:tc>
      </w:tr>
      <w:tr>
        <w:trPr>
          <w:trHeight w:val="147"/>
        </w:trPr>
        <w:tc>
          <w:tcPr>
            <w:tcW w:w="20" w:type="dxa"/>
            <w:vAlign w:val="bottom"/>
          </w:tcPr>
          <w:p>
            <w:pPr>
              <w:spacing w:after="0"/>
              <w:rPr>
                <w:sz w:val="12"/>
                <w:szCs w:val="12"/>
                <w:color w:val="auto"/>
              </w:rPr>
            </w:pPr>
          </w:p>
        </w:tc>
        <w:tc>
          <w:tcPr>
            <w:tcW w:w="2920" w:type="dxa"/>
            <w:vAlign w:val="bottom"/>
            <w:tcBorders>
              <w:top w:val="single" w:sz="8" w:color="0000EE"/>
              <w:bottom w:val="single" w:sz="8" w:color="0000EE"/>
            </w:tcBorders>
            <w:gridSpan w:val="17"/>
          </w:tcPr>
          <w:p>
            <w:pPr>
              <w:spacing w:after="0" w:line="147" w:lineRule="exact"/>
              <w:rPr>
                <w:sz w:val="20"/>
                <w:szCs w:val="20"/>
                <w:color w:val="auto"/>
              </w:rPr>
            </w:pPr>
            <w:r>
              <w:rPr>
                <w:rFonts w:ascii="Times New Roman" w:cs="Times New Roman" w:eastAsia="Times New Roman" w:hAnsi="Times New Roman"/>
                <w:sz w:val="15"/>
                <w:szCs w:val="15"/>
                <w:color w:val="0000EE"/>
                <w:w w:val="98"/>
              </w:rPr>
              <w:t>Price Range of Common Stock and Distributions</w:t>
            </w:r>
          </w:p>
        </w:tc>
        <w:tc>
          <w:tcPr>
            <w:tcW w:w="280" w:type="dxa"/>
            <w:vAlign w:val="bottom"/>
            <w:tcBorders>
              <w:top w:val="single" w:sz="8" w:color="0000EE"/>
            </w:tcBorders>
            <w:gridSpan w:val="2"/>
          </w:tcPr>
          <w:p>
            <w:pPr>
              <w:spacing w:after="0"/>
              <w:rPr>
                <w:sz w:val="12"/>
                <w:szCs w:val="12"/>
                <w:color w:val="auto"/>
              </w:rPr>
            </w:pPr>
          </w:p>
        </w:tc>
        <w:tc>
          <w:tcPr>
            <w:tcW w:w="7140" w:type="dxa"/>
            <w:vAlign w:val="bottom"/>
            <w:tcBorders>
              <w:top w:val="single" w:sz="8" w:color="CCEEFF"/>
            </w:tcBorders>
            <w:gridSpan w:val="3"/>
          </w:tcPr>
          <w:p>
            <w:pPr>
              <w:spacing w:after="0"/>
              <w:rPr>
                <w:sz w:val="12"/>
                <w:szCs w:val="12"/>
                <w:color w:val="auto"/>
              </w:rPr>
            </w:pPr>
          </w:p>
        </w:tc>
        <w:tc>
          <w:tcPr>
            <w:tcW w:w="900" w:type="dxa"/>
            <w:vAlign w:val="bottom"/>
            <w:tcBorders>
              <w:top w:val="single" w:sz="8" w:color="CCEEFF"/>
            </w:tcBorders>
          </w:tcPr>
          <w:p>
            <w:pPr>
              <w:jc w:val="center"/>
              <w:spacing w:after="0" w:line="147" w:lineRule="exact"/>
              <w:rPr>
                <w:sz w:val="20"/>
                <w:szCs w:val="20"/>
                <w:color w:val="auto"/>
              </w:rPr>
            </w:pPr>
            <w:r>
              <w:rPr>
                <w:rFonts w:ascii="Times New Roman" w:cs="Times New Roman" w:eastAsia="Times New Roman" w:hAnsi="Times New Roman"/>
                <w:sz w:val="15"/>
                <w:szCs w:val="15"/>
                <w:color w:val="auto"/>
                <w:w w:val="93"/>
              </w:rPr>
              <w:t>16</w:t>
            </w:r>
          </w:p>
        </w:tc>
      </w:tr>
      <w:tr>
        <w:trPr>
          <w:trHeight w:val="174"/>
        </w:trPr>
        <w:tc>
          <w:tcPr>
            <w:tcW w:w="20" w:type="dxa"/>
            <w:vAlign w:val="bottom"/>
          </w:tcPr>
          <w:p>
            <w:pPr>
              <w:spacing w:after="0"/>
              <w:rPr>
                <w:sz w:val="15"/>
                <w:szCs w:val="15"/>
                <w:color w:val="auto"/>
              </w:rPr>
            </w:pPr>
          </w:p>
        </w:tc>
        <w:tc>
          <w:tcPr>
            <w:tcW w:w="1700" w:type="dxa"/>
            <w:vAlign w:val="bottom"/>
            <w:tcBorders>
              <w:bottom w:val="single" w:sz="8" w:color="0000EE"/>
            </w:tcBorders>
            <w:gridSpan w:val="7"/>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7"/>
              </w:rPr>
              <w:t>Dividend Reinvestment Plan</w:t>
            </w:r>
          </w:p>
        </w:tc>
        <w:tc>
          <w:tcPr>
            <w:tcW w:w="8640" w:type="dxa"/>
            <w:vAlign w:val="bottom"/>
            <w:tcBorders>
              <w:bottom w:val="single" w:sz="8" w:color="CCEEFF"/>
            </w:tcBorders>
            <w:gridSpan w:val="15"/>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3"/>
              </w:rPr>
              <w:t>17</w:t>
            </w:r>
          </w:p>
        </w:tc>
      </w:tr>
      <w:tr>
        <w:trPr>
          <w:trHeight w:val="147"/>
        </w:trPr>
        <w:tc>
          <w:tcPr>
            <w:tcW w:w="20" w:type="dxa"/>
            <w:vAlign w:val="bottom"/>
          </w:tcPr>
          <w:p>
            <w:pPr>
              <w:spacing w:after="0"/>
              <w:rPr>
                <w:sz w:val="12"/>
                <w:szCs w:val="12"/>
                <w:color w:val="auto"/>
              </w:rPr>
            </w:pPr>
          </w:p>
        </w:tc>
        <w:tc>
          <w:tcPr>
            <w:tcW w:w="10340" w:type="dxa"/>
            <w:vAlign w:val="bottom"/>
            <w:gridSpan w:val="22"/>
          </w:tcPr>
          <w:p>
            <w:pPr>
              <w:spacing w:after="0" w:line="147" w:lineRule="exact"/>
              <w:rPr>
                <w:sz w:val="20"/>
                <w:szCs w:val="20"/>
                <w:color w:val="auto"/>
              </w:rPr>
            </w:pPr>
            <w:r>
              <w:rPr>
                <w:rFonts w:ascii="Times New Roman" w:cs="Times New Roman" w:eastAsia="Times New Roman" w:hAnsi="Times New Roman"/>
                <w:sz w:val="15"/>
                <w:szCs w:val="15"/>
                <w:color w:val="0000EE"/>
              </w:rPr>
              <w:t>Management’s Discussion and Analysis of Financial Condition and Results of Operations</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color w:val="auto"/>
                <w:w w:val="93"/>
              </w:rPr>
              <w:t>18</w:t>
            </w:r>
          </w:p>
        </w:tc>
      </w:tr>
      <w:tr>
        <w:trPr>
          <w:trHeight w:val="174"/>
        </w:trPr>
        <w:tc>
          <w:tcPr>
            <w:tcW w:w="20" w:type="dxa"/>
            <w:vAlign w:val="bottom"/>
          </w:tcPr>
          <w:p>
            <w:pPr>
              <w:spacing w:after="0"/>
              <w:rPr>
                <w:sz w:val="15"/>
                <w:szCs w:val="15"/>
                <w:color w:val="auto"/>
              </w:rPr>
            </w:pPr>
          </w:p>
        </w:tc>
        <w:tc>
          <w:tcPr>
            <w:tcW w:w="1000" w:type="dxa"/>
            <w:vAlign w:val="bottom"/>
            <w:tcBorders>
              <w:top w:val="single" w:sz="8" w:color="0000EE"/>
              <w:bottom w:val="single" w:sz="8" w:color="0000EE"/>
            </w:tcBorders>
            <w:gridSpan w:val="4"/>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5"/>
              </w:rPr>
              <w:t>Senior Securities</w:t>
            </w:r>
          </w:p>
        </w:tc>
        <w:tc>
          <w:tcPr>
            <w:tcW w:w="4360" w:type="dxa"/>
            <w:vAlign w:val="bottom"/>
            <w:tcBorders>
              <w:top w:val="single" w:sz="8" w:color="0000EE"/>
              <w:bottom w:val="single" w:sz="8" w:color="CCEEFF"/>
            </w:tcBorders>
            <w:gridSpan w:val="17"/>
            <w:shd w:val="clear" w:color="auto" w:fill="CCEEFF"/>
          </w:tcPr>
          <w:p>
            <w:pPr>
              <w:spacing w:after="0"/>
              <w:rPr>
                <w:sz w:val="15"/>
                <w:szCs w:val="15"/>
                <w:color w:val="auto"/>
              </w:rPr>
            </w:pPr>
          </w:p>
        </w:tc>
        <w:tc>
          <w:tcPr>
            <w:tcW w:w="49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3"/>
              </w:rPr>
              <w:t>19</w:t>
            </w:r>
          </w:p>
        </w:tc>
      </w:tr>
      <w:tr>
        <w:trPr>
          <w:trHeight w:val="147"/>
        </w:trPr>
        <w:tc>
          <w:tcPr>
            <w:tcW w:w="20" w:type="dxa"/>
            <w:vAlign w:val="bottom"/>
          </w:tcPr>
          <w:p>
            <w:pPr>
              <w:spacing w:after="0"/>
              <w:rPr>
                <w:sz w:val="12"/>
                <w:szCs w:val="12"/>
                <w:color w:val="auto"/>
              </w:rPr>
            </w:pPr>
          </w:p>
        </w:tc>
        <w:tc>
          <w:tcPr>
            <w:tcW w:w="10340" w:type="dxa"/>
            <w:vAlign w:val="bottom"/>
            <w:gridSpan w:val="22"/>
          </w:tcPr>
          <w:p>
            <w:pPr>
              <w:spacing w:after="0" w:line="147" w:lineRule="exact"/>
              <w:rPr>
                <w:sz w:val="20"/>
                <w:szCs w:val="20"/>
                <w:color w:val="auto"/>
              </w:rPr>
            </w:pPr>
            <w:r>
              <w:rPr>
                <w:rFonts w:ascii="Times New Roman" w:cs="Times New Roman" w:eastAsia="Times New Roman" w:hAnsi="Times New Roman"/>
                <w:sz w:val="15"/>
                <w:szCs w:val="15"/>
                <w:color w:val="0000EE"/>
              </w:rPr>
              <w:t>The Company</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color w:val="auto"/>
                <w:w w:val="93"/>
              </w:rPr>
              <w:t>20</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Borders>
              <w:bottom w:val="single" w:sz="8" w:color="0000EE"/>
              <w:right w:val="single" w:sz="8" w:color="CCEEFF"/>
            </w:tcBorders>
            <w:gridSpan w:val="5"/>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Portfolio Companies</w:t>
            </w:r>
          </w:p>
        </w:tc>
        <w:tc>
          <w:tcPr>
            <w:tcW w:w="9020" w:type="dxa"/>
            <w:vAlign w:val="bottom"/>
            <w:tcBorders>
              <w:bottom w:val="single" w:sz="8" w:color="CCEEFF"/>
            </w:tcBorders>
            <w:gridSpan w:val="17"/>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3"/>
              </w:rPr>
              <w:t>21</w:t>
            </w:r>
          </w:p>
        </w:tc>
      </w:tr>
      <w:tr>
        <w:trPr>
          <w:trHeight w:val="147"/>
        </w:trPr>
        <w:tc>
          <w:tcPr>
            <w:tcW w:w="20" w:type="dxa"/>
            <w:vAlign w:val="bottom"/>
          </w:tcPr>
          <w:p>
            <w:pPr>
              <w:spacing w:after="0"/>
              <w:rPr>
                <w:sz w:val="12"/>
                <w:szCs w:val="12"/>
                <w:color w:val="auto"/>
              </w:rPr>
            </w:pPr>
          </w:p>
        </w:tc>
        <w:tc>
          <w:tcPr>
            <w:tcW w:w="800" w:type="dxa"/>
            <w:vAlign w:val="bottom"/>
            <w:tcBorders>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5"/>
                <w:szCs w:val="15"/>
                <w:color w:val="0000EE"/>
                <w:w w:val="96"/>
              </w:rPr>
              <w:t>Management</w:t>
            </w:r>
          </w:p>
        </w:tc>
        <w:tc>
          <w:tcPr>
            <w:tcW w:w="9540" w:type="dxa"/>
            <w:vAlign w:val="bottom"/>
            <w:gridSpan w:val="20"/>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color w:val="auto"/>
                <w:w w:val="93"/>
              </w:rPr>
              <w:t>34</w:t>
            </w:r>
          </w:p>
        </w:tc>
      </w:tr>
      <w:tr>
        <w:trPr>
          <w:trHeight w:val="174"/>
        </w:trPr>
        <w:tc>
          <w:tcPr>
            <w:tcW w:w="20" w:type="dxa"/>
            <w:vAlign w:val="bottom"/>
          </w:tcPr>
          <w:p>
            <w:pPr>
              <w:spacing w:after="0"/>
              <w:rPr>
                <w:sz w:val="15"/>
                <w:szCs w:val="15"/>
                <w:color w:val="auto"/>
              </w:rPr>
            </w:pPr>
          </w:p>
        </w:tc>
        <w:tc>
          <w:tcPr>
            <w:tcW w:w="2160" w:type="dxa"/>
            <w:vAlign w:val="bottom"/>
            <w:tcBorders>
              <w:bottom w:val="single" w:sz="8" w:color="0000EE"/>
            </w:tcBorders>
            <w:gridSpan w:val="9"/>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8"/>
              </w:rPr>
              <w:t>Management and Other Agreements</w:t>
            </w:r>
          </w:p>
        </w:tc>
        <w:tc>
          <w:tcPr>
            <w:tcW w:w="8180" w:type="dxa"/>
            <w:vAlign w:val="bottom"/>
            <w:tcBorders>
              <w:bottom w:val="single" w:sz="8" w:color="CCEEFF"/>
            </w:tcBorders>
            <w:gridSpan w:val="13"/>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3"/>
              </w:rPr>
              <w:t>35</w:t>
            </w:r>
          </w:p>
        </w:tc>
      </w:tr>
      <w:tr>
        <w:trPr>
          <w:trHeight w:val="147"/>
        </w:trPr>
        <w:tc>
          <w:tcPr>
            <w:tcW w:w="20" w:type="dxa"/>
            <w:vAlign w:val="bottom"/>
          </w:tcPr>
          <w:p>
            <w:pPr>
              <w:spacing w:after="0"/>
              <w:rPr>
                <w:sz w:val="12"/>
                <w:szCs w:val="12"/>
                <w:color w:val="auto"/>
              </w:rPr>
            </w:pPr>
          </w:p>
        </w:tc>
        <w:tc>
          <w:tcPr>
            <w:tcW w:w="10340" w:type="dxa"/>
            <w:vAlign w:val="bottom"/>
            <w:gridSpan w:val="22"/>
          </w:tcPr>
          <w:p>
            <w:pPr>
              <w:spacing w:after="0" w:line="147" w:lineRule="exact"/>
              <w:rPr>
                <w:sz w:val="20"/>
                <w:szCs w:val="20"/>
                <w:color w:val="auto"/>
              </w:rPr>
            </w:pPr>
            <w:r>
              <w:rPr>
                <w:rFonts w:ascii="Times New Roman" w:cs="Times New Roman" w:eastAsia="Times New Roman" w:hAnsi="Times New Roman"/>
                <w:sz w:val="15"/>
                <w:szCs w:val="15"/>
                <w:color w:val="0000EE"/>
              </w:rPr>
              <w:t>Portfolio Management</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color w:val="auto"/>
                <w:w w:val="93"/>
              </w:rPr>
              <w:t>36</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0340" w:type="dxa"/>
            <w:vAlign w:val="bottom"/>
            <w:gridSpan w:val="2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Certain Relationships and Related Transactions</w:t>
            </w: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3"/>
              </w:rPr>
              <w:t>37</w:t>
            </w:r>
          </w:p>
        </w:tc>
      </w:tr>
      <w:tr>
        <w:trPr>
          <w:trHeight w:val="147"/>
        </w:trPr>
        <w:tc>
          <w:tcPr>
            <w:tcW w:w="20" w:type="dxa"/>
            <w:vAlign w:val="bottom"/>
          </w:tcPr>
          <w:p>
            <w:pPr>
              <w:spacing w:after="0"/>
              <w:rPr>
                <w:sz w:val="12"/>
                <w:szCs w:val="12"/>
                <w:color w:val="auto"/>
              </w:rPr>
            </w:pPr>
          </w:p>
        </w:tc>
        <w:tc>
          <w:tcPr>
            <w:tcW w:w="2600" w:type="dxa"/>
            <w:vAlign w:val="bottom"/>
            <w:tcBorders>
              <w:top w:val="single" w:sz="8" w:color="0000EE"/>
              <w:bottom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5"/>
                <w:szCs w:val="15"/>
                <w:color w:val="0000EE"/>
                <w:w w:val="98"/>
              </w:rPr>
              <w:t>Control Persons and Principal Stockholders</w:t>
            </w:r>
          </w:p>
        </w:tc>
        <w:tc>
          <w:tcPr>
            <w:tcW w:w="220" w:type="dxa"/>
            <w:vAlign w:val="bottom"/>
            <w:tcBorders>
              <w:top w:val="single" w:sz="8" w:color="0000EE"/>
            </w:tcBorders>
          </w:tcPr>
          <w:p>
            <w:pPr>
              <w:spacing w:after="0"/>
              <w:rPr>
                <w:sz w:val="12"/>
                <w:szCs w:val="12"/>
                <w:color w:val="auto"/>
              </w:rPr>
            </w:pPr>
          </w:p>
        </w:tc>
        <w:tc>
          <w:tcPr>
            <w:tcW w:w="7520" w:type="dxa"/>
            <w:vAlign w:val="bottom"/>
            <w:tcBorders>
              <w:top w:val="single" w:sz="8" w:color="CCEEFF"/>
            </w:tcBorders>
            <w:gridSpan w:val="9"/>
          </w:tcPr>
          <w:p>
            <w:pPr>
              <w:spacing w:after="0"/>
              <w:rPr>
                <w:sz w:val="12"/>
                <w:szCs w:val="12"/>
                <w:color w:val="auto"/>
              </w:rPr>
            </w:pPr>
          </w:p>
        </w:tc>
        <w:tc>
          <w:tcPr>
            <w:tcW w:w="900" w:type="dxa"/>
            <w:vAlign w:val="bottom"/>
            <w:tcBorders>
              <w:top w:val="single" w:sz="8" w:color="CCEEFF"/>
            </w:tcBorders>
          </w:tcPr>
          <w:p>
            <w:pPr>
              <w:jc w:val="center"/>
              <w:spacing w:after="0" w:line="147" w:lineRule="exact"/>
              <w:rPr>
                <w:sz w:val="20"/>
                <w:szCs w:val="20"/>
                <w:color w:val="auto"/>
              </w:rPr>
            </w:pPr>
            <w:r>
              <w:rPr>
                <w:rFonts w:ascii="Times New Roman" w:cs="Times New Roman" w:eastAsia="Times New Roman" w:hAnsi="Times New Roman"/>
                <w:sz w:val="15"/>
                <w:szCs w:val="15"/>
                <w:color w:val="auto"/>
                <w:w w:val="93"/>
              </w:rPr>
              <w:t>38</w:t>
            </w:r>
          </w:p>
        </w:tc>
      </w:tr>
      <w:tr>
        <w:trPr>
          <w:trHeight w:val="160"/>
        </w:trPr>
        <w:tc>
          <w:tcPr>
            <w:tcW w:w="20" w:type="dxa"/>
            <w:vAlign w:val="bottom"/>
          </w:tcPr>
          <w:p>
            <w:pPr>
              <w:spacing w:after="0"/>
              <w:rPr>
                <w:sz w:val="13"/>
                <w:szCs w:val="13"/>
                <w:color w:val="auto"/>
              </w:rPr>
            </w:pPr>
          </w:p>
        </w:tc>
        <w:tc>
          <w:tcPr>
            <w:tcW w:w="10340" w:type="dxa"/>
            <w:vAlign w:val="bottom"/>
            <w:gridSpan w:val="2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Regulation</w:t>
            </w: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3"/>
              </w:rPr>
              <w:t>39</w:t>
            </w:r>
          </w:p>
        </w:tc>
      </w:tr>
      <w:tr>
        <w:trPr>
          <w:trHeight w:val="34"/>
        </w:trPr>
        <w:tc>
          <w:tcPr>
            <w:tcW w:w="2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r>
        <w:trPr>
          <w:trHeight w:val="147"/>
        </w:trPr>
        <w:tc>
          <w:tcPr>
            <w:tcW w:w="20" w:type="dxa"/>
            <w:vAlign w:val="bottom"/>
          </w:tcPr>
          <w:p>
            <w:pPr>
              <w:spacing w:after="0"/>
              <w:rPr>
                <w:sz w:val="12"/>
                <w:szCs w:val="12"/>
                <w:color w:val="auto"/>
              </w:rPr>
            </w:pPr>
          </w:p>
        </w:tc>
        <w:tc>
          <w:tcPr>
            <w:tcW w:w="2900" w:type="dxa"/>
            <w:vAlign w:val="bottom"/>
            <w:tcBorders>
              <w:bottom w:val="single" w:sz="8" w:color="0000EE"/>
            </w:tcBorders>
            <w:gridSpan w:val="16"/>
          </w:tcPr>
          <w:p>
            <w:pPr>
              <w:spacing w:after="0" w:line="147" w:lineRule="exact"/>
              <w:rPr>
                <w:sz w:val="20"/>
                <w:szCs w:val="20"/>
                <w:color w:val="auto"/>
              </w:rPr>
            </w:pPr>
            <w:r>
              <w:rPr>
                <w:rFonts w:ascii="Times New Roman" w:cs="Times New Roman" w:eastAsia="Times New Roman" w:hAnsi="Times New Roman"/>
                <w:sz w:val="15"/>
                <w:szCs w:val="15"/>
                <w:color w:val="0000EE"/>
                <w:w w:val="98"/>
              </w:rPr>
              <w:t>Certain U.S. Federal Income Tax Considerations</w:t>
            </w:r>
          </w:p>
        </w:tc>
        <w:tc>
          <w:tcPr>
            <w:tcW w:w="7440" w:type="dxa"/>
            <w:vAlign w:val="bottom"/>
            <w:gridSpan w:val="6"/>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color w:val="auto"/>
                <w:w w:val="93"/>
              </w:rPr>
              <w:t>40</w:t>
            </w:r>
          </w:p>
        </w:tc>
      </w:tr>
      <w:tr>
        <w:trPr>
          <w:trHeight w:val="160"/>
        </w:trPr>
        <w:tc>
          <w:tcPr>
            <w:tcW w:w="20" w:type="dxa"/>
            <w:vAlign w:val="bottom"/>
          </w:tcPr>
          <w:p>
            <w:pPr>
              <w:spacing w:after="0"/>
              <w:rPr>
                <w:sz w:val="13"/>
                <w:szCs w:val="13"/>
                <w:color w:val="auto"/>
              </w:rPr>
            </w:pPr>
          </w:p>
        </w:tc>
        <w:tc>
          <w:tcPr>
            <w:tcW w:w="10340" w:type="dxa"/>
            <w:vAlign w:val="bottom"/>
            <w:gridSpan w:val="2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Determination of Net Asset Value</w:t>
            </w: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3"/>
              </w:rPr>
              <w:t>47</w:t>
            </w:r>
          </w:p>
        </w:tc>
      </w:tr>
      <w:tr>
        <w:trPr>
          <w:trHeight w:val="34"/>
        </w:trPr>
        <w:tc>
          <w:tcPr>
            <w:tcW w:w="2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r>
        <w:trPr>
          <w:trHeight w:val="147"/>
        </w:trPr>
        <w:tc>
          <w:tcPr>
            <w:tcW w:w="20" w:type="dxa"/>
            <w:vAlign w:val="bottom"/>
          </w:tcPr>
          <w:p>
            <w:pPr>
              <w:spacing w:after="0"/>
              <w:rPr>
                <w:sz w:val="12"/>
                <w:szCs w:val="12"/>
                <w:color w:val="auto"/>
              </w:rPr>
            </w:pPr>
          </w:p>
        </w:tc>
        <w:tc>
          <w:tcPr>
            <w:tcW w:w="10340" w:type="dxa"/>
            <w:vAlign w:val="bottom"/>
            <w:gridSpan w:val="22"/>
          </w:tcPr>
          <w:p>
            <w:pPr>
              <w:spacing w:after="0" w:line="147" w:lineRule="exact"/>
              <w:rPr>
                <w:sz w:val="20"/>
                <w:szCs w:val="20"/>
                <w:color w:val="auto"/>
              </w:rPr>
            </w:pPr>
            <w:r>
              <w:rPr>
                <w:rFonts w:ascii="Times New Roman" w:cs="Times New Roman" w:eastAsia="Times New Roman" w:hAnsi="Times New Roman"/>
                <w:sz w:val="15"/>
                <w:szCs w:val="15"/>
                <w:color w:val="0000EE"/>
              </w:rPr>
              <w:t>Sales of Common Stock Below Net Asset Value</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color w:val="auto"/>
                <w:w w:val="93"/>
              </w:rPr>
              <w:t>50</w:t>
            </w:r>
          </w:p>
        </w:tc>
      </w:tr>
      <w:tr>
        <w:trPr>
          <w:trHeight w:val="174"/>
        </w:trPr>
        <w:tc>
          <w:tcPr>
            <w:tcW w:w="20" w:type="dxa"/>
            <w:vAlign w:val="bottom"/>
          </w:tcPr>
          <w:p>
            <w:pPr>
              <w:spacing w:after="0"/>
              <w:rPr>
                <w:sz w:val="15"/>
                <w:szCs w:val="15"/>
                <w:color w:val="auto"/>
              </w:rPr>
            </w:pPr>
          </w:p>
        </w:tc>
        <w:tc>
          <w:tcPr>
            <w:tcW w:w="2060" w:type="dxa"/>
            <w:vAlign w:val="bottom"/>
            <w:tcBorders>
              <w:top w:val="single" w:sz="8" w:color="0000EE"/>
              <w:bottom w:val="single" w:sz="8" w:color="0000EE"/>
              <w:right w:val="single" w:sz="8" w:color="CCEEFF"/>
            </w:tcBorders>
            <w:gridSpan w:val="8"/>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Description of Our Capital Stock</w:t>
            </w:r>
          </w:p>
        </w:tc>
        <w:tc>
          <w:tcPr>
            <w:tcW w:w="800" w:type="dxa"/>
            <w:vAlign w:val="bottom"/>
            <w:tcBorders>
              <w:top w:val="single" w:sz="8" w:color="0000EE"/>
              <w:bottom w:val="single" w:sz="8" w:color="CCEEFF"/>
            </w:tcBorders>
            <w:gridSpan w:val="6"/>
            <w:shd w:val="clear" w:color="auto" w:fill="CCEEFF"/>
          </w:tcPr>
          <w:p>
            <w:pPr>
              <w:spacing w:after="0"/>
              <w:rPr>
                <w:sz w:val="15"/>
                <w:szCs w:val="15"/>
                <w:color w:val="auto"/>
              </w:rPr>
            </w:pPr>
          </w:p>
        </w:tc>
        <w:tc>
          <w:tcPr>
            <w:tcW w:w="7480" w:type="dxa"/>
            <w:vAlign w:val="bottom"/>
            <w:tcBorders>
              <w:bottom w:val="single" w:sz="8" w:color="CCEEFF"/>
            </w:tcBorders>
            <w:gridSpan w:val="8"/>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3"/>
              </w:rPr>
              <w:t>54</w:t>
            </w:r>
          </w:p>
        </w:tc>
      </w:tr>
      <w:tr>
        <w:trPr>
          <w:trHeight w:val="147"/>
        </w:trPr>
        <w:tc>
          <w:tcPr>
            <w:tcW w:w="20" w:type="dxa"/>
            <w:vAlign w:val="bottom"/>
          </w:tcPr>
          <w:p>
            <w:pPr>
              <w:spacing w:after="0"/>
              <w:rPr>
                <w:sz w:val="12"/>
                <w:szCs w:val="12"/>
                <w:color w:val="auto"/>
              </w:rPr>
            </w:pPr>
          </w:p>
        </w:tc>
        <w:tc>
          <w:tcPr>
            <w:tcW w:w="2340" w:type="dxa"/>
            <w:vAlign w:val="bottom"/>
            <w:tcBorders>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5"/>
                <w:szCs w:val="15"/>
                <w:color w:val="0000EE"/>
                <w:w w:val="98"/>
              </w:rPr>
              <w:t>Description of Our Subscription Rights</w:t>
            </w:r>
          </w:p>
        </w:tc>
        <w:tc>
          <w:tcPr>
            <w:tcW w:w="8000" w:type="dxa"/>
            <w:vAlign w:val="bottom"/>
            <w:gridSpan w:val="12"/>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color w:val="auto"/>
                <w:w w:val="93"/>
              </w:rPr>
              <w:t>60</w:t>
            </w:r>
          </w:p>
        </w:tc>
      </w:tr>
      <w:tr>
        <w:trPr>
          <w:trHeight w:val="174"/>
        </w:trPr>
        <w:tc>
          <w:tcPr>
            <w:tcW w:w="20" w:type="dxa"/>
            <w:vAlign w:val="bottom"/>
          </w:tcPr>
          <w:p>
            <w:pPr>
              <w:spacing w:after="0"/>
              <w:rPr>
                <w:sz w:val="15"/>
                <w:szCs w:val="15"/>
                <w:color w:val="auto"/>
              </w:rPr>
            </w:pPr>
          </w:p>
        </w:tc>
        <w:tc>
          <w:tcPr>
            <w:tcW w:w="10340" w:type="dxa"/>
            <w:vAlign w:val="bottom"/>
            <w:gridSpan w:val="2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Description of Our Debt Securities</w:t>
            </w: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3"/>
              </w:rPr>
              <w:t>61</w:t>
            </w:r>
          </w:p>
        </w:tc>
      </w:tr>
      <w:tr>
        <w:trPr>
          <w:trHeight w:val="147"/>
        </w:trPr>
        <w:tc>
          <w:tcPr>
            <w:tcW w:w="20" w:type="dxa"/>
            <w:vAlign w:val="bottom"/>
          </w:tcPr>
          <w:p>
            <w:pPr>
              <w:spacing w:after="0"/>
              <w:rPr>
                <w:sz w:val="12"/>
                <w:szCs w:val="12"/>
                <w:color w:val="auto"/>
              </w:rPr>
            </w:pPr>
          </w:p>
        </w:tc>
        <w:tc>
          <w:tcPr>
            <w:tcW w:w="2060" w:type="dxa"/>
            <w:vAlign w:val="bottom"/>
            <w:tcBorders>
              <w:top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5"/>
                <w:szCs w:val="15"/>
                <w:color w:val="0000EE"/>
              </w:rPr>
              <w:t>Description of Our Warrants</w:t>
            </w:r>
          </w:p>
        </w:tc>
        <w:tc>
          <w:tcPr>
            <w:tcW w:w="8280" w:type="dxa"/>
            <w:vAlign w:val="bottom"/>
            <w:tcBorders>
              <w:top w:val="single" w:sz="8" w:color="CCEEFF"/>
            </w:tcBorders>
            <w:gridSpan w:val="14"/>
          </w:tcPr>
          <w:p>
            <w:pPr>
              <w:spacing w:after="0"/>
              <w:rPr>
                <w:sz w:val="12"/>
                <w:szCs w:val="12"/>
                <w:color w:val="auto"/>
              </w:rPr>
            </w:pPr>
          </w:p>
        </w:tc>
        <w:tc>
          <w:tcPr>
            <w:tcW w:w="900" w:type="dxa"/>
            <w:vAlign w:val="bottom"/>
            <w:tcBorders>
              <w:top w:val="single" w:sz="8" w:color="CCEEFF"/>
            </w:tcBorders>
          </w:tcPr>
          <w:p>
            <w:pPr>
              <w:jc w:val="center"/>
              <w:spacing w:after="0" w:line="147" w:lineRule="exact"/>
              <w:rPr>
                <w:sz w:val="20"/>
                <w:szCs w:val="20"/>
                <w:color w:val="auto"/>
              </w:rPr>
            </w:pPr>
            <w:r>
              <w:rPr>
                <w:rFonts w:ascii="Times New Roman" w:cs="Times New Roman" w:eastAsia="Times New Roman" w:hAnsi="Times New Roman"/>
                <w:sz w:val="15"/>
                <w:szCs w:val="15"/>
                <w:color w:val="auto"/>
                <w:w w:val="93"/>
              </w:rPr>
              <w:t>74</w:t>
            </w:r>
          </w:p>
        </w:tc>
      </w:tr>
      <w:tr>
        <w:trPr>
          <w:trHeight w:val="160"/>
        </w:trPr>
        <w:tc>
          <w:tcPr>
            <w:tcW w:w="20" w:type="dxa"/>
            <w:vAlign w:val="bottom"/>
          </w:tcPr>
          <w:p>
            <w:pPr>
              <w:spacing w:after="0"/>
              <w:rPr>
                <w:sz w:val="13"/>
                <w:szCs w:val="13"/>
                <w:color w:val="auto"/>
              </w:rPr>
            </w:pPr>
          </w:p>
        </w:tc>
        <w:tc>
          <w:tcPr>
            <w:tcW w:w="1680" w:type="dxa"/>
            <w:vAlign w:val="bottom"/>
            <w:tcBorders>
              <w:top w:val="single" w:sz="8" w:color="0000EE"/>
            </w:tcBorders>
            <w:gridSpan w:val="6"/>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Plan of Distribution</w:t>
            </w:r>
          </w:p>
        </w:tc>
        <w:tc>
          <w:tcPr>
            <w:tcW w:w="8660" w:type="dxa"/>
            <w:vAlign w:val="bottom"/>
            <w:gridSpan w:val="16"/>
            <w:shd w:val="clear" w:color="auto" w:fill="CCEEFF"/>
          </w:tcPr>
          <w:p>
            <w:pPr>
              <w:spacing w:after="0"/>
              <w:rPr>
                <w:sz w:val="13"/>
                <w:szCs w:val="13"/>
                <w:color w:val="auto"/>
              </w:rPr>
            </w:pP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3"/>
              </w:rPr>
              <w:t>76</w:t>
            </w:r>
          </w:p>
        </w:tc>
      </w:tr>
      <w:tr>
        <w:trPr>
          <w:trHeight w:val="34"/>
        </w:trPr>
        <w:tc>
          <w:tcPr>
            <w:tcW w:w="2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r>
        <w:trPr>
          <w:trHeight w:val="147"/>
        </w:trPr>
        <w:tc>
          <w:tcPr>
            <w:tcW w:w="20" w:type="dxa"/>
            <w:vAlign w:val="bottom"/>
          </w:tcPr>
          <w:p>
            <w:pPr>
              <w:spacing w:after="0"/>
              <w:rPr>
                <w:sz w:val="12"/>
                <w:szCs w:val="12"/>
                <w:color w:val="auto"/>
              </w:rPr>
            </w:pPr>
          </w:p>
        </w:tc>
        <w:tc>
          <w:tcPr>
            <w:tcW w:w="10340" w:type="dxa"/>
            <w:vAlign w:val="bottom"/>
            <w:gridSpan w:val="22"/>
          </w:tcPr>
          <w:p>
            <w:pPr>
              <w:spacing w:after="0" w:line="147" w:lineRule="exact"/>
              <w:rPr>
                <w:sz w:val="20"/>
                <w:szCs w:val="20"/>
                <w:color w:val="auto"/>
              </w:rPr>
            </w:pPr>
            <w:r>
              <w:rPr>
                <w:rFonts w:ascii="Times New Roman" w:cs="Times New Roman" w:eastAsia="Times New Roman" w:hAnsi="Times New Roman"/>
                <w:sz w:val="15"/>
                <w:szCs w:val="15"/>
                <w:color w:val="0000EE"/>
              </w:rPr>
              <w:t>Brokerage Allocation and Other Practices</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color w:val="auto"/>
                <w:w w:val="93"/>
              </w:rPr>
              <w:t>78</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Borders>
              <w:bottom w:val="single" w:sz="8" w:color="0000EE"/>
            </w:tcBorders>
            <w:gridSpan w:val="20"/>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8"/>
              </w:rPr>
              <w:t>Custodian, Transfer and Dividend Paying Agent and Registrar</w:t>
            </w:r>
          </w:p>
        </w:tc>
        <w:tc>
          <w:tcPr>
            <w:tcW w:w="662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3"/>
              </w:rPr>
              <w:t>79</w:t>
            </w:r>
          </w:p>
        </w:tc>
      </w:tr>
      <w:tr>
        <w:trPr>
          <w:trHeight w:val="147"/>
        </w:trPr>
        <w:tc>
          <w:tcPr>
            <w:tcW w:w="20" w:type="dxa"/>
            <w:vAlign w:val="bottom"/>
          </w:tcPr>
          <w:p>
            <w:pPr>
              <w:spacing w:after="0"/>
              <w:rPr>
                <w:sz w:val="12"/>
                <w:szCs w:val="12"/>
                <w:color w:val="auto"/>
              </w:rPr>
            </w:pPr>
          </w:p>
        </w:tc>
        <w:tc>
          <w:tcPr>
            <w:tcW w:w="10340" w:type="dxa"/>
            <w:vAlign w:val="bottom"/>
            <w:gridSpan w:val="22"/>
          </w:tcPr>
          <w:p>
            <w:pPr>
              <w:spacing w:after="0" w:line="147" w:lineRule="exact"/>
              <w:rPr>
                <w:sz w:val="20"/>
                <w:szCs w:val="20"/>
                <w:color w:val="auto"/>
              </w:rPr>
            </w:pPr>
            <w:r>
              <w:rPr>
                <w:rFonts w:ascii="Times New Roman" w:cs="Times New Roman" w:eastAsia="Times New Roman" w:hAnsi="Times New Roman"/>
                <w:sz w:val="15"/>
                <w:szCs w:val="15"/>
                <w:color w:val="0000EE"/>
              </w:rPr>
              <w:t>Legal Matters</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color w:val="auto"/>
                <w:w w:val="93"/>
              </w:rPr>
              <w:t>80</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0340" w:type="dxa"/>
            <w:vAlign w:val="bottom"/>
            <w:gridSpan w:val="2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Independent Registered Public Accounting Firm</w:t>
            </w:r>
          </w:p>
        </w:tc>
        <w:tc>
          <w:tcPr>
            <w:tcW w:w="9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3"/>
              </w:rPr>
              <w:t>81</w:t>
            </w:r>
          </w:p>
        </w:tc>
      </w:tr>
      <w:tr>
        <w:trPr>
          <w:trHeight w:val="147"/>
        </w:trPr>
        <w:tc>
          <w:tcPr>
            <w:tcW w:w="20" w:type="dxa"/>
            <w:vAlign w:val="bottom"/>
          </w:tcPr>
          <w:p>
            <w:pPr>
              <w:spacing w:after="0"/>
              <w:rPr>
                <w:sz w:val="12"/>
                <w:szCs w:val="12"/>
                <w:color w:val="auto"/>
              </w:rPr>
            </w:pPr>
          </w:p>
        </w:tc>
        <w:tc>
          <w:tcPr>
            <w:tcW w:w="1320" w:type="dxa"/>
            <w:vAlign w:val="bottom"/>
            <w:tcBorders>
              <w:top w:val="single" w:sz="8" w:color="0000EE"/>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5"/>
                <w:szCs w:val="15"/>
                <w:color w:val="0000EE"/>
                <w:w w:val="95"/>
              </w:rPr>
              <w:t>Available Information</w:t>
            </w:r>
          </w:p>
        </w:tc>
        <w:tc>
          <w:tcPr>
            <w:tcW w:w="1560" w:type="dxa"/>
            <w:vAlign w:val="bottom"/>
            <w:tcBorders>
              <w:top w:val="single" w:sz="8" w:color="0000EE"/>
            </w:tcBorders>
            <w:gridSpan w:val="10"/>
          </w:tcPr>
          <w:p>
            <w:pPr>
              <w:spacing w:after="0"/>
              <w:rPr>
                <w:sz w:val="12"/>
                <w:szCs w:val="12"/>
                <w:color w:val="auto"/>
              </w:rPr>
            </w:pPr>
          </w:p>
        </w:tc>
        <w:tc>
          <w:tcPr>
            <w:tcW w:w="7460" w:type="dxa"/>
            <w:vAlign w:val="bottom"/>
            <w:tcBorders>
              <w:top w:val="single" w:sz="8" w:color="CCEEFF"/>
            </w:tcBorders>
            <w:gridSpan w:val="7"/>
          </w:tcPr>
          <w:p>
            <w:pPr>
              <w:spacing w:after="0"/>
              <w:rPr>
                <w:sz w:val="12"/>
                <w:szCs w:val="12"/>
                <w:color w:val="auto"/>
              </w:rPr>
            </w:pPr>
          </w:p>
        </w:tc>
        <w:tc>
          <w:tcPr>
            <w:tcW w:w="900" w:type="dxa"/>
            <w:vAlign w:val="bottom"/>
            <w:tcBorders>
              <w:top w:val="single" w:sz="8" w:color="CCEEFF"/>
            </w:tcBorders>
          </w:tcPr>
          <w:p>
            <w:pPr>
              <w:jc w:val="center"/>
              <w:spacing w:after="0" w:line="147" w:lineRule="exact"/>
              <w:rPr>
                <w:sz w:val="20"/>
                <w:szCs w:val="20"/>
                <w:color w:val="auto"/>
              </w:rPr>
            </w:pPr>
            <w:r>
              <w:rPr>
                <w:rFonts w:ascii="Times New Roman" w:cs="Times New Roman" w:eastAsia="Times New Roman" w:hAnsi="Times New Roman"/>
                <w:sz w:val="15"/>
                <w:szCs w:val="15"/>
                <w:color w:val="auto"/>
                <w:w w:val="93"/>
              </w:rPr>
              <w:t>82</w:t>
            </w:r>
          </w:p>
        </w:tc>
      </w:tr>
      <w:tr>
        <w:trPr>
          <w:trHeight w:val="174"/>
        </w:trPr>
        <w:tc>
          <w:tcPr>
            <w:tcW w:w="20" w:type="dxa"/>
            <w:vAlign w:val="bottom"/>
          </w:tcPr>
          <w:p>
            <w:pPr>
              <w:spacing w:after="0"/>
              <w:rPr>
                <w:sz w:val="15"/>
                <w:szCs w:val="15"/>
                <w:color w:val="auto"/>
              </w:rPr>
            </w:pPr>
          </w:p>
        </w:tc>
        <w:tc>
          <w:tcPr>
            <w:tcW w:w="3060" w:type="dxa"/>
            <w:vAlign w:val="bottom"/>
            <w:tcBorders>
              <w:bottom w:val="single" w:sz="8" w:color="0000EE"/>
            </w:tcBorders>
            <w:gridSpan w:val="18"/>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8"/>
              </w:rPr>
              <w:t>Incorporation Of Certain Information by Reference</w:t>
            </w:r>
          </w:p>
        </w:tc>
        <w:tc>
          <w:tcPr>
            <w:tcW w:w="7280" w:type="dxa"/>
            <w:vAlign w:val="bottom"/>
            <w:tcBorders>
              <w:bottom w:val="single" w:sz="8" w:color="CCEEFF"/>
            </w:tcBorders>
            <w:gridSpan w:val="4"/>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3"/>
              </w:rPr>
              <w:t>83</w:t>
            </w:r>
          </w:p>
        </w:tc>
      </w:tr>
    </w:tbl>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5"/>
          <w:szCs w:val="15"/>
          <w:b w:val="1"/>
          <w:bCs w:val="1"/>
          <w:color w:val="auto"/>
        </w:rPr>
        <w:t>ABOUT THIS PROSPECTUS</w:t>
      </w:r>
    </w:p>
    <w:p>
      <w:pPr>
        <w:spacing w:after="0" w:line="192"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This prospectus is part of a registration statement that we have filed with the SEC, using the “shelf” registration process. Under this shelf registration statement, we may offer, from time to time, in one or more offerings, up to $750,000,000 of our common stock, preferred stock, subscription rights to purchase shares of our common stock, debt securities or warrants representing rights to purchase shares of our common stock, preferred stock or debt securities, on terms to be determined at the time of the offering. Our securities may be offered at prices and on terms described in one or more supplements to this prospectus. This prospectus provides you with a general description of our securities and the offerings thereof that we may make pursuant to this prospectus. Each time we use this prospectus to offer our securities, we will provide a prospectus supplement that will contain specific information about the terms of that offering. We may also authorize one or more free writing prospectuses to be provided to you that may contain material information relating to such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you should carefully read both this prospectus and the applicable prospectus supplement and any related free writing prospectus, together with any exhibits and the additional information described in the sections titled “Available Information,” “Incorporation of Certain Information by Reference,” “Prospectus Summary” and “Risk Factors” in this prospectus.</w:t>
      </w:r>
    </w:p>
    <w:p>
      <w:pPr>
        <w:spacing w:after="0" w:line="157"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This prospectus may contain estimates and information concerning our industry, including market size and growth rates of the markets in which we participate, that are based on industry publications and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in this prospectus, in Part I, Item 1A our most recent Annual Report on Form 10-K and in Part II, Item 1A of our most recent Quarterly Report on Form 10-Q, that could cause results to differ materially from those expressed in these publications and reports.</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“Available Information” in this prospectus.</w:t>
      </w:r>
    </w:p>
    <w:p>
      <w:pPr>
        <w:spacing w:after="0" w:line="148"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b w:val="1"/>
          <w:bCs w:val="1"/>
          <w:color w:val="auto"/>
        </w:rPr>
        <w:t>You should rely only on the information included or incorporated by reference in this prospectus, any prospectus supplement or in any free writing prospectus prepared by or on behalf of us or to which we have referred you. We have not authorized any dealer, salesperson or other person to provide you with different information or to make representations as to matters not stated in this prospectus or in any free writing prospectus prepared by or on behalf of us or to which we have referred you. We take no responsibility for, and can provide no assurance as to the reliability of, any other information that others may give you. If anyone provides you with different or inconsistent information, you should not rely on it. This prospectus, any applicable prospectus supplement and any free writing prospectus prepared by or on behalf of us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or any prospectus supplement or in any such free writing prospectus is accurate as of any date other than their respective dates.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375920</wp:posOffset>
            </wp:positionV>
            <wp:extent cx="7153275" cy="4711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711065"/>
                    </a:xfrm>
                    <a:prstGeom prst="rect">
                      <a:avLst/>
                    </a:prstGeom>
                    <a:noFill/>
                  </pic:spPr>
                </pic:pic>
              </a:graphicData>
            </a:graphic>
          </wp:anchor>
        </w:drawing>
        <w:t>PROSPECTUS SUMMARY</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i w:val="1"/>
          <w:iCs w:val="1"/>
          <w:color w:val="auto"/>
        </w:rPr>
        <w:t>This summary highlights some of the information included elsewhere in this prospectus or incorporated by reference. It may not contain all the information that is important to you. For a more complete understanding of offerings pursuant to this prospectus, we encourage you to read this entire prospectus and the documents to which we have referred in this prospectus, together with any accompanying prospectus supplements or free writing prospectuses, including the risks set forth under the caption “Risk Factors” in Part I, Item 1A of our most recent Annual Report on Form 10-K, in Part II, Item 1A of our most recent Quarterly Report on Form 10-Q, in this prospectus, the applicable prospectus supplement and any related free writing prospectus, and under similar headings in any other documents that are incorporated by reference into this prospectus and the applicable prospectus supplement, and the information set forth under the caption “Available Information” in this prospectus.</w:t>
      </w: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i w:val="1"/>
          <w:iCs w:val="1"/>
          <w:color w:val="auto"/>
        </w:rPr>
        <w:t>Unless otherwise noted, the terms “we,” “us,” “our,” the “Company” and “Saratoga” refer to Saratoga Investment Corp. and its wholly owned subsidiaries, Saratoga Investment Funding II LLC, Saratoga Investment Funding III LLC, Saratoga Investment Corp. SBIC II LP (“SBIC II LP”), and Saratoga Investment Corp. SBIC III LP (“SBIC III LP”, and together with SBIC II LP, the “SBIC Subsidiaries”), and does not refer to Saratoga Investment Corp. CLO 2013-1 Ltd. In addition, the terms “Saratoga Investment Advisors” and “investment adviser” refer to Saratoga Investment Advisors, LLC, our external investment adviser.</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92" w:lineRule="exact"/>
        <w:rPr>
          <w:sz w:val="20"/>
          <w:szCs w:val="20"/>
          <w:color w:val="auto"/>
        </w:rPr>
      </w:pPr>
    </w:p>
    <w:p>
      <w:pPr>
        <w:jc w:val="both"/>
        <w:ind w:right="20" w:firstLine="271"/>
        <w:spacing w:after="0" w:line="256" w:lineRule="auto"/>
        <w:rPr>
          <w:sz w:val="20"/>
          <w:szCs w:val="20"/>
          <w:color w:val="auto"/>
        </w:rPr>
      </w:pPr>
      <w:r>
        <w:rPr>
          <w:rFonts w:ascii="Times New Roman" w:cs="Times New Roman" w:eastAsia="Times New Roman" w:hAnsi="Times New Roman"/>
          <w:sz w:val="15"/>
          <w:szCs w:val="15"/>
          <w:color w:val="auto"/>
        </w:rPr>
        <w:t>We are a specialty finance company that provides customized financing solutions to U.S. middle-market businesses. We primarily invest in senior and unitranche leveraged loans and mezzanine debt and, to a lesser extent, equity issued by private U.S. middle-market companies, which we define as companies having annual earnings before interest, taxes, depreciation and amortization (“EBITDA”) of between $2 million and $50 million, both through direct lending and through participation in loan syndicates. Our investment objective is to create attractive risk-adjusted returns by generating current income and long-term capital appreciation from our investments. Our investments generally provide financing for change of ownership transactions, strategic acquisitions, recapitalizations and growth initiatives in partnership with business owners, management teams and financial sponsors. Our investment activities are externally managed and advised by Saratoga Investment Advisors, a New York-based investment firm affiliated with Saratoga Partners, a middle market private equity investment firm.</w:t>
      </w:r>
    </w:p>
    <w:p>
      <w:pPr>
        <w:spacing w:after="0" w:line="156"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Our portfolio is comprised primarily of investments in leveraged loans issued by middle market companies. Leveraged loans are generally senior debt instruments that rank ahead of subordinated debt with below investment grade or “junk” ratings or, if not rated, would be rated below investment grade or “junk” and, as a result, carry a higher risk of default. Leveraged loans also have the benefit of security interests on the assets of the portfolio company, which may rank ahead of, or be junior to, other security interests. Term loans are loans that do not allow the borrowers to repay all or a portion of the loans prior to maturity and then re-borrow such repaid amounts under the loan again. We also invest in mezzanine debt and make equity investments in middle market companies. Mezzanine debt is typically unsecured and subordinated to senior debt of the portfolio company.</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While our primary focus is to generate current income and capital appreciation from our debt and equity investments in middle market companies, we may invest up to 30.0% of our portfolio in opportunistic investments in order to seek to enhance returns to stockholders. Such investments may include investments in distressed debt, including securities of companies in bankruptcy, foreign debt, private equity, securities of public companies that are not thinly traded and structured finance vehicles such as collateralized loan obligation funds.</w:t>
      </w:r>
    </w:p>
    <w:p>
      <w:pPr>
        <w:spacing w:after="0" w:line="152"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Although we have no current intention to do so, we may invest in private equity funds in the future. Private equity funds are not limited in how they invest their assets, and the underlying investments held by private equity funds may impact our strategies, risks, and costs. Shareholders may have limited information about the underlying investments of the private equity funds in which we invest, including with respect to such funds’ holdings, liquidity, and valuation.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14605</wp:posOffset>
            </wp:positionV>
            <wp:extent cx="715518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60"/>
          </w:cols>
          <w:pgMar w:left="420" w:top="854" w:right="419" w:bottom="1440" w:gutter="0" w:footer="0" w:header="0"/>
        </w:sectPr>
      </w:pPr>
    </w:p>
    <w:bookmarkStart w:id="7" w:name="page8"/>
    <w:bookmarkEnd w:id="7"/>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375920</wp:posOffset>
            </wp:positionV>
            <wp:extent cx="7153275" cy="2419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419350"/>
                    </a:xfrm>
                    <a:prstGeom prst="rect">
                      <a:avLst/>
                    </a:prstGeom>
                    <a:noFill/>
                  </pic:spPr>
                </pic:pic>
              </a:graphicData>
            </a:graphic>
          </wp:anchor>
        </w:drawing>
        <w:t>We are an externally managed, closed-end, non-diversified management investment company that has elected to be regulated as a BDC under the Investment Company Act of 1940, as amended (the “1940 Act”). As a BDC, we are required to comply with various regulatory requirements, including limitations on our use of debt. We finance our investments through borrowings. However, as a BDC, we are only generally allowed to borrow amounts such that our asset coverage, as defined in the 1940 Act, equals at least 200% after such borrowing, or, if we obtain the required approvals from our independent directors and/or stockholders, 150%. On April 16, 2018, as permitted by the Small Business Credit Availability Act, which was signed into law on March 23, 2018, our board of directors, including a majority of our directors who are not “interested persons” (as defined in Section 2(a)(19) of the 1940 Act) of the Company (“independent directors”), approved of our becoming subject to a minimum asset coverage ratio of 150% under Sections 18(a)(1) and 18(a)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 of the 1940 Act. The 150% asset coverage ratio became effective on April 16, 2019.</w:t>
      </w:r>
    </w:p>
    <w:p>
      <w:pPr>
        <w:spacing w:after="0" w:line="173"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have elected to be treated, and intend to qualify annually, as a regulated investment company (“RIC”), under subchapter M of the Internal Revenue Code of 1986, as amended (the “Code”). As a RIC, we generally will not be subject to U.S. federal income tax on any net ordinary income or capital gains that we timely distribute to our stockholders if we meet certain source-of-income, annual distribution and asset-diversification requirements.</w:t>
      </w:r>
    </w:p>
    <w:p>
      <w:pPr>
        <w:spacing w:after="0" w:line="146"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In addition, our wholly owned subsidiaries, SBIC II LP and SBIC III LP, received licenses to operate as small business investment companies (“SBIC”) from the Small Business Administration (the “SBA”) on August 14, 2019 and September 29, 2022, respectively. Each of the SBIC Subsidiaries provides up to $175.0 million in long-term capital in the form of debentures guaranteed by the SBA. The SBIC Subsidiaries are regulated by the SBA. Under current SBIC regulations, for two or more SBICs under common control, the maximum amount of outstanding SBA debentures cannot exceed $350.0 million with at least $175.0 million in combined regulatory capital. The SBIC Subsidiaries are able to borrow funds from the SBA against the SBIC’s regulatory capital (which generally approximates equity capital in the respective SBIC) and is subject to customary regulatory requirements, including, but not limited to, periodic examination by the SBA.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14605</wp:posOffset>
            </wp:positionV>
            <wp:extent cx="715518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60"/>
          </w:cols>
          <w:pgMar w:left="420" w:top="858" w:right="419" w:bottom="1440" w:gutter="0" w:footer="0" w:header="0"/>
        </w:sectPr>
      </w:pPr>
    </w:p>
    <w:bookmarkStart w:id="8" w:name="page9"/>
    <w:bookmarkEnd w:id="8"/>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375920</wp:posOffset>
            </wp:positionV>
            <wp:extent cx="7153275" cy="3679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3679825"/>
                    </a:xfrm>
                    <a:prstGeom prst="rect">
                      <a:avLst/>
                    </a:prstGeom>
                    <a:noFill/>
                  </pic:spPr>
                </pic:pic>
              </a:graphicData>
            </a:graphic>
          </wp:anchor>
        </w:drawing>
        <w:t>We received exemptive relief from the SEC to permit us to exclude the senior securities issued by the SBIC Subsidiaries from the definition of senior securities in the asset coverage requirement under the 1940 Act. This allows the Company increased flexibility under the asset coverage requirement by permitting it to borrow up to $350.0 million more than it would otherwise be able to absent the receipt of this exemptive relief.</w:t>
      </w:r>
    </w:p>
    <w:p>
      <w:pPr>
        <w:spacing w:after="0" w:line="146"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Company has established wholly owned subsidiaries, SIA-AAP, Inc., SIA-SAIS, Inc., SIA-ARC, Inc., SIA-Avionte, Inc., SIA-AX, Inc., SIA-G4, Inc., SIA-GH, Inc., SIA-MDP, Inc., SIA-PP Inc., SIA-SIQ, Inc., SIA-SZ, Inc., SIA-TG, Inc., SIA-TT, Inc. and SIA-Vector, Inc., which are structured as Delaware entities that are treated as corporations for U.S. federal income tax purposes and are intended to facilitate our compliance with the requirements to be treated as a RIC under the Code by holding equity or equity-like investments in portfolio companies organized as limited liability companies, or LLCs (or other forms of pass through entities). These entities are consolidated for accounting purposes but are not consolidated for U.S. federal income tax purposes and may incur U.S. federal income tax expense as a result of their ownership of portfolio companies.</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On October 26, 2021, the Company and TJHA JV I LLC entered into a Limited Liability Company Operating Agreement to co-manage Saratoga Senior Loan Fund I JV LLC (“SLF JV”). SLF JV is a joint venture that invests in the debt or equity interests of collateralized loan obligations, loans, notes and other debt instruments.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Saratoga Investment Advisors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General</w:t>
      </w:r>
    </w:p>
    <w:p>
      <w:pPr>
        <w:spacing w:after="0" w:line="190"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Saratoga Investment Advisors was formed in 2010 as a Delaware limited liability company and became our investment adviser in July 2010. Saratoga Investment Advisors is led by four principals, Christian L. Oberbeck, Michael J. Grisius, Thomas V. Inglesby, and Charles G. Phillips, with over 38, 33, 39, and 28 years of experience in leveraged finance, respectively, and the Chief Financial Officer, Chief Compliance Officer, Treasurer and Secretary, Henri J. Steenkamp, who has 26 years of experience in financial services and leveraged finance. Our Investment Adviser is affiliated with Saratoga Partners, a middle-market private equity investment firm. Saratoga Partners was established in 1984 to be the middle-market private investment arm of Dillon Read &amp; Co. Inc. and has been independent of Dillon Read &amp; Co. Inc., and its successor entity, SBC Warburg Dillon Read, since 1998. Saratoga Partners has a 36-year history of private investments in middle-market companies and focuses on public and private equity, preferred stock, and senior and mezzanine debt investments.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Our Relationship with Saratoga Investment Advisors</w:t>
      </w:r>
    </w:p>
    <w:p>
      <w:pPr>
        <w:spacing w:after="0" w:line="190"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We utilize the personnel, infrastructure, relationships and experience of Saratoga Investment Advisors to enhance the growth of our business. We currently have no employees and each of our executive officers is also an officer of Saratoga Investment Advisors.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14605</wp:posOffset>
            </wp:positionV>
            <wp:extent cx="715518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60"/>
          </w:cols>
          <w:pgMar w:left="420" w:top="858" w:right="419" w:bottom="1440" w:gutter="0" w:footer="0" w:header="0"/>
        </w:sectPr>
      </w:pPr>
    </w:p>
    <w:bookmarkStart w:id="9" w:name="page10"/>
    <w:bookmarkEnd w:id="9"/>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375920</wp:posOffset>
            </wp:positionV>
            <wp:extent cx="7153275" cy="3564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3564890"/>
                    </a:xfrm>
                    <a:prstGeom prst="rect">
                      <a:avLst/>
                    </a:prstGeom>
                    <a:noFill/>
                  </pic:spPr>
                </pic:pic>
              </a:graphicData>
            </a:graphic>
          </wp:anchor>
        </w:drawing>
        <w:t>We have entered into an investment advisory and management agreement (the “Management Agreement”) with Saratoga Investment Advisors. Pursuant to the 1940 Act, the initial term of the Management Agreement was for two years from its effective date of July 30, 2010, and will remain in effect on a year-to-year basis if approved annually at an in-person meeting of the board of directors, a majority of whom must not be independent directors. Most recently, our board of directors approved the renewal of the Management Agreement for an additional one-year term at an in-person meeting held on July 7, 2025. Pursuant to the Management Agreement, Saratoga Investment Advisors implements our business strategy on a day-to-day basis and performs certain services for us under the direction of our board of directors. Saratoga Investment Advisors is responsible for, among other duties, performing all of our day-to-day functions, determining investment criteria, sourcing, analyzing and executing investment transactions, asset sales, financings and performing asset management duties.</w:t>
      </w:r>
    </w:p>
    <w:p>
      <w:pPr>
        <w:spacing w:after="0" w:line="156"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Saratoga Investment Advisors has formed an investment committee to advise and consult with its senior management team with respect to our investment policies, investment portfolio holdings, financing and leveraging strategies and investment guidelines. We believe that the collective experience of the investment committee members across a variety of fixed income asset classes will benefit us. The investment committee must unanimously approve all investments in excess of $1.0 million made by us. In addition, all sales of our investments must be approved by all four of our investment committee members. The current members of the investment committee are Messrs. Oberbeck, Grisius, Inglesby, and Phillips.</w:t>
      </w:r>
    </w:p>
    <w:p>
      <w:pPr>
        <w:spacing w:after="0" w:line="152" w:lineRule="exact"/>
        <w:rPr>
          <w:sz w:val="20"/>
          <w:szCs w:val="20"/>
          <w:color w:val="auto"/>
        </w:rPr>
      </w:pPr>
    </w:p>
    <w:p>
      <w:pPr>
        <w:ind w:left="2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See “Business” in Part I, Item 1 in our most recent Annual Report on </w:t>
      </w:r>
      <w:hyperlink r:id="rId24">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additional information about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 Associated with Our Business</w:t>
      </w:r>
    </w:p>
    <w:p>
      <w:pPr>
        <w:spacing w:after="0" w:line="192"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Our business is subject to numerous risks, as described in the section titled “Risk Factors” in the applicable prospectus supplement and in any free writing prospectuses we have authorized for use in connection with a specific offering, and under similar headings in the documents that are incorporated by reference into this prospectus, including the section titled “Risk Factors” included in our most recent Annual Report on Form 10-K, in our most recent Quarterly Report on Form 10-Q, as well as in any of our subsequent SEC filings.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Neither we nor our wholly owned subsidiaries or Saratoga Investment Advisors are currently subject to any material legal proceedings other than ordinary routine litigation incidental to the business. From time to time, we, our consolidated subsidiaries and/or Saratoga Investment Advisors may be a party to certain legal proceedings in the ordinary course of business, including proceedings relating to the enforcement of our rights under contracts with our portfolio companies. Our business also is subject to extensive regulation, which may result in regulatory proceedings against us.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14605</wp:posOffset>
            </wp:positionV>
            <wp:extent cx="715518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60"/>
          </w:cols>
          <w:pgMar w:left="420" w:top="858" w:right="4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375920</wp:posOffset>
            </wp:positionV>
            <wp:extent cx="7153275" cy="4940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3275" cy="4940300"/>
                    </a:xfrm>
                    <a:prstGeom prst="rect">
                      <a:avLst/>
                    </a:prstGeom>
                    <a:noFill/>
                  </pic:spPr>
                </pic:pic>
              </a:graphicData>
            </a:graphic>
          </wp:anchor>
        </w:drawing>
        <w:t>THE OFFERING</w:t>
      </w:r>
    </w:p>
    <w:p>
      <w:pPr>
        <w:spacing w:after="0" w:line="192" w:lineRule="exact"/>
        <w:rPr>
          <w:sz w:val="20"/>
          <w:szCs w:val="20"/>
          <w:color w:val="auto"/>
        </w:rPr>
      </w:pPr>
    </w:p>
    <w:p>
      <w:pPr>
        <w:jc w:val="both"/>
        <w:ind w:left="100" w:right="100" w:firstLine="271"/>
        <w:spacing w:after="0" w:line="283" w:lineRule="auto"/>
        <w:rPr>
          <w:sz w:val="20"/>
          <w:szCs w:val="20"/>
          <w:color w:val="auto"/>
        </w:rPr>
      </w:pPr>
      <w:r>
        <w:rPr>
          <w:rFonts w:ascii="Times New Roman" w:cs="Times New Roman" w:eastAsia="Times New Roman" w:hAnsi="Times New Roman"/>
          <w:sz w:val="15"/>
          <w:szCs w:val="15"/>
          <w:color w:val="auto"/>
        </w:rPr>
        <w:t>We may offer, from time to time, up to $750,000,000 of our securities, on terms to be determined at the time of the offering. Our securities may be offered at prices and on terms to be disclosed in one or more prospectus supplements.</w:t>
      </w:r>
    </w:p>
    <w:p>
      <w:pPr>
        <w:spacing w:after="0" w:line="135" w:lineRule="exact"/>
        <w:rPr>
          <w:sz w:val="20"/>
          <w:szCs w:val="20"/>
          <w:color w:val="auto"/>
        </w:rPr>
      </w:pPr>
    </w:p>
    <w:p>
      <w:pPr>
        <w:jc w:val="both"/>
        <w:ind w:left="100" w:right="100" w:firstLine="271"/>
        <w:spacing w:after="0" w:line="259" w:lineRule="auto"/>
        <w:rPr>
          <w:sz w:val="20"/>
          <w:szCs w:val="20"/>
          <w:color w:val="auto"/>
        </w:rPr>
      </w:pPr>
      <w:r>
        <w:rPr>
          <w:rFonts w:ascii="Times New Roman" w:cs="Times New Roman" w:eastAsia="Times New Roman" w:hAnsi="Times New Roman"/>
          <w:sz w:val="15"/>
          <w:szCs w:val="15"/>
          <w:color w:val="auto"/>
        </w:rPr>
        <w:t>Our securities may be offered directly to one or more purchasers by us or through agents designated from time to time by us, or to or through underwriters or dealers. The prospectus supplement relating to the offering will disclose the terms of the offering, including the name or names of any agents or underwriters involved in the sale of our securities by us, the purchase price, and any fee, commission or discount arrangement between us and our agents or underwriters or among our underwriters or the basis upon which such amount may be calculated. See “Plan of Distribution.” We may not sell any of our securities directly or through agents, underwriters or dealers without delivery of a prospectus supplement describing the method and terms of the offering of our securities.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Set forth below is additional information regarding the offering of our securities:</w:t>
      </w:r>
    </w:p>
    <w:p>
      <w:pPr>
        <w:spacing w:after="0" w:line="1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The New York Stock Exchange ticker symbol of common stock “SAR”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Use of Proceeds</w:t>
            </w: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Unless otherwise specified in a prospectus supplement, we intend to use substantially all of the net proceeds from the</w:t>
            </w:r>
          </w:p>
        </w:tc>
      </w:tr>
      <w:tr>
        <w:trPr>
          <w:trHeight w:val="180"/>
        </w:trPr>
        <w:tc>
          <w:tcPr>
            <w:tcW w:w="2900" w:type="dxa"/>
            <w:vAlign w:val="bottom"/>
          </w:tcPr>
          <w:p>
            <w:pPr>
              <w:spacing w:after="0"/>
              <w:rPr>
                <w:sz w:val="15"/>
                <w:szCs w:val="15"/>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sale of our securities to make investments in middle-market companies in accordance with our investment objective</w:t>
            </w:r>
          </w:p>
        </w:tc>
      </w:tr>
      <w:tr>
        <w:trPr>
          <w:trHeight w:val="180"/>
        </w:trPr>
        <w:tc>
          <w:tcPr>
            <w:tcW w:w="2900" w:type="dxa"/>
            <w:vAlign w:val="bottom"/>
          </w:tcPr>
          <w:p>
            <w:pPr>
              <w:spacing w:after="0"/>
              <w:rPr>
                <w:sz w:val="15"/>
                <w:szCs w:val="15"/>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and strategies described in this prospectus, and for general corporate purposes. We may also use a portion of the net</w:t>
            </w:r>
          </w:p>
        </w:tc>
      </w:tr>
      <w:tr>
        <w:trPr>
          <w:trHeight w:val="180"/>
        </w:trPr>
        <w:tc>
          <w:tcPr>
            <w:tcW w:w="2900" w:type="dxa"/>
            <w:vAlign w:val="bottom"/>
          </w:tcPr>
          <w:p>
            <w:pPr>
              <w:spacing w:after="0"/>
              <w:rPr>
                <w:sz w:val="15"/>
                <w:szCs w:val="15"/>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proceeds to reduce any of our outstanding borrowings (which will be subject to re-borrowing). Pending such use, we</w:t>
            </w:r>
          </w:p>
        </w:tc>
      </w:tr>
      <w:tr>
        <w:trPr>
          <w:trHeight w:val="180"/>
        </w:trPr>
        <w:tc>
          <w:tcPr>
            <w:tcW w:w="2900" w:type="dxa"/>
            <w:vAlign w:val="bottom"/>
          </w:tcPr>
          <w:p>
            <w:pPr>
              <w:spacing w:after="0"/>
              <w:rPr>
                <w:sz w:val="15"/>
                <w:szCs w:val="15"/>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will invest the net proceeds primarily in high quality, short-term debt securities consistent with our BDC election and</w:t>
            </w:r>
          </w:p>
        </w:tc>
      </w:tr>
      <w:tr>
        <w:trPr>
          <w:trHeight w:val="196"/>
        </w:trPr>
        <w:tc>
          <w:tcPr>
            <w:tcW w:w="2900" w:type="dxa"/>
            <w:vAlign w:val="bottom"/>
          </w:tcPr>
          <w:p>
            <w:pPr>
              <w:spacing w:after="0"/>
              <w:rPr>
                <w:sz w:val="17"/>
                <w:szCs w:val="17"/>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our election to be treated as a RIC. See “Use of Proceeds.”</w:t>
            </w:r>
          </w:p>
        </w:tc>
      </w:tr>
      <w:tr>
        <w:trPr>
          <w:trHeight w:val="345"/>
        </w:trPr>
        <w:tc>
          <w:tcPr>
            <w:tcW w:w="2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Dividends and Distributions</w:t>
            </w: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We pay quarterly distributions to our stockholders out of assets legally available for distribution. Our distributions, if</w:t>
            </w:r>
          </w:p>
        </w:tc>
      </w:tr>
      <w:tr>
        <w:trPr>
          <w:trHeight w:val="180"/>
        </w:trPr>
        <w:tc>
          <w:tcPr>
            <w:tcW w:w="2900" w:type="dxa"/>
            <w:vAlign w:val="bottom"/>
          </w:tcPr>
          <w:p>
            <w:pPr>
              <w:spacing w:after="0"/>
              <w:rPr>
                <w:sz w:val="15"/>
                <w:szCs w:val="15"/>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any, will be determined by our board of directors. Our ability to declare distributions depends on our earnings, our</w:t>
            </w:r>
          </w:p>
        </w:tc>
      </w:tr>
      <w:tr>
        <w:trPr>
          <w:trHeight w:val="180"/>
        </w:trPr>
        <w:tc>
          <w:tcPr>
            <w:tcW w:w="2900" w:type="dxa"/>
            <w:vAlign w:val="bottom"/>
          </w:tcPr>
          <w:p>
            <w:pPr>
              <w:spacing w:after="0"/>
              <w:rPr>
                <w:sz w:val="15"/>
                <w:szCs w:val="15"/>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overall financial condition (including our liquidity position), qualification for or maintenance of our RIC tax treatment</w:t>
            </w:r>
          </w:p>
        </w:tc>
      </w:tr>
      <w:tr>
        <w:trPr>
          <w:trHeight w:val="196"/>
        </w:trPr>
        <w:tc>
          <w:tcPr>
            <w:tcW w:w="2900" w:type="dxa"/>
            <w:vAlign w:val="bottom"/>
          </w:tcPr>
          <w:p>
            <w:pPr>
              <w:spacing w:after="0"/>
              <w:rPr>
                <w:sz w:val="17"/>
                <w:szCs w:val="17"/>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and such other factors as our board of directors may deem relevant from time to time.</w:t>
            </w:r>
          </w:p>
        </w:tc>
      </w:tr>
      <w:tr>
        <w:trPr>
          <w:trHeight w:val="345"/>
        </w:trPr>
        <w:tc>
          <w:tcPr>
            <w:tcW w:w="2900" w:type="dxa"/>
            <w:vAlign w:val="bottom"/>
          </w:tcPr>
          <w:p>
            <w:pPr>
              <w:spacing w:after="0"/>
              <w:rPr>
                <w:sz w:val="24"/>
                <w:szCs w:val="24"/>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When we make distributions, we will be required to determine the extent to which such distributions are paid out of</w:t>
            </w:r>
          </w:p>
        </w:tc>
      </w:tr>
      <w:tr>
        <w:trPr>
          <w:trHeight w:val="180"/>
        </w:trPr>
        <w:tc>
          <w:tcPr>
            <w:tcW w:w="2900" w:type="dxa"/>
            <w:vAlign w:val="bottom"/>
          </w:tcPr>
          <w:p>
            <w:pPr>
              <w:spacing w:after="0"/>
              <w:rPr>
                <w:sz w:val="15"/>
                <w:szCs w:val="15"/>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current or accumulated earnings, recognized capital gains or capital. To the extent there is a return of capital, investors</w:t>
            </w:r>
          </w:p>
        </w:tc>
      </w:tr>
      <w:tr>
        <w:trPr>
          <w:trHeight w:val="180"/>
        </w:trPr>
        <w:tc>
          <w:tcPr>
            <w:tcW w:w="2900" w:type="dxa"/>
            <w:vAlign w:val="bottom"/>
          </w:tcPr>
          <w:p>
            <w:pPr>
              <w:spacing w:after="0"/>
              <w:rPr>
                <w:sz w:val="15"/>
                <w:szCs w:val="15"/>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will be required to reduce their adjusted tax basis in our stock for U.S. federal income tax purposes. In the future, our</w:t>
            </w:r>
          </w:p>
        </w:tc>
      </w:tr>
      <w:tr>
        <w:trPr>
          <w:trHeight w:val="196"/>
        </w:trPr>
        <w:tc>
          <w:tcPr>
            <w:tcW w:w="2900" w:type="dxa"/>
            <w:vAlign w:val="bottom"/>
          </w:tcPr>
          <w:p>
            <w:pPr>
              <w:spacing w:after="0"/>
              <w:rPr>
                <w:sz w:val="17"/>
                <w:szCs w:val="17"/>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distributions may include a return of capital. See “Price Range of Common Stock and Distributions.”</w:t>
            </w:r>
          </w:p>
        </w:tc>
      </w:tr>
      <w:tr>
        <w:trPr>
          <w:trHeight w:val="345"/>
        </w:trPr>
        <w:tc>
          <w:tcPr>
            <w:tcW w:w="29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Dividend Reinvestment Plan</w:t>
            </w: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We maintain an “opt out” dividend reinvestment plan for our common stockholders. As a result, if we declare a</w:t>
            </w:r>
          </w:p>
        </w:tc>
      </w:tr>
      <w:tr>
        <w:trPr>
          <w:trHeight w:val="180"/>
        </w:trPr>
        <w:tc>
          <w:tcPr>
            <w:tcW w:w="2900" w:type="dxa"/>
            <w:vAlign w:val="bottom"/>
          </w:tcPr>
          <w:p>
            <w:pPr>
              <w:spacing w:after="0"/>
              <w:rPr>
                <w:sz w:val="15"/>
                <w:szCs w:val="15"/>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dividend, then stockholders’ cash dividends will be automatically reinvested in additional shares of our common stock,</w:t>
            </w:r>
          </w:p>
        </w:tc>
      </w:tr>
      <w:tr>
        <w:trPr>
          <w:trHeight w:val="180"/>
        </w:trPr>
        <w:tc>
          <w:tcPr>
            <w:tcW w:w="2900" w:type="dxa"/>
            <w:vAlign w:val="bottom"/>
          </w:tcPr>
          <w:p>
            <w:pPr>
              <w:spacing w:after="0"/>
              <w:rPr>
                <w:sz w:val="15"/>
                <w:szCs w:val="15"/>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unless they specifically “opt out” of the dividend reinvestment plan so as to receive cash dividends. Stockholders who</w:t>
            </w:r>
          </w:p>
        </w:tc>
      </w:tr>
      <w:tr>
        <w:trPr>
          <w:trHeight w:val="180"/>
        </w:trPr>
        <w:tc>
          <w:tcPr>
            <w:tcW w:w="2900" w:type="dxa"/>
            <w:vAlign w:val="bottom"/>
          </w:tcPr>
          <w:p>
            <w:pPr>
              <w:spacing w:after="0"/>
              <w:rPr>
                <w:sz w:val="15"/>
                <w:szCs w:val="15"/>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receive distributions in the form of our common stock will be subject to the same U.S. federal, state and local tax</w:t>
            </w:r>
          </w:p>
        </w:tc>
      </w:tr>
      <w:tr>
        <w:trPr>
          <w:trHeight w:val="180"/>
        </w:trPr>
        <w:tc>
          <w:tcPr>
            <w:tcW w:w="2900" w:type="dxa"/>
            <w:vAlign w:val="bottom"/>
          </w:tcPr>
          <w:p>
            <w:pPr>
              <w:spacing w:after="0"/>
              <w:rPr>
                <w:sz w:val="15"/>
                <w:szCs w:val="15"/>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consequences as stockholders who elect to receive their distributions in cash, and will need to pay any such taxes from</w:t>
            </w:r>
          </w:p>
        </w:tc>
      </w:tr>
      <w:tr>
        <w:trPr>
          <w:trHeight w:val="180"/>
        </w:trPr>
        <w:tc>
          <w:tcPr>
            <w:tcW w:w="2900" w:type="dxa"/>
            <w:vAlign w:val="bottom"/>
          </w:tcPr>
          <w:p>
            <w:pPr>
              <w:spacing w:after="0"/>
              <w:rPr>
                <w:sz w:val="15"/>
                <w:szCs w:val="15"/>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other sources in light of the fact that their distributions will be reinvested in additional shares of the Company’s</w:t>
            </w:r>
          </w:p>
        </w:tc>
      </w:tr>
      <w:tr>
        <w:trPr>
          <w:trHeight w:val="180"/>
        </w:trPr>
        <w:tc>
          <w:tcPr>
            <w:tcW w:w="2900" w:type="dxa"/>
            <w:vAlign w:val="bottom"/>
          </w:tcPr>
          <w:p>
            <w:pPr>
              <w:spacing w:after="0"/>
              <w:rPr>
                <w:sz w:val="15"/>
                <w:szCs w:val="15"/>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common stock. See “Dividend Reinvestment Plan” for a description of the plan and information on how to “opt out” of</w:t>
            </w:r>
          </w:p>
        </w:tc>
      </w:tr>
      <w:tr>
        <w:trPr>
          <w:trHeight w:val="196"/>
        </w:trPr>
        <w:tc>
          <w:tcPr>
            <w:tcW w:w="2900" w:type="dxa"/>
            <w:vAlign w:val="bottom"/>
          </w:tcPr>
          <w:p>
            <w:pPr>
              <w:spacing w:after="0"/>
              <w:rPr>
                <w:sz w:val="17"/>
                <w:szCs w:val="17"/>
                <w:color w:val="auto"/>
              </w:rPr>
            </w:pPr>
          </w:p>
        </w:tc>
        <w:tc>
          <w:tcPr>
            <w:tcW w:w="836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the plan.</w:t>
            </w:r>
          </w:p>
        </w:tc>
      </w:tr>
      <w:tr>
        <w:trPr>
          <w:trHeight w:val="260"/>
        </w:trPr>
        <w:tc>
          <w:tcPr>
            <w:tcW w:w="2900" w:type="dxa"/>
            <w:vAlign w:val="bottom"/>
            <w:tcBorders>
              <w:bottom w:val="single" w:sz="8" w:color="auto"/>
            </w:tcBorders>
          </w:tcPr>
          <w:p>
            <w:pPr>
              <w:spacing w:after="0"/>
              <w:rPr>
                <w:sz w:val="22"/>
                <w:szCs w:val="22"/>
                <w:color w:val="auto"/>
              </w:rPr>
            </w:pPr>
          </w:p>
        </w:tc>
        <w:tc>
          <w:tcPr>
            <w:tcW w:w="8360" w:type="dxa"/>
            <w:vAlign w:val="bottom"/>
            <w:tcBorders>
              <w:bottom w:val="single" w:sz="8" w:color="auto"/>
            </w:tcBorders>
          </w:tcPr>
          <w:p>
            <w:pPr>
              <w:spacing w:after="0"/>
              <w:rPr>
                <w:sz w:val="22"/>
                <w:szCs w:val="22"/>
                <w:color w:val="auto"/>
              </w:rPr>
            </w:pPr>
          </w:p>
        </w:tc>
      </w:tr>
      <w:tr>
        <w:trPr>
          <w:trHeight w:val="365"/>
        </w:trPr>
        <w:tc>
          <w:tcPr>
            <w:tcW w:w="29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5"/>
                <w:szCs w:val="15"/>
                <w:color w:val="auto"/>
              </w:rPr>
              <w:t>5</w:t>
            </w:r>
          </w:p>
        </w:tc>
      </w:tr>
    </w:tbl>
    <w:p>
      <w:pPr>
        <w:sectPr>
          <w:pgSz w:w="11900" w:h="16838" w:orient="portrait"/>
          <w:cols w:equalWidth="0" w:num="1">
            <w:col w:w="11260"/>
          </w:cols>
          <w:pgMar w:left="320" w:top="854" w:right="3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7"/>
        </w:trPr>
        <w:tc>
          <w:tcPr>
            <w:tcW w:w="314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Taxation</w:t>
            </w:r>
          </w:p>
        </w:tc>
        <w:tc>
          <w:tcPr>
            <w:tcW w:w="8120" w:type="dxa"/>
            <w:vAlign w:val="bottom"/>
            <w:tcBorders>
              <w:top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We have elected to be treated, and intend to qualify annually, as a RIC under subchapter M of the Code. Accordingly,</w:t>
            </w:r>
          </w:p>
        </w:tc>
      </w:tr>
      <w:tr>
        <w:trPr>
          <w:trHeight w:val="180"/>
        </w:trPr>
        <w:tc>
          <w:tcPr>
            <w:tcW w:w="3140" w:type="dxa"/>
            <w:vAlign w:val="bottom"/>
            <w:tcBorders>
              <w:left w:val="single" w:sz="8" w:color="auto"/>
            </w:tcBorders>
          </w:tcPr>
          <w:p>
            <w:pPr>
              <w:spacing w:after="0"/>
              <w:rPr>
                <w:sz w:val="15"/>
                <w:szCs w:val="15"/>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we generally will not be subject to U.S. federal income tax on any net ordinary income or realized net capital gains that</w:t>
            </w:r>
          </w:p>
        </w:tc>
      </w:tr>
      <w:tr>
        <w:trPr>
          <w:trHeight w:val="180"/>
        </w:trPr>
        <w:tc>
          <w:tcPr>
            <w:tcW w:w="3140" w:type="dxa"/>
            <w:vAlign w:val="bottom"/>
            <w:tcBorders>
              <w:left w:val="single" w:sz="8" w:color="auto"/>
            </w:tcBorders>
          </w:tcPr>
          <w:p>
            <w:pPr>
              <w:spacing w:after="0"/>
              <w:rPr>
                <w:sz w:val="15"/>
                <w:szCs w:val="15"/>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we timely distribute to our stockholders as dividends. We will be subject to U.S. federal income tax imposed at</w:t>
            </w:r>
          </w:p>
        </w:tc>
      </w:tr>
      <w:tr>
        <w:trPr>
          <w:trHeight w:val="180"/>
        </w:trPr>
        <w:tc>
          <w:tcPr>
            <w:tcW w:w="3140" w:type="dxa"/>
            <w:vAlign w:val="bottom"/>
            <w:tcBorders>
              <w:left w:val="single" w:sz="8" w:color="auto"/>
            </w:tcBorders>
          </w:tcPr>
          <w:p>
            <w:pPr>
              <w:spacing w:after="0"/>
              <w:rPr>
                <w:sz w:val="15"/>
                <w:szCs w:val="15"/>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corporate rates on any net ordinary income or realized net capital gains that we do not distribute to stockholders. To</w:t>
            </w:r>
          </w:p>
        </w:tc>
      </w:tr>
      <w:tr>
        <w:trPr>
          <w:trHeight w:val="180"/>
        </w:trPr>
        <w:tc>
          <w:tcPr>
            <w:tcW w:w="3140" w:type="dxa"/>
            <w:vAlign w:val="bottom"/>
            <w:tcBorders>
              <w:left w:val="single" w:sz="8" w:color="auto"/>
            </w:tcBorders>
          </w:tcPr>
          <w:p>
            <w:pPr>
              <w:spacing w:after="0"/>
              <w:rPr>
                <w:sz w:val="15"/>
                <w:szCs w:val="15"/>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maintain  our  RIC  tax  treatment,  we  must,  among  other  things,  meet  specified  source-of-income  and  asset</w:t>
            </w:r>
          </w:p>
        </w:tc>
      </w:tr>
      <w:tr>
        <w:trPr>
          <w:trHeight w:val="180"/>
        </w:trPr>
        <w:tc>
          <w:tcPr>
            <w:tcW w:w="3140" w:type="dxa"/>
            <w:vAlign w:val="bottom"/>
            <w:tcBorders>
              <w:left w:val="single" w:sz="8" w:color="auto"/>
            </w:tcBorders>
          </w:tcPr>
          <w:p>
            <w:pPr>
              <w:spacing w:after="0"/>
              <w:rPr>
                <w:sz w:val="15"/>
                <w:szCs w:val="15"/>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diversification requirements and distribute annually to our stockholders at least 90% of our net ordinary income and</w:t>
            </w:r>
          </w:p>
        </w:tc>
      </w:tr>
      <w:tr>
        <w:trPr>
          <w:trHeight w:val="180"/>
        </w:trPr>
        <w:tc>
          <w:tcPr>
            <w:tcW w:w="3140" w:type="dxa"/>
            <w:vAlign w:val="bottom"/>
            <w:tcBorders>
              <w:left w:val="single" w:sz="8" w:color="auto"/>
            </w:tcBorders>
          </w:tcPr>
          <w:p>
            <w:pPr>
              <w:spacing w:after="0"/>
              <w:rPr>
                <w:sz w:val="15"/>
                <w:szCs w:val="15"/>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realized net short-term capital gains in excess of realized net long-term capital losses, if any. Depending on the level of</w:t>
            </w:r>
          </w:p>
        </w:tc>
      </w:tr>
      <w:tr>
        <w:trPr>
          <w:trHeight w:val="180"/>
        </w:trPr>
        <w:tc>
          <w:tcPr>
            <w:tcW w:w="3140" w:type="dxa"/>
            <w:vAlign w:val="bottom"/>
            <w:tcBorders>
              <w:left w:val="single" w:sz="8" w:color="auto"/>
            </w:tcBorders>
          </w:tcPr>
          <w:p>
            <w:pPr>
              <w:spacing w:after="0"/>
              <w:rPr>
                <w:sz w:val="15"/>
                <w:szCs w:val="15"/>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taxable income earned in a tax year, we may choose to carry forward taxable income in excess of current year</w:t>
            </w:r>
          </w:p>
        </w:tc>
      </w:tr>
      <w:tr>
        <w:trPr>
          <w:trHeight w:val="180"/>
        </w:trPr>
        <w:tc>
          <w:tcPr>
            <w:tcW w:w="3140" w:type="dxa"/>
            <w:vAlign w:val="bottom"/>
            <w:tcBorders>
              <w:left w:val="single" w:sz="8" w:color="auto"/>
            </w:tcBorders>
          </w:tcPr>
          <w:p>
            <w:pPr>
              <w:spacing w:after="0"/>
              <w:rPr>
                <w:sz w:val="15"/>
                <w:szCs w:val="15"/>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distributions into the next tax year and pay U.S. federal income tax, and possibly a non-deductible 4% U.S. federal</w:t>
            </w:r>
          </w:p>
        </w:tc>
      </w:tr>
      <w:tr>
        <w:trPr>
          <w:trHeight w:val="196"/>
        </w:trPr>
        <w:tc>
          <w:tcPr>
            <w:tcW w:w="3140" w:type="dxa"/>
            <w:vAlign w:val="bottom"/>
            <w:tcBorders>
              <w:left w:val="single" w:sz="8" w:color="auto"/>
            </w:tcBorders>
          </w:tcPr>
          <w:p>
            <w:pPr>
              <w:spacing w:after="0"/>
              <w:rPr>
                <w:sz w:val="17"/>
                <w:szCs w:val="17"/>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excise tax on such income. See “Certain U.S. Federal Income Tax Considerations.”</w:t>
            </w:r>
          </w:p>
        </w:tc>
      </w:tr>
      <w:tr>
        <w:trPr>
          <w:trHeight w:val="345"/>
        </w:trPr>
        <w:tc>
          <w:tcPr>
            <w:tcW w:w="31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Effective Trading at a Discount</w:t>
            </w: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Shares of closed-end investment companies, including BDCs, frequently trade at a discount to their NAV. The risk that</w:t>
            </w:r>
          </w:p>
        </w:tc>
      </w:tr>
      <w:tr>
        <w:trPr>
          <w:trHeight w:val="180"/>
        </w:trPr>
        <w:tc>
          <w:tcPr>
            <w:tcW w:w="3140" w:type="dxa"/>
            <w:vAlign w:val="bottom"/>
            <w:tcBorders>
              <w:left w:val="single" w:sz="8" w:color="auto"/>
            </w:tcBorders>
          </w:tcPr>
          <w:p>
            <w:pPr>
              <w:spacing w:after="0"/>
              <w:rPr>
                <w:sz w:val="15"/>
                <w:szCs w:val="15"/>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our shares may trade at a discount to our NAV is separate and distinct from the risk that our NAV per share may</w:t>
            </w:r>
          </w:p>
        </w:tc>
      </w:tr>
      <w:tr>
        <w:trPr>
          <w:trHeight w:val="196"/>
        </w:trPr>
        <w:tc>
          <w:tcPr>
            <w:tcW w:w="3140" w:type="dxa"/>
            <w:vAlign w:val="bottom"/>
            <w:tcBorders>
              <w:left w:val="single" w:sz="8" w:color="auto"/>
            </w:tcBorders>
          </w:tcPr>
          <w:p>
            <w:pPr>
              <w:spacing w:after="0"/>
              <w:rPr>
                <w:sz w:val="17"/>
                <w:szCs w:val="17"/>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decline. We cannot predict whether our shares will trade above, at or below NAV. See “Risk Factors.”</w:t>
            </w:r>
          </w:p>
        </w:tc>
      </w:tr>
      <w:tr>
        <w:trPr>
          <w:trHeight w:val="345"/>
        </w:trPr>
        <w:tc>
          <w:tcPr>
            <w:tcW w:w="31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Sales of Common Stock Below NAV</w:t>
            </w: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The offering price per share of our common stock, less any underwriting commissions or discounts, will not be less</w:t>
            </w:r>
          </w:p>
        </w:tc>
      </w:tr>
      <w:tr>
        <w:trPr>
          <w:trHeight w:val="180"/>
        </w:trPr>
        <w:tc>
          <w:tcPr>
            <w:tcW w:w="3140" w:type="dxa"/>
            <w:vAlign w:val="bottom"/>
            <w:tcBorders>
              <w:left w:val="single" w:sz="8" w:color="auto"/>
            </w:tcBorders>
          </w:tcPr>
          <w:p>
            <w:pPr>
              <w:spacing w:after="0"/>
              <w:rPr>
                <w:sz w:val="15"/>
                <w:szCs w:val="15"/>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than the NAV per share of our common stock at the time of the offering, except (i) with the requisite approval of our</w:t>
            </w:r>
          </w:p>
        </w:tc>
      </w:tr>
      <w:tr>
        <w:trPr>
          <w:trHeight w:val="180"/>
        </w:trPr>
        <w:tc>
          <w:tcPr>
            <w:tcW w:w="3140" w:type="dxa"/>
            <w:vAlign w:val="bottom"/>
            <w:tcBorders>
              <w:left w:val="single" w:sz="8" w:color="auto"/>
            </w:tcBorders>
          </w:tcPr>
          <w:p>
            <w:pPr>
              <w:spacing w:after="0"/>
              <w:rPr>
                <w:sz w:val="15"/>
                <w:szCs w:val="15"/>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common stockholders or (ii) under such other circumstances as the SEC may permit. In addition, we cannot issue</w:t>
            </w:r>
          </w:p>
        </w:tc>
      </w:tr>
      <w:tr>
        <w:trPr>
          <w:trHeight w:val="180"/>
        </w:trPr>
        <w:tc>
          <w:tcPr>
            <w:tcW w:w="3140" w:type="dxa"/>
            <w:vAlign w:val="bottom"/>
            <w:tcBorders>
              <w:left w:val="single" w:sz="8" w:color="auto"/>
            </w:tcBorders>
          </w:tcPr>
          <w:p>
            <w:pPr>
              <w:spacing w:after="0"/>
              <w:rPr>
                <w:sz w:val="15"/>
                <w:szCs w:val="15"/>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shares of our common stock below NAV unless our board of directors determines that it would be in our stockholders’</w:t>
            </w:r>
          </w:p>
        </w:tc>
      </w:tr>
      <w:tr>
        <w:trPr>
          <w:trHeight w:val="180"/>
        </w:trPr>
        <w:tc>
          <w:tcPr>
            <w:tcW w:w="3140" w:type="dxa"/>
            <w:vAlign w:val="bottom"/>
            <w:tcBorders>
              <w:left w:val="single" w:sz="8" w:color="auto"/>
            </w:tcBorders>
          </w:tcPr>
          <w:p>
            <w:pPr>
              <w:spacing w:after="0"/>
              <w:rPr>
                <w:sz w:val="15"/>
                <w:szCs w:val="15"/>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best interests to do so. We did not seek stockholder authorization to issue common stock at a price below NAV per</w:t>
            </w:r>
          </w:p>
        </w:tc>
      </w:tr>
      <w:tr>
        <w:trPr>
          <w:trHeight w:val="196"/>
        </w:trPr>
        <w:tc>
          <w:tcPr>
            <w:tcW w:w="3140" w:type="dxa"/>
            <w:vAlign w:val="bottom"/>
            <w:tcBorders>
              <w:left w:val="single" w:sz="8" w:color="auto"/>
            </w:tcBorders>
          </w:tcPr>
          <w:p>
            <w:pPr>
              <w:spacing w:after="0"/>
              <w:rPr>
                <w:sz w:val="17"/>
                <w:szCs w:val="17"/>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share at our 2025 annual meeting of stockholders.</w:t>
            </w:r>
          </w:p>
        </w:tc>
      </w:tr>
      <w:tr>
        <w:trPr>
          <w:trHeight w:val="345"/>
        </w:trPr>
        <w:tc>
          <w:tcPr>
            <w:tcW w:w="314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Sales by us of our common stock at a discount from our NAV pose potential risks for our existing stockholders</w:t>
            </w:r>
          </w:p>
        </w:tc>
      </w:tr>
      <w:tr>
        <w:trPr>
          <w:trHeight w:val="180"/>
        </w:trPr>
        <w:tc>
          <w:tcPr>
            <w:tcW w:w="3140" w:type="dxa"/>
            <w:vAlign w:val="bottom"/>
            <w:tcBorders>
              <w:left w:val="single" w:sz="8" w:color="auto"/>
            </w:tcBorders>
          </w:tcPr>
          <w:p>
            <w:pPr>
              <w:spacing w:after="0"/>
              <w:rPr>
                <w:sz w:val="15"/>
                <w:szCs w:val="15"/>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whether or not they participate in the offering, as well as for new investors who participate in the offering. See “Sales</w:t>
            </w:r>
          </w:p>
        </w:tc>
      </w:tr>
      <w:tr>
        <w:trPr>
          <w:trHeight w:val="196"/>
        </w:trPr>
        <w:tc>
          <w:tcPr>
            <w:tcW w:w="3140" w:type="dxa"/>
            <w:vAlign w:val="bottom"/>
            <w:tcBorders>
              <w:left w:val="single" w:sz="8" w:color="auto"/>
            </w:tcBorders>
          </w:tcPr>
          <w:p>
            <w:pPr>
              <w:spacing w:after="0"/>
              <w:rPr>
                <w:sz w:val="17"/>
                <w:szCs w:val="17"/>
                <w:color w:val="auto"/>
              </w:rPr>
            </w:pPr>
          </w:p>
        </w:tc>
        <w:tc>
          <w:tcPr>
            <w:tcW w:w="81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5"/>
                <w:szCs w:val="15"/>
                <w:color w:val="auto"/>
              </w:rPr>
              <w:t>of Common Stock Below Net Asset Value.”</w:t>
            </w:r>
          </w:p>
        </w:tc>
      </w:tr>
      <w:tr>
        <w:trPr>
          <w:trHeight w:val="260"/>
        </w:trPr>
        <w:tc>
          <w:tcPr>
            <w:tcW w:w="3140" w:type="dxa"/>
            <w:vAlign w:val="bottom"/>
            <w:tcBorders>
              <w:left w:val="single" w:sz="8" w:color="auto"/>
              <w:bottom w:val="single" w:sz="8" w:color="auto"/>
            </w:tcBorders>
          </w:tcPr>
          <w:p>
            <w:pPr>
              <w:spacing w:after="0"/>
              <w:rPr>
                <w:sz w:val="22"/>
                <w:szCs w:val="22"/>
                <w:color w:val="auto"/>
              </w:rPr>
            </w:pPr>
          </w:p>
        </w:tc>
        <w:tc>
          <w:tcPr>
            <w:tcW w:w="8120" w:type="dxa"/>
            <w:vAlign w:val="bottom"/>
            <w:tcBorders>
              <w:bottom w:val="single" w:sz="8" w:color="auto"/>
              <w:right w:val="single" w:sz="8" w:color="auto"/>
            </w:tcBorders>
          </w:tcPr>
          <w:p>
            <w:pPr>
              <w:spacing w:after="0"/>
              <w:rPr>
                <w:sz w:val="22"/>
                <w:szCs w:val="22"/>
                <w:color w:val="auto"/>
              </w:rPr>
            </w:pPr>
          </w:p>
        </w:tc>
      </w:tr>
      <w:tr>
        <w:trPr>
          <w:trHeight w:val="365"/>
        </w:trPr>
        <w:tc>
          <w:tcPr>
            <w:tcW w:w="314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5"/>
                <w:szCs w:val="15"/>
                <w:color w:val="auto"/>
              </w:rPr>
              <w:t>6</w:t>
            </w:r>
          </w:p>
        </w:tc>
      </w:tr>
    </w:tbl>
    <w:p>
      <w:pPr>
        <w:sectPr>
          <w:pgSz w:w="11900" w:h="16838" w:orient="portrait"/>
          <w:cols w:equalWidth="0" w:num="1">
            <w:col w:w="11260"/>
          </w:cols>
          <w:pgMar w:left="320" w:top="572" w:right="3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7"/>
        </w:trPr>
        <w:tc>
          <w:tcPr>
            <w:tcW w:w="356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Leverage</w:t>
            </w:r>
          </w:p>
        </w:tc>
        <w:tc>
          <w:tcPr>
            <w:tcW w:w="770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We borrow funds to make additional investments. We use this practice, which is known as “leverage,” to attempt to</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increase returns to our stockholders, but it involves significant risks. See “Risk Factors,” “Senior Securities,” and</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“Regulation” below. We are currently allowed to borrow amounts such that our asset coverage, as calculated pursuant</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to the 1940 Act, equals at least 150% after such borrowing (i.e., we are able to borrow up to two dollars for every</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dollar we have in assets less all liabilities and indebtedness not represented by senior securities issued by us). See</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“Management’s Discussion and Analysis of Financial Condition and Results of Operations” in Part II, Item 7 of our</w:t>
            </w:r>
          </w:p>
        </w:tc>
      </w:tr>
      <w:tr>
        <w:trPr>
          <w:trHeight w:val="196"/>
        </w:trPr>
        <w:tc>
          <w:tcPr>
            <w:tcW w:w="3560" w:type="dxa"/>
            <w:vAlign w:val="bottom"/>
            <w:tcBorders>
              <w:left w:val="single" w:sz="8" w:color="auto"/>
            </w:tcBorders>
          </w:tcPr>
          <w:p>
            <w:pPr>
              <w:spacing w:after="0"/>
              <w:rPr>
                <w:sz w:val="17"/>
                <w:szCs w:val="17"/>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most recent Annual Report on Form 10-K and Part I, Item 2 of our most recent Quarterly Report on Form 10-Q.</w:t>
            </w:r>
          </w:p>
        </w:tc>
      </w:tr>
      <w:tr>
        <w:trPr>
          <w:trHeight w:val="345"/>
        </w:trPr>
        <w:tc>
          <w:tcPr>
            <w:tcW w:w="356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The amount of leverage that we employ at any particular time will depend on the assessment of market and other</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factors at the time of any proposed borrowing by the investment adviser’s investment committee and our board of</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directors. In addition, the SBA regulations currently limit the amount that is available to be borrowed by any SBIC and</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guaranteed by the SBA to 300.0% of an SBIC’s regulatory capital or $175.0 million, whichever is less. For two or</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more SBICs under common control, the maximum amount of outstanding SBA debentures cannot exceed $350.0</w:t>
            </w:r>
          </w:p>
        </w:tc>
      </w:tr>
      <w:tr>
        <w:trPr>
          <w:trHeight w:val="196"/>
        </w:trPr>
        <w:tc>
          <w:tcPr>
            <w:tcW w:w="3560" w:type="dxa"/>
            <w:vAlign w:val="bottom"/>
            <w:tcBorders>
              <w:left w:val="single" w:sz="8" w:color="auto"/>
            </w:tcBorders>
          </w:tcPr>
          <w:p>
            <w:pPr>
              <w:spacing w:after="0"/>
              <w:rPr>
                <w:sz w:val="17"/>
                <w:szCs w:val="17"/>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million.</w:t>
            </w:r>
          </w:p>
        </w:tc>
      </w:tr>
      <w:tr>
        <w:trPr>
          <w:trHeight w:val="345"/>
        </w:trPr>
        <w:tc>
          <w:tcPr>
            <w:tcW w:w="356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For more information, see “Risk Factors” in Part I, Item 1A of our most recent Annual Report on Form 10-K and</w:t>
            </w:r>
          </w:p>
        </w:tc>
      </w:tr>
      <w:tr>
        <w:trPr>
          <w:trHeight w:val="196"/>
        </w:trPr>
        <w:tc>
          <w:tcPr>
            <w:tcW w:w="3560" w:type="dxa"/>
            <w:vAlign w:val="bottom"/>
            <w:tcBorders>
              <w:left w:val="single" w:sz="8" w:color="auto"/>
            </w:tcBorders>
          </w:tcPr>
          <w:p>
            <w:pPr>
              <w:spacing w:after="0"/>
              <w:rPr>
                <w:sz w:val="17"/>
                <w:szCs w:val="17"/>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“Business” in Part I, Item 1 in our most recent Annual Report on Form 10-K.</w:t>
            </w:r>
          </w:p>
        </w:tc>
      </w:tr>
      <w:tr>
        <w:trPr>
          <w:trHeight w:val="345"/>
        </w:trPr>
        <w:tc>
          <w:tcPr>
            <w:tcW w:w="35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Available Information</w:t>
            </w: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We have filed with the SEC a registration statement on Form N-2, of which this prospectus is a part, under the</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Securities Act. This registration statement contains additional information about us and the securities being offered by</w:t>
            </w:r>
          </w:p>
        </w:tc>
      </w:tr>
      <w:tr>
        <w:trPr>
          <w:trHeight w:val="178"/>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this prospectus. We are also required to file annual, quarterly and current reports, proxy statements and other</w:t>
            </w:r>
          </w:p>
        </w:tc>
      </w:tr>
      <w:tr>
        <w:trPr>
          <w:trHeight w:val="198"/>
        </w:trPr>
        <w:tc>
          <w:tcPr>
            <w:tcW w:w="3560" w:type="dxa"/>
            <w:vAlign w:val="bottom"/>
            <w:tcBorders>
              <w:left w:val="single" w:sz="8" w:color="auto"/>
            </w:tcBorders>
          </w:tcPr>
          <w:p>
            <w:pPr>
              <w:spacing w:after="0"/>
              <w:rPr>
                <w:sz w:val="17"/>
                <w:szCs w:val="17"/>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 xml:space="preserve">information with the SEC. This information is available on the SEC’s website at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w:t>
            </w:r>
          </w:p>
        </w:tc>
      </w:tr>
      <w:tr>
        <w:trPr>
          <w:trHeight w:val="345"/>
        </w:trPr>
        <w:tc>
          <w:tcPr>
            <w:tcW w:w="356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 xml:space="preserve">We maintain a website at </w:t>
            </w:r>
            <w:r>
              <w:rPr>
                <w:rFonts w:ascii="Times New Roman" w:cs="Times New Roman" w:eastAsia="Times New Roman" w:hAnsi="Times New Roman"/>
                <w:sz w:val="15"/>
                <w:szCs w:val="15"/>
                <w:i w:val="1"/>
                <w:iCs w:val="1"/>
                <w:color w:val="auto"/>
              </w:rPr>
              <w:t>www.saratogainvestmentcorp.com</w:t>
            </w:r>
            <w:r>
              <w:rPr>
                <w:rFonts w:ascii="Times New Roman" w:cs="Times New Roman" w:eastAsia="Times New Roman" w:hAnsi="Times New Roman"/>
                <w:sz w:val="15"/>
                <w:szCs w:val="15"/>
                <w:color w:val="auto"/>
              </w:rPr>
              <w:t xml:space="preserve"> and make all of our annual, quarterly and current reports,</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proxy statements and other information available, free of charge, on or through our website. Information contained on</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our website is not incorporated by reference into this prospectus or any supplements to this prospectus, and you should</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not consider that information to be part of this prospectus or any supplements to this prospectus. You may also obtain</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such information free of charge by contacting us by mail at 535 Madison Avenue, New York, New York 10022 or by</w:t>
            </w:r>
          </w:p>
        </w:tc>
      </w:tr>
      <w:tr>
        <w:trPr>
          <w:trHeight w:val="196"/>
        </w:trPr>
        <w:tc>
          <w:tcPr>
            <w:tcW w:w="3560" w:type="dxa"/>
            <w:vAlign w:val="bottom"/>
            <w:tcBorders>
              <w:left w:val="single" w:sz="8" w:color="auto"/>
            </w:tcBorders>
          </w:tcPr>
          <w:p>
            <w:pPr>
              <w:spacing w:after="0"/>
              <w:rPr>
                <w:sz w:val="17"/>
                <w:szCs w:val="17"/>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telephone at (212) 906-7800.</w:t>
            </w:r>
          </w:p>
        </w:tc>
      </w:tr>
      <w:tr>
        <w:trPr>
          <w:trHeight w:val="345"/>
        </w:trPr>
        <w:tc>
          <w:tcPr>
            <w:tcW w:w="35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Incorporation of Certain Information by Reference</w:t>
            </w: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This prospectus is part of a registration statement that we have filed with the SEC. We may “incorporate by reference”</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the information that we file with the SEC, which means that we can disclose important information to you by referring</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you to those documents. The information incorporated by reference is considered to comprise a part of this prospectus</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from the date we file that information. Any reports filed by us with the SEC subsequent to the date of this prospectus</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until we have sold all of the securities offered by this prospectus or the offering is otherwise terminated will</w:t>
            </w:r>
          </w:p>
        </w:tc>
      </w:tr>
      <w:tr>
        <w:trPr>
          <w:trHeight w:val="180"/>
        </w:trPr>
        <w:tc>
          <w:tcPr>
            <w:tcW w:w="3560" w:type="dxa"/>
            <w:vAlign w:val="bottom"/>
            <w:tcBorders>
              <w:left w:val="single" w:sz="8" w:color="auto"/>
            </w:tcBorders>
          </w:tcPr>
          <w:p>
            <w:pPr>
              <w:spacing w:after="0"/>
              <w:rPr>
                <w:sz w:val="15"/>
                <w:szCs w:val="15"/>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automatically update and, where applicable, supersede any information contained in this prospectus or incorporated by</w:t>
            </w:r>
          </w:p>
        </w:tc>
      </w:tr>
      <w:tr>
        <w:trPr>
          <w:trHeight w:val="196"/>
        </w:trPr>
        <w:tc>
          <w:tcPr>
            <w:tcW w:w="3560" w:type="dxa"/>
            <w:vAlign w:val="bottom"/>
            <w:tcBorders>
              <w:left w:val="single" w:sz="8" w:color="auto"/>
            </w:tcBorders>
          </w:tcPr>
          <w:p>
            <w:pPr>
              <w:spacing w:after="0"/>
              <w:rPr>
                <w:sz w:val="17"/>
                <w:szCs w:val="17"/>
                <w:color w:val="auto"/>
              </w:rPr>
            </w:pPr>
          </w:p>
        </w:tc>
        <w:tc>
          <w:tcPr>
            <w:tcW w:w="77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reference in this prospectus. See “Incorporation of Certain Information by Reference” in this prospectus.</w:t>
            </w:r>
          </w:p>
        </w:tc>
      </w:tr>
      <w:tr>
        <w:trPr>
          <w:trHeight w:val="260"/>
        </w:trPr>
        <w:tc>
          <w:tcPr>
            <w:tcW w:w="3560" w:type="dxa"/>
            <w:vAlign w:val="bottom"/>
            <w:tcBorders>
              <w:left w:val="single" w:sz="8" w:color="auto"/>
              <w:bottom w:val="single" w:sz="8" w:color="auto"/>
            </w:tcBorders>
          </w:tcPr>
          <w:p>
            <w:pPr>
              <w:spacing w:after="0"/>
              <w:rPr>
                <w:sz w:val="22"/>
                <w:szCs w:val="22"/>
                <w:color w:val="auto"/>
              </w:rPr>
            </w:pPr>
          </w:p>
        </w:tc>
        <w:tc>
          <w:tcPr>
            <w:tcW w:w="7700" w:type="dxa"/>
            <w:vAlign w:val="bottom"/>
            <w:tcBorders>
              <w:bottom w:val="single" w:sz="8" w:color="auto"/>
              <w:right w:val="single" w:sz="8" w:color="auto"/>
            </w:tcBorders>
          </w:tcPr>
          <w:p>
            <w:pPr>
              <w:spacing w:after="0"/>
              <w:rPr>
                <w:sz w:val="22"/>
                <w:szCs w:val="22"/>
                <w:color w:val="auto"/>
              </w:rPr>
            </w:pPr>
          </w:p>
        </w:tc>
      </w:tr>
      <w:tr>
        <w:trPr>
          <w:trHeight w:val="365"/>
        </w:trPr>
        <w:tc>
          <w:tcPr>
            <w:tcW w:w="356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5"/>
                <w:szCs w:val="15"/>
                <w:color w:val="auto"/>
              </w:rPr>
              <w:t>7</w:t>
            </w:r>
          </w:p>
        </w:tc>
      </w:tr>
    </w:tbl>
    <w:p>
      <w:pPr>
        <w:sectPr>
          <w:pgSz w:w="11900" w:h="16838" w:orient="portrait"/>
          <w:cols w:equalWidth="0" w:num="1">
            <w:col w:w="11260"/>
          </w:cols>
          <w:pgMar w:left="320" w:top="572" w:right="319" w:bottom="1440" w:gutter="0" w:footer="0" w:header="0"/>
        </w:sectPr>
      </w:pPr>
    </w:p>
    <w:bookmarkStart w:id="13" w:name="page14"/>
    <w:bookmarkEnd w:id="13"/>
    <w:p>
      <w:pPr>
        <w:jc w:val="center"/>
        <w:ind w:right="-25"/>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375920</wp:posOffset>
            </wp:positionV>
            <wp:extent cx="7153275" cy="4166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3275" cy="4166870"/>
                    </a:xfrm>
                    <a:prstGeom prst="rect">
                      <a:avLst/>
                    </a:prstGeom>
                    <a:noFill/>
                  </pic:spPr>
                </pic:pic>
              </a:graphicData>
            </a:graphic>
          </wp:anchor>
        </w:drawing>
        <w:t>FEES AND EXPENSES</w:t>
      </w:r>
    </w:p>
    <w:p>
      <w:pPr>
        <w:spacing w:after="0" w:line="192" w:lineRule="exact"/>
        <w:rPr>
          <w:sz w:val="20"/>
          <w:szCs w:val="20"/>
          <w:color w:val="auto"/>
        </w:rPr>
      </w:pPr>
    </w:p>
    <w:p>
      <w:pPr>
        <w:jc w:val="both"/>
        <w:ind w:left="6" w:firstLine="271"/>
        <w:spacing w:after="0" w:line="257" w:lineRule="auto"/>
        <w:rPr>
          <w:sz w:val="20"/>
          <w:szCs w:val="20"/>
          <w:color w:val="auto"/>
        </w:rPr>
      </w:pPr>
      <w:r>
        <w:rPr>
          <w:rFonts w:ascii="Times New Roman" w:cs="Times New Roman" w:eastAsia="Times New Roman" w:hAnsi="Times New Roman"/>
          <w:sz w:val="15"/>
          <w:szCs w:val="15"/>
          <w:color w:val="auto"/>
        </w:rPr>
        <w:t>The following table is intended to assist you in understanding the costs and expenses that an investor in this offering will bear directly or indirectly. We caution you that some of the percentages indicated in the table below are estimates and may vary. Moreover, the information set forth below does not include any transaction costs and expenses that investors will incur in connection with each offering of our securities pursuant to this prospectus. As a result, investors are urged to read the “Fees and Expenses” table contained in any corresponding prospectus supplement to fully understanding the actual transaction costs and expenses they will incur in connection with each such offering. Except where the context suggests otherwise, whenever this prospectus contains a reference to fees or expenses paid by “you,” “us” or “Saratoga Investment Corp.,” or that “we” will pay fees or expenses, stockholders will indirectly bear such fees or expenses as investors in Saratoga Investment Corp.</w:t>
      </w:r>
    </w:p>
    <w:p>
      <w:pPr>
        <w:spacing w:after="0" w:line="151"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98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Stockholder transaction expenses (as a percentage of offering price):</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80"/>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Sales load</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0"/>
        </w:trPr>
        <w:tc>
          <w:tcPr>
            <w:tcW w:w="9860" w:type="dxa"/>
            <w:vAlign w:val="bottom"/>
          </w:tcPr>
          <w:p>
            <w:pPr>
              <w:spacing w:after="0"/>
              <w:rPr>
                <w:sz w:val="20"/>
                <w:szCs w:val="20"/>
                <w:color w:val="auto"/>
              </w:rPr>
            </w:pPr>
            <w:r>
              <w:rPr>
                <w:rFonts w:ascii="Times New Roman" w:cs="Times New Roman" w:eastAsia="Times New Roman" w:hAnsi="Times New Roman"/>
                <w:sz w:val="15"/>
                <w:szCs w:val="15"/>
                <w:color w:val="auto"/>
              </w:rPr>
              <w:t>Offering expenses borne by us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92"/>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reinvestment plan expenses</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None(3)</w:t>
            </w:r>
          </w:p>
        </w:tc>
      </w:tr>
      <w:tr>
        <w:trPr>
          <w:trHeight w:val="172"/>
        </w:trPr>
        <w:tc>
          <w:tcPr>
            <w:tcW w:w="986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80"/>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stockholder transaction expenses</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98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Annual estimated expenses (as a percentage of average net assets attributable to common stock):</w:t>
            </w: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0"/>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Management fees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4.35%(4)</w:t>
            </w:r>
          </w:p>
        </w:tc>
      </w:tr>
      <w:tr>
        <w:trPr>
          <w:trHeight w:val="180"/>
        </w:trPr>
        <w:tc>
          <w:tcPr>
            <w:tcW w:w="9860" w:type="dxa"/>
            <w:vAlign w:val="bottom"/>
          </w:tcPr>
          <w:p>
            <w:pPr>
              <w:spacing w:after="0"/>
              <w:rPr>
                <w:sz w:val="20"/>
                <w:szCs w:val="20"/>
                <w:color w:val="auto"/>
              </w:rPr>
            </w:pPr>
            <w:r>
              <w:rPr>
                <w:rFonts w:ascii="Times New Roman" w:cs="Times New Roman" w:eastAsia="Times New Roman" w:hAnsi="Times New Roman"/>
                <w:sz w:val="15"/>
                <w:szCs w:val="15"/>
                <w:color w:val="auto"/>
              </w:rPr>
              <w:t>Incentive fees payable under the Management Agreement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2.40%(5)</w:t>
            </w:r>
          </w:p>
        </w:tc>
      </w:tr>
      <w:tr>
        <w:trPr>
          <w:trHeight w:val="180"/>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payments on borrowed funds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12.15%(6)</w:t>
            </w:r>
          </w:p>
        </w:tc>
      </w:tr>
      <w:tr>
        <w:trPr>
          <w:trHeight w:val="192"/>
        </w:trPr>
        <w:tc>
          <w:tcPr>
            <w:tcW w:w="9860" w:type="dxa"/>
            <w:vAlign w:val="bottom"/>
          </w:tcPr>
          <w:p>
            <w:pPr>
              <w:spacing w:after="0"/>
              <w:rPr>
                <w:sz w:val="20"/>
                <w:szCs w:val="20"/>
                <w:color w:val="auto"/>
              </w:rPr>
            </w:pPr>
            <w:r>
              <w:rPr>
                <w:rFonts w:ascii="Times New Roman" w:cs="Times New Roman" w:eastAsia="Times New Roman" w:hAnsi="Times New Roman"/>
                <w:sz w:val="15"/>
                <w:szCs w:val="15"/>
                <w:color w:val="auto"/>
              </w:rPr>
              <w:t>Other expenses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2.87%(7)</w:t>
            </w:r>
          </w:p>
        </w:tc>
      </w:tr>
      <w:tr>
        <w:trPr>
          <w:trHeight w:val="172"/>
        </w:trPr>
        <w:tc>
          <w:tcPr>
            <w:tcW w:w="98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r>
      <w:tr>
        <w:trPr>
          <w:trHeight w:val="196"/>
        </w:trPr>
        <w:tc>
          <w:tcPr>
            <w:tcW w:w="9860" w:type="dxa"/>
            <w:vAlign w:val="bottom"/>
          </w:tcPr>
          <w:p>
            <w:pPr>
              <w:spacing w:after="0"/>
              <w:rPr>
                <w:sz w:val="20"/>
                <w:szCs w:val="20"/>
                <w:color w:val="auto"/>
              </w:rPr>
            </w:pPr>
            <w:r>
              <w:rPr>
                <w:rFonts w:ascii="Times New Roman" w:cs="Times New Roman" w:eastAsia="Times New Roman" w:hAnsi="Times New Roman"/>
                <w:sz w:val="15"/>
                <w:szCs w:val="15"/>
                <w:color w:val="auto"/>
              </w:rPr>
              <w:t>Total annual expenses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21.76%(8)</w:t>
            </w:r>
          </w:p>
        </w:tc>
      </w:tr>
    </w:tbl>
    <w:p>
      <w:pPr>
        <w:spacing w:after="0" w:line="150" w:lineRule="exact"/>
        <w:rPr>
          <w:sz w:val="20"/>
          <w:szCs w:val="20"/>
          <w:color w:val="auto"/>
        </w:rPr>
      </w:pPr>
    </w:p>
    <w:p>
      <w:pPr>
        <w:ind w:left="266" w:right="20" w:hanging="266"/>
        <w:spacing w:after="0" w:line="261" w:lineRule="auto"/>
        <w:tabs>
          <w:tab w:leader="none" w:pos="26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the shares of common stock to which this prospectus relates are sold to or through underwriters, a corresponding prospectus supplement will disclose the applicable sales load.</w:t>
      </w:r>
    </w:p>
    <w:p>
      <w:pPr>
        <w:spacing w:after="0" w:line="1" w:lineRule="exact"/>
        <w:rPr>
          <w:rFonts w:ascii="Times New Roman" w:cs="Times New Roman" w:eastAsia="Times New Roman" w:hAnsi="Times New Roman"/>
          <w:sz w:val="15"/>
          <w:szCs w:val="15"/>
          <w:color w:val="auto"/>
        </w:rPr>
      </w:pPr>
    </w:p>
    <w:p>
      <w:pPr>
        <w:ind w:left="266" w:hanging="266"/>
        <w:spacing w:after="0"/>
        <w:tabs>
          <w:tab w:leader="none" w:pos="26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prospectus supplement corresponding to each offering will disclose the applicable offering expenses and total stockholder transaction expenses.</w:t>
      </w:r>
    </w:p>
    <w:p>
      <w:pPr>
        <w:spacing w:after="0" w:line="7" w:lineRule="exact"/>
        <w:rPr>
          <w:rFonts w:ascii="Times New Roman" w:cs="Times New Roman" w:eastAsia="Times New Roman" w:hAnsi="Times New Roman"/>
          <w:sz w:val="15"/>
          <w:szCs w:val="15"/>
          <w:color w:val="auto"/>
        </w:rPr>
      </w:pPr>
    </w:p>
    <w:p>
      <w:pPr>
        <w:jc w:val="both"/>
        <w:ind w:left="266" w:right="20" w:hanging="266"/>
        <w:spacing w:after="0" w:line="251" w:lineRule="auto"/>
        <w:tabs>
          <w:tab w:leader="none" w:pos="26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expenses associated with the administration of our dividend reinvestment plan are included in “Other expenses.” The participants in the dividend reinvestment plan will pay a pro rata share of brokerage commissions incurred with respect to open market purchases, if any, made by the administrator under the plan. For more details about the plan, see “Dividend Reinvestment Plan.”</w:t>
      </w:r>
    </w:p>
    <w:p>
      <w:pPr>
        <w:jc w:val="both"/>
        <w:ind w:left="266" w:right="20" w:hanging="266"/>
        <w:spacing w:after="0" w:line="254" w:lineRule="auto"/>
        <w:tabs>
          <w:tab w:leader="none" w:pos="26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base management fee under the Management Agreement with Saratoga Investment Advisors is based on our gross assets, which is defined as our total assets, including those acquired using borrowings for investment purposes, but excluding cash and cash equivalents. See “Investment Advisory and Management Agreement” in Part I, Item 1 of our most recent Annual Report on Form 10-K. The fact that our base management fee is payable based upon our gross assets, rather than our net assets (i.e., total assets after deduction of any liabilities, including borrowings) means that our base management fee as a percentage of net assets attributable to common stock will increase when we utilize leverage.</w:t>
      </w:r>
    </w:p>
    <w:p>
      <w:pPr>
        <w:spacing w:after="0" w:line="200" w:lineRule="exact"/>
        <w:rPr>
          <w:sz w:val="20"/>
          <w:szCs w:val="20"/>
          <w:color w:val="auto"/>
        </w:rPr>
      </w:pPr>
    </w:p>
    <w:p>
      <w:pPr>
        <w:spacing w:after="0" w:line="23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14605</wp:posOffset>
            </wp:positionV>
            <wp:extent cx="715518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66"/>
          </w:cols>
          <w:pgMar w:left="414" w:top="854" w:right="419" w:bottom="1440" w:gutter="0" w:footer="0" w:header="0"/>
        </w:sectPr>
      </w:pPr>
    </w:p>
    <w:bookmarkStart w:id="14" w:name="page15"/>
    <w:bookmarkEnd w:id="14"/>
    <w:p>
      <w:pPr>
        <w:jc w:val="both"/>
        <w:ind w:left="266" w:hanging="266"/>
        <w:spacing w:after="0" w:line="258" w:lineRule="auto"/>
        <w:tabs>
          <w:tab w:leader="none" w:pos="266"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375920</wp:posOffset>
            </wp:positionV>
            <wp:extent cx="7153275" cy="4138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3275" cy="4138295"/>
                    </a:xfrm>
                    <a:prstGeom prst="rect">
                      <a:avLst/>
                    </a:prstGeom>
                    <a:noFill/>
                  </pic:spPr>
                </pic:pic>
              </a:graphicData>
            </a:graphic>
          </wp:anchor>
        </w:drawing>
        <w:t>The incentive fee consists of two parts. The first part is calculated and payable quarterly in arrears and equals 20% of our “pre-incentive fee net investment income” for the immediately preceding quarter, subject to a preferred return, or “hurdle,” and a “catch up” feature. For this purpose, “pre-incentive fee net investment income” means interest income, dividend income and any other income (including any other fees, such as commitment, origination, structuring, diligence, managerial and consulting fees or other fees that we receive from portfolio companies) accrued by us during the fiscal quarter, minus our operating expenses for the quarter (including the base management fee, expenses payable under the administration agreement described below, and any interest expense and dividends paid on any issued and outstanding preferred stock, but excluding the incentive fee).</w:t>
      </w:r>
    </w:p>
    <w:p>
      <w:pPr>
        <w:spacing w:after="0" w:line="171" w:lineRule="exact"/>
        <w:rPr>
          <w:rFonts w:ascii="Times New Roman" w:cs="Times New Roman" w:eastAsia="Times New Roman" w:hAnsi="Times New Roman"/>
          <w:sz w:val="15"/>
          <w:szCs w:val="15"/>
          <w:color w:val="auto"/>
        </w:rPr>
      </w:pPr>
    </w:p>
    <w:p>
      <w:pPr>
        <w:jc w:val="both"/>
        <w:ind w:left="266"/>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second part of the incentive fee is determined and payable in arrears as of the end of each fiscal year (or upon termination of the Management Agreement) and equals 20%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Under the Management Agreement,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Saratoga Investment Advisors will be entitled to 20% of incentive fee capital gains that arise after May 31, 2010. In addition, the cost basis for computing realized gains and losses on investments held by us as of May 31, 2010 will equal the fair value of such investments as of such date. See “Investment Advisory and Management Agreement” in </w:t>
      </w:r>
      <w:r>
        <w:rPr>
          <w:rFonts w:ascii="Times New Roman" w:cs="Times New Roman" w:eastAsia="Times New Roman" w:hAnsi="Times New Roman"/>
          <w:sz w:val="15"/>
          <w:szCs w:val="15"/>
          <w:color w:val="auto"/>
          <w:highlight w:val="white"/>
        </w:rPr>
        <w:t>in Part I, Item 1 of our most recent Annual Report 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auto"/>
          <w:highlight w:val="white"/>
        </w:rPr>
        <w:t>Form 10-K. We estimate this as zero for purposes of this table as these fees are difficult to predict, as they are based on capital gains and losses.</w:t>
      </w:r>
    </w:p>
    <w:p>
      <w:pPr>
        <w:jc w:val="both"/>
        <w:ind w:left="266" w:hanging="266"/>
        <w:spacing w:after="0" w:line="251" w:lineRule="auto"/>
        <w:tabs>
          <w:tab w:leader="none" w:pos="266"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borrow funds from time to time to make investments to the extent we determine that the economic situation is conducive to doing so. The 12.15% figure in the table includes all expected borrowing costs that we expect to incur over the next twelve months in connection with the special purpose vehicle financing credit facility with Live Oak Banking Company (the “Live Oak Credit Facility”) and the special purpose vehicle financing credit facility with Valley National Bank (the “Valley Credit Facility”). The costs associated with our outstanding borrowings are indirectly borne by our stockholders. We do not expect to issue any preferred stock during the next twelve months and, therefore, have not included the cost of issuing and servicing preferred stock in the table. In addition, all of the commitment fees, interest expense, amortized financing costs of the Valley Credit Facility, the Live Oak Credit Facility, the SBA debentures, the 4.375% notes due 2026 (the “4.375% 2026 Notes”), the 4.35% notes due 2027 (the “4.35% 2027 Notes”), the 6.00% notes due 2027 (the “6.00% 2027 Notes”), the 6.25% notes due 2027 (the “6.25% 2027 Notes), the 8.00% notes due 2027 (the “8.00% 2027 Notes”), the 8.125% 2027 Notes (the “8.125% 2027 Notes”), the 8.50% notes due 2028 (the “8.50% 2028 Notes”, and together with the 4.375% 2026 Notes, the 4.35% 2027 Notes, the 6.00% 2027 Notes, the 6.25% 2027 Notes, the 8.00% 2027 Notes, and the 8.125% 2027 Notes, the “Notes”), and the fees and expenses of issuing and servicing any other borrowings or leverage that we expect to incur during the next twelve months are included in the table and expense example presentation below. On April 16, 2018, our board of directors, including a majority of independent directors, approved the Company becoming subject to a minimum asset coverage ratio of 150%. The 150% asset coverage ratio became effective on April 16, 2019. See “Business” in Part I, Item 1 and “Risk Factors—Risks Related to Our Business and Structure— Effective April 16, 2019, our asset coverage requirement was reduced from 200% to 150%, which could increase the risk of investing in the Company” in Part I, Item 1A of our most recent Annual Report on Form 10-K.</w:t>
      </w:r>
    </w:p>
    <w:p>
      <w:pPr>
        <w:jc w:val="both"/>
        <w:ind w:left="266" w:hanging="266"/>
        <w:spacing w:after="0" w:line="251" w:lineRule="auto"/>
        <w:tabs>
          <w:tab w:leader="none" w:pos="266"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expenses” are based on estimated amounts for the quarter ended November 30, 2025 and include our overhead expenses, including payments under our administration agreement based on our allocable portion of overhead and other expenses incurred by Saratoga Investment Advisors in performing its obligations under the administration agreement. See “Administration Agreement.”</w:t>
      </w:r>
    </w:p>
    <w:p>
      <w:pPr>
        <w:jc w:val="both"/>
        <w:ind w:left="266" w:hanging="266"/>
        <w:spacing w:after="0" w:line="256" w:lineRule="auto"/>
        <w:tabs>
          <w:tab w:leader="none" w:pos="266"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figure includes all of the fees and expenses of our wholly owned subsidiaries, SBIC II LP, SBIC III LP, Saratoga Investment Funding II LLC, Saratoga Investment Funding III LLC, except SLF JV. As SLF JV is structured as private joint venture, with control and management shared equally between us and TJHA, no management fees are paid by SLF JV. Furthermore, this table reflects all of the fees and expenses borne by us with respect to our investment in Saratoga CLO.</w:t>
      </w:r>
    </w:p>
    <w:p>
      <w:pPr>
        <w:spacing w:after="0" w:line="200" w:lineRule="exact"/>
        <w:rPr>
          <w:sz w:val="20"/>
          <w:szCs w:val="20"/>
          <w:color w:val="auto"/>
        </w:rPr>
      </w:pPr>
    </w:p>
    <w:p>
      <w:pPr>
        <w:spacing w:after="0" w:line="23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14605</wp:posOffset>
            </wp:positionV>
            <wp:extent cx="715518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46"/>
          </w:cols>
          <w:pgMar w:left="414" w:top="858" w:right="439" w:bottom="1440" w:gutter="0" w:footer="0" w:header="0"/>
        </w:sectPr>
      </w:pPr>
    </w:p>
    <w:bookmarkStart w:id="15" w:name="page16"/>
    <w:bookmarkEnd w:id="15"/>
    <w:p>
      <w:pPr>
        <w:ind w:left="6"/>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375920</wp:posOffset>
            </wp:positionV>
            <wp:extent cx="7153275" cy="4073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3275" cy="4073525"/>
                    </a:xfrm>
                    <a:prstGeom prst="rect">
                      <a:avLst/>
                    </a:prstGeom>
                    <a:noFill/>
                  </pic:spPr>
                </pic:pic>
              </a:graphicData>
            </a:graphic>
          </wp:anchor>
        </w:drawing>
        <w:t>Example</w:t>
      </w:r>
    </w:p>
    <w:p>
      <w:pPr>
        <w:spacing w:after="0" w:line="192" w:lineRule="exact"/>
        <w:rPr>
          <w:sz w:val="20"/>
          <w:szCs w:val="20"/>
          <w:color w:val="auto"/>
        </w:rPr>
      </w:pPr>
    </w:p>
    <w:p>
      <w:pPr>
        <w:jc w:val="both"/>
        <w:ind w:left="6" w:firstLine="368"/>
        <w:spacing w:after="0" w:line="257" w:lineRule="auto"/>
        <w:rPr>
          <w:sz w:val="20"/>
          <w:szCs w:val="20"/>
          <w:color w:val="auto"/>
        </w:rPr>
      </w:pPr>
      <w:r>
        <w:rPr>
          <w:rFonts w:ascii="Times New Roman" w:cs="Times New Roman" w:eastAsia="Times New Roman" w:hAnsi="Times New Roman"/>
          <w:sz w:val="15"/>
          <w:szCs w:val="15"/>
          <w:color w:val="auto"/>
        </w:rPr>
        <w:t>The following example demonstrates the projected dollar amount of total cumulative expenses over various periods with respect to a hypothetical $1,000 investment in our common stock, assuming an asset coverage ratio of 168.4% (the Company’s actual asset coverage as of November 30, 2025) and total annual expenses of 21.76% of net assets attributable to common stock as set forth in the fees and expenses table above, and (x) a 5.0% annual return resulting entirely from net realized capital gains (none of which is subject to the incentive fee) and (y) a 5.0% annual return resulting entirely from net realized capital gains (all of which is subject to the incentive fee based on capital gains). Transaction expenses are included in the following example. This example and the expenses in the table above should not be considered a representation of our future expenses, and actual expenses (including cost of debt, if any, and other expenses) may be greater or less than those shown.</w:t>
      </w:r>
    </w:p>
    <w:p>
      <w:pPr>
        <w:spacing w:after="0" w:line="151" w:lineRule="exact"/>
        <w:rPr>
          <w:sz w:val="20"/>
          <w:szCs w:val="20"/>
          <w:color w:val="auto"/>
        </w:rPr>
      </w:pPr>
    </w:p>
    <w:tbl>
      <w:tblPr>
        <w:tblLayout w:type="fixed"/>
        <w:tblInd w:w="6" w:type="dxa"/>
        <w:tblCellMar>
          <w:top w:w="0" w:type="dxa"/>
          <w:left w:w="0" w:type="dxa"/>
          <w:bottom w:w="0" w:type="dxa"/>
          <w:right w:w="0" w:type="dxa"/>
        </w:tblCellMar>
      </w:tblPr>
      <w:tr>
        <w:trPr>
          <w:trHeight w:val="180"/>
        </w:trPr>
        <w:tc>
          <w:tcPr>
            <w:tcW w:w="5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You would pay the following expenses on a</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9"/>
        </w:trPr>
        <w:tc>
          <w:tcPr>
            <w:tcW w:w="5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$1,000 investment in our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 Year</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 Years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5 Years</w:t>
            </w:r>
          </w:p>
        </w:tc>
        <w:tc>
          <w:tcPr>
            <w:tcW w:w="18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10 Years</w:t>
            </w:r>
          </w:p>
        </w:tc>
      </w:tr>
      <w:tr>
        <w:trPr>
          <w:trHeight w:val="159"/>
        </w:trPr>
        <w:tc>
          <w:tcPr>
            <w:tcW w:w="57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w w:val="99"/>
              </w:rPr>
              <w:t>assuming a 5% annual return resulting entirely from net realized capital gains (none of which is</w:t>
            </w: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27"/>
        </w:trPr>
        <w:tc>
          <w:tcPr>
            <w:tcW w:w="5860" w:type="dxa"/>
            <w:vAlign w:val="bottom"/>
            <w:gridSpan w:val="2"/>
            <w:shd w:val="clear" w:color="auto" w:fill="CCEEFF"/>
          </w:tcPr>
          <w:p>
            <w:pPr>
              <w:ind w:left="120"/>
              <w:spacing w:after="0" w:line="227" w:lineRule="exact"/>
              <w:rPr>
                <w:sz w:val="20"/>
                <w:szCs w:val="20"/>
                <w:color w:val="auto"/>
              </w:rPr>
            </w:pPr>
            <w:r>
              <w:rPr>
                <w:rFonts w:ascii="Times New Roman" w:cs="Times New Roman" w:eastAsia="Times New Roman" w:hAnsi="Times New Roman"/>
                <w:sz w:val="15"/>
                <w:szCs w:val="15"/>
                <w:color w:val="auto"/>
              </w:rPr>
              <w:t>subject to the capital gains incentive fee)</w:t>
            </w:r>
            <w:r>
              <w:rPr>
                <w:rFonts w:ascii="Times New Roman" w:cs="Times New Roman" w:eastAsia="Times New Roman" w:hAnsi="Times New Roman"/>
                <w:sz w:val="25"/>
                <w:szCs w:val="25"/>
                <w:color w:val="auto"/>
                <w:vertAlign w:val="superscript"/>
              </w:rPr>
              <w:t>(1)</w:t>
            </w:r>
          </w:p>
        </w:tc>
        <w:tc>
          <w:tcPr>
            <w:tcW w:w="82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223</w:t>
            </w:r>
          </w:p>
        </w:tc>
        <w:tc>
          <w:tcPr>
            <w:tcW w:w="84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703</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1,232</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2,805</w:t>
            </w:r>
          </w:p>
        </w:tc>
      </w:tr>
      <w:tr>
        <w:trPr>
          <w:trHeight w:val="168"/>
        </w:trPr>
        <w:tc>
          <w:tcPr>
            <w:tcW w:w="586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color w:val="auto"/>
              </w:rPr>
              <w:t>assuming a 5% annual return resulting entirely from net realized capital gains (all of which is</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1"/>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subject to the incentive fee based on capital gains)</w:t>
            </w:r>
            <w:r>
              <w:rPr>
                <w:rFonts w:ascii="Times New Roman" w:cs="Times New Roman" w:eastAsia="Times New Roman" w:hAnsi="Times New Roman"/>
                <w:sz w:val="25"/>
                <w:szCs w:val="25"/>
                <w:color w:val="auto"/>
                <w:vertAlign w:val="superscript"/>
              </w:rPr>
              <w:t>(2)</w:t>
            </w:r>
          </w:p>
        </w:tc>
        <w:tc>
          <w:tcPr>
            <w:tcW w:w="820" w:type="dxa"/>
            <w:vAlign w:val="bottom"/>
          </w:tcPr>
          <w:p>
            <w:pPr>
              <w:jc w:val="right"/>
              <w:ind w:right="665"/>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233</w:t>
            </w:r>
          </w:p>
        </w:tc>
        <w:tc>
          <w:tcPr>
            <w:tcW w:w="840" w:type="dxa"/>
            <w:vAlign w:val="bottom"/>
          </w:tcPr>
          <w:p>
            <w:pPr>
              <w:jc w:val="right"/>
              <w:ind w:right="685"/>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735</w:t>
            </w: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1,288</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2,931</w:t>
            </w:r>
          </w:p>
        </w:tc>
      </w:tr>
    </w:tbl>
    <w:p>
      <w:pPr>
        <w:spacing w:after="0" w:line="62" w:lineRule="exact"/>
        <w:rPr>
          <w:sz w:val="20"/>
          <w:szCs w:val="20"/>
          <w:color w:val="auto"/>
        </w:rPr>
      </w:pPr>
    </w:p>
    <w:p>
      <w:pPr>
        <w:ind w:left="266" w:hanging="266"/>
        <w:spacing w:after="0"/>
        <w:tabs>
          <w:tab w:leader="none" w:pos="266"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that we will not realize any capital gains computed net of all realized capital losses and unrealized capital depreciation.</w:t>
      </w:r>
    </w:p>
    <w:p>
      <w:pPr>
        <w:spacing w:after="0" w:line="188" w:lineRule="exact"/>
        <w:rPr>
          <w:rFonts w:ascii="Times New Roman" w:cs="Times New Roman" w:eastAsia="Times New Roman" w:hAnsi="Times New Roman"/>
          <w:sz w:val="15"/>
          <w:szCs w:val="15"/>
          <w:color w:val="auto"/>
        </w:rPr>
      </w:pPr>
    </w:p>
    <w:p>
      <w:pPr>
        <w:jc w:val="both"/>
        <w:ind w:left="266" w:right="20" w:hanging="266"/>
        <w:spacing w:after="0" w:line="267" w:lineRule="auto"/>
        <w:tabs>
          <w:tab w:leader="none" w:pos="266"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no unrealized capital depreciation and a 5% annual return resulting entirely from net realized capital gains and therefore subject to the incentive fee based on capital gains. Because our investment strategy involves investments that generate primarily current income, we believe that a 5% annual return resulting entirely from net realized capital gains is unlikely.</w:t>
      </w:r>
    </w:p>
    <w:p>
      <w:pPr>
        <w:spacing w:after="0" w:line="142" w:lineRule="exact"/>
        <w:rPr>
          <w:sz w:val="20"/>
          <w:szCs w:val="20"/>
          <w:color w:val="auto"/>
        </w:rPr>
      </w:pPr>
    </w:p>
    <w:p>
      <w:pPr>
        <w:jc w:val="both"/>
        <w:ind w:left="6" w:right="20" w:firstLine="368"/>
        <w:spacing w:after="0" w:line="289" w:lineRule="auto"/>
        <w:rPr>
          <w:sz w:val="20"/>
          <w:szCs w:val="20"/>
          <w:color w:val="auto"/>
        </w:rPr>
      </w:pPr>
      <w:r>
        <w:rPr>
          <w:rFonts w:ascii="Times New Roman" w:cs="Times New Roman" w:eastAsia="Times New Roman" w:hAnsi="Times New Roman"/>
          <w:sz w:val="15"/>
          <w:szCs w:val="15"/>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130" w:lineRule="exact"/>
        <w:rPr>
          <w:sz w:val="20"/>
          <w:szCs w:val="20"/>
          <w:color w:val="auto"/>
        </w:rPr>
      </w:pPr>
    </w:p>
    <w:p>
      <w:pPr>
        <w:jc w:val="both"/>
        <w:ind w:left="6" w:firstLine="368"/>
        <w:spacing w:after="0" w:line="256" w:lineRule="auto"/>
        <w:rPr>
          <w:sz w:val="20"/>
          <w:szCs w:val="20"/>
          <w:color w:val="auto"/>
        </w:rPr>
      </w:pPr>
      <w:r>
        <w:rPr>
          <w:rFonts w:ascii="Times New Roman" w:cs="Times New Roman" w:eastAsia="Times New Roman" w:hAnsi="Times New Roman"/>
          <w:sz w:val="15"/>
          <w:szCs w:val="15"/>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Both examples assume that the 5% annual return will be generated entirely through net realized capital gains and, as a result, will trigger the payment of the capital gains portion of the incentive fee under the investment advisory agreement. Any potential income portion of the incentive fee under the investment advisory agreement is not included in the example. If we achieve sufficient returns on our investments, including through net realized capital gains, to trigger an incentive fee of a material amount, our expenses, and returns to our investors, would be higher. In addition, while the example assumes reinvestment of all dividends and distributions at NAV, under certain circumstances, reinvestment of dividends and other distributions under our dividend reinvestment plan may occur at a price per share that differs from NAV.</w:t>
      </w:r>
    </w:p>
    <w:p>
      <w:pPr>
        <w:spacing w:after="0" w:line="200" w:lineRule="exact"/>
        <w:rPr>
          <w:sz w:val="20"/>
          <w:szCs w:val="20"/>
          <w:color w:val="auto"/>
        </w:rPr>
      </w:pPr>
    </w:p>
    <w:p>
      <w:pPr>
        <w:spacing w:after="0" w:line="23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14605</wp:posOffset>
            </wp:positionV>
            <wp:extent cx="715518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66"/>
          </w:cols>
          <w:pgMar w:left="414" w:top="854" w:right="4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375920</wp:posOffset>
            </wp:positionV>
            <wp:extent cx="7153275" cy="814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3275" cy="814705"/>
                    </a:xfrm>
                    <a:prstGeom prst="rect">
                      <a:avLst/>
                    </a:prstGeom>
                    <a:noFill/>
                  </pic:spPr>
                </pic:pic>
              </a:graphicData>
            </a:graphic>
          </wp:anchor>
        </w:drawing>
        <w:t>FINANCIAL HIGHLIGHTS</w:t>
      </w:r>
    </w:p>
    <w:p>
      <w:pPr>
        <w:spacing w:after="0" w:line="192" w:lineRule="exact"/>
        <w:rPr>
          <w:sz w:val="20"/>
          <w:szCs w:val="20"/>
          <w:color w:val="auto"/>
        </w:rPr>
      </w:pPr>
    </w:p>
    <w:p>
      <w:pPr>
        <w:ind w:firstLine="271"/>
        <w:spacing w:after="0" w:line="28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information in Part II, Item 5 of our most recent Annual Report on </w:t>
      </w:r>
      <w:hyperlink r:id="rId24">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and the information in Note 14 to our unaudited consolidated financial statements appearing in our most recent Quarterly Report on </w:t>
      </w:r>
      <w:hyperlink r:id="rId34">
        <w:r>
          <w:rPr>
            <w:rFonts w:ascii="Times New Roman" w:cs="Times New Roman" w:eastAsia="Times New Roman" w:hAnsi="Times New Roman"/>
            <w:sz w:val="15"/>
            <w:szCs w:val="15"/>
            <w:u w:val="single" w:color="auto"/>
            <w:color w:val="0000EE"/>
          </w:rPr>
          <w:t>Form 10-Q</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is incorporated by reference herein.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14605</wp:posOffset>
            </wp:positionV>
            <wp:extent cx="715518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60"/>
          </w:cols>
          <w:pgMar w:left="420" w:top="854" w:right="4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92" w:lineRule="exact"/>
        <w:rPr>
          <w:sz w:val="20"/>
          <w:szCs w:val="20"/>
          <w:color w:val="auto"/>
        </w:rPr>
      </w:pPr>
    </w:p>
    <w:p>
      <w:pPr>
        <w:jc w:val="both"/>
        <w:ind w:firstLine="271"/>
        <w:spacing w:after="0" w:line="25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Investing in our securities involves a high degree of risk. In addition to the other information contained in this prospectus and any accompanying prospectus supplement, you should consider carefully the following information before making an investment in our securities. Before deciding whether to invest in our securities, you should carefully consider the risks and uncertainties described in the section titled “Risk Factors” in the applicable prospectus supplement and any related free writing prospectus, and discussed in the section titled “Risk Factors” in Part I, Item 1A of our most recent Annual Report on </w:t>
      </w:r>
      <w:hyperlink r:id="rId24">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and any subsequent filings we have made with the SEC that are incorporated by reference into this prospectus, together with other information in this prospectus, the documents incorporated by reference in this prospectus or any prospectus supplement, and any free writing prospectus that we may authorize for use in connection with this offering. The risks and uncertainties described in these documents could materially adversely affect our business, financial condition and results of operations. The risks described in these documents are not the only ones we face. Additional risks and uncertainties that we are unaware of, or that we currently believe are not material, may also become important factors that adversely affect our business. Past financial performance may not be a reliable indicator of future performance, and historical trends should not be used to anticipate results or trends in future periods. If any of these risks actually occurs, our business, reputation, financial condition, results of operations, revenue, and future prospects could be seriously harmed. This could cause our NAV and the trading price of our securities to decline, resulting in a loss of all or part of your investment. Please also read carefully the section titled “Special Note Regarding Forward-Looking Statements” in this prospectus.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Unless otherwise specified in a prospectus supplement, we intend to use substantially all of the net proceeds from the sale of our securities to make investments in middle-market companies in accordance with our investment objective and strategies described in this prospectus, and for general corporate purposes. We may also use a portion of the net proceeds to reduce any of our outstanding borrowings (which will be subject to re-borrowing).</w:t>
      </w:r>
    </w:p>
    <w:p>
      <w:pPr>
        <w:spacing w:after="0" w:line="146" w:lineRule="exact"/>
        <w:rPr>
          <w:sz w:val="20"/>
          <w:szCs w:val="20"/>
          <w:color w:val="auto"/>
        </w:rPr>
      </w:pPr>
    </w:p>
    <w:p>
      <w:pPr>
        <w:jc w:val="both"/>
        <w:ind w:firstLine="271"/>
        <w:spacing w:after="0" w:line="25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We anticipate that substantially all of the net proceeds from any offering of our securities will be used as described above within six to twelve months. Pending such use, we will invest the net proceeds primarily in high quality, short-term debt securities consistent with our BDC election and our election to be treated as a RIC. See “Regulation—Business Development Company Regulations” In Part I, Item 1 of our most recent Annual Report on </w:t>
      </w:r>
      <w:hyperlink r:id="rId24">
        <w:r>
          <w:rPr>
            <w:rFonts w:ascii="Times New Roman" w:cs="Times New Roman" w:eastAsia="Times New Roman" w:hAnsi="Times New Roman"/>
            <w:sz w:val="15"/>
            <w:szCs w:val="15"/>
            <w:u w:val="single" w:color="auto"/>
            <w:color w:val="0000EE"/>
          </w:rPr>
          <w:t>Form 10-K</w:t>
        </w:r>
      </w:hyperlink>
      <w:r>
        <w:rPr>
          <w:rFonts w:ascii="Times New Roman" w:cs="Times New Roman" w:eastAsia="Times New Roman" w:hAnsi="Times New Roman"/>
          <w:sz w:val="15"/>
          <w:szCs w:val="15"/>
          <w:color w:val="auto"/>
        </w:rPr>
        <w:t>. Our ability to achieve our investment objective may be limited to the extent that the net proceeds from an offering, pending full investment, are held in interest-bearing deposits or other short-term instruments. The supplement to this prospectus relating to an offering will more fully identify the use of proceeds from such an offering.</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2"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192"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This prospectus, including the documents that we incorporate by reference herein, contains, and any applicable prospectus supplement or free writing prospectus, including the documents we incorporate by reference therein, may contain forward-looking statements, including statements regarding our future financial condition, business strategy, and plans and objectives of management for future operations. All statements other than statements of historical facts, including statements regarding our future results of operations or financial condition, business strategy and plans, and objectives of management for future operations, are forward-looking statements. Any such forward-looking statements may involve known and unknown risks, uncertainties and other factors that may cause our actual results, performance or achievements to be materially different from future results, performance or achievements expressed or implied by any forward-looking statements.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“should,” “targets,” “projects” and variations of these words and similar expressions are intended to identify forward-looking statements. These forward-looking statements involve risks and uncertainties and are based on assumptions that may be incorrect, and we cannot assure you that the projections included in these forward-looking statements will come to pass. Accordingly, there are or will be important factors that could cause our actual results to differ materially from those expressed or implied by the forward-looking statements. The forward-looking statements contained or incorporated by reference in this prospectus and any applicable prospectus supplement or free writing prospectus involve risks and uncertainties, including statements as to:</w:t>
      </w:r>
    </w:p>
    <w:p>
      <w:pPr>
        <w:spacing w:after="0" w:line="155" w:lineRule="exact"/>
        <w:rPr>
          <w:sz w:val="20"/>
          <w:szCs w:val="20"/>
          <w:color w:val="auto"/>
        </w:rPr>
      </w:pPr>
    </w:p>
    <w:p>
      <w:pPr>
        <w:ind w:left="540" w:hanging="279"/>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operating results;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introduction, withdrawal, success and timing of business initiatives and strategies;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political, economic or industry conditions, the interest rate environment or financial and capital markets, which could result in changes in the value of our assets;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relative and absolute investment performance and operations of our investment adviser;</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increased competition;</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turn potential investment opportunities into transactions and thereafter into completed and successful investments;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unfavorable resolution of any future legal proceedings;</w:t>
      </w:r>
    </w:p>
    <w:p>
      <w:pPr>
        <w:spacing w:after="0" w:line="188" w:lineRule="exact"/>
        <w:rPr>
          <w:rFonts w:ascii="Times New Roman" w:cs="Times New Roman" w:eastAsia="Times New Roman" w:hAnsi="Times New Roman"/>
          <w:sz w:val="15"/>
          <w:szCs w:val="15"/>
          <w:color w:val="auto"/>
        </w:rPr>
      </w:pPr>
    </w:p>
    <w:p>
      <w:pPr>
        <w:jc w:val="both"/>
        <w:ind w:left="540" w:hanging="279"/>
        <w:spacing w:after="0" w:line="267" w:lineRule="auto"/>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prospects and the operational and financial performance of our portfolio companies, including their ability to achieve our respective objectives as a result of the current economic conditions caused by, among other things, elevated levels of inflation, and uncertainty relating to the interest rate environment, and the effects of the disruptions caused thereby on our ability to continue to effectively manage our business;;</w:t>
      </w:r>
    </w:p>
    <w:p>
      <w:pPr>
        <w:spacing w:after="0" w:line="146" w:lineRule="exact"/>
        <w:rPr>
          <w:rFonts w:ascii="Times New Roman" w:cs="Times New Roman" w:eastAsia="Times New Roman" w:hAnsi="Times New Roman"/>
          <w:sz w:val="15"/>
          <w:szCs w:val="15"/>
          <w:color w:val="auto"/>
        </w:rPr>
      </w:pPr>
    </w:p>
    <w:p>
      <w:pPr>
        <w:ind w:left="540" w:right="180" w:hanging="279"/>
        <w:spacing w:after="0" w:line="283" w:lineRule="auto"/>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rate volatility, including the uncertainty relating to the interest rate environment, could adversely affect our results, particularly if we elect to use leverage as part of our investment strategy;</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investments that we expect to make and future acquisitions and divestitures;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contractual arrangements and relationships with third parties;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2" w:right="319" w:bottom="1440" w:gutter="0" w:footer="0" w:header="0"/>
        </w:sectPr>
      </w:pPr>
    </w:p>
    <w:bookmarkStart w:id="20" w:name="page21"/>
    <w:bookmarkEnd w:id="20"/>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dependence of our future success on the general economy and its impact on the industries in which we invest;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portfolio companies to achieve their objectives;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expected financings and investments;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regulatory structure and tax treatment, including our ability to operate as a BDC, or to operate our SBIC Subsidiaries, and to continue to qualify to be taxed as a RIC;</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adequacy of our cash resources and working capital;</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cash flows, if any, from the operations of our portfolio companies;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supply chain constraints and labor difficulties on our portfolio companies and the global economy;</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elevated level of inflation, and its impact on our portfolio companies and on the industries in which we invest;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uncertainty associated with the imposition of tariffs and trade barriers and changes in trade policy and its impact on our portfolio companies and the global economy;</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geopolitical conditions on our portfolio companies and on the industries in which we invest;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legislative and regulatory actions and reforms and regulatory, supervisory or enforcement actions of government agencies relating to us or our investment adviser;</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changes to tax legislation and, generally, our tax position;</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access capital and any future financings by us;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investment adviser to attract and retain highly talented professionals;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investment adviser to locate suitable investments for us and to monitor and effectively administer our investments.</w:t>
      </w:r>
    </w:p>
    <w:p>
      <w:pPr>
        <w:spacing w:after="0" w:line="188" w:lineRule="exact"/>
        <w:rPr>
          <w:sz w:val="20"/>
          <w:szCs w:val="20"/>
          <w:color w:val="auto"/>
        </w:rPr>
      </w:pPr>
    </w:p>
    <w:p>
      <w:pPr>
        <w:jc w:val="both"/>
        <w:ind w:firstLine="271"/>
        <w:spacing w:after="0" w:line="25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“Risk Factors” in Part I, Item 1A of our most recent Annual Report on </w:t>
      </w:r>
      <w:hyperlink r:id="rId24">
        <w:r>
          <w:rPr>
            <w:rFonts w:ascii="Times New Roman" w:cs="Times New Roman" w:eastAsia="Times New Roman" w:hAnsi="Times New Roman"/>
            <w:sz w:val="15"/>
            <w:szCs w:val="15"/>
            <w:u w:val="single" w:color="auto"/>
            <w:color w:val="0000EE"/>
          </w:rPr>
          <w:t>Form 10-K</w:t>
        </w:r>
      </w:hyperlink>
      <w:r>
        <w:rPr>
          <w:rFonts w:ascii="Times New Roman" w:cs="Times New Roman" w:eastAsia="Times New Roman" w:hAnsi="Times New Roman"/>
          <w:sz w:val="15"/>
          <w:szCs w:val="15"/>
          <w:color w:val="auto"/>
        </w:rPr>
        <w:t xml:space="preserve">, in Part II, Item 1A of our most recent Quarterly Report on </w:t>
      </w:r>
      <w:hyperlink r:id="rId34">
        <w:r>
          <w:rPr>
            <w:rFonts w:ascii="Times New Roman" w:cs="Times New Roman" w:eastAsia="Times New Roman" w:hAnsi="Times New Roman"/>
            <w:sz w:val="15"/>
            <w:szCs w:val="15"/>
            <w:u w:val="single" w:color="auto"/>
            <w:color w:val="0000EE"/>
          </w:rPr>
          <w:t>Form 10-Q</w:t>
        </w:r>
      </w:hyperlink>
      <w:r>
        <w:rPr>
          <w:rFonts w:ascii="Times New Roman" w:cs="Times New Roman" w:eastAsia="Times New Roman" w:hAnsi="Times New Roman"/>
          <w:sz w:val="15"/>
          <w:szCs w:val="15"/>
          <w:color w:val="auto"/>
        </w:rPr>
        <w:t>, and elsewhere in this prospectus, any applicable prospectus supplement or free writing prospectus, including the documents we incorporate by reference. You should not place undue reliance on these forward-looking statements, which are based on information available to us as of the applicable date of this prospectus, any applicable prospectus supplement or free writing prospectus, including any documents incorporated by reference,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21" w:name="page22"/>
    <w:bookmarkEnd w:id="21"/>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PRICE RANGE OF COMMON STOCK AND DISTRIBUTIONS</w:t>
      </w:r>
    </w:p>
    <w:p>
      <w:pPr>
        <w:spacing w:after="0" w:line="192" w:lineRule="exact"/>
        <w:rPr>
          <w:sz w:val="20"/>
          <w:szCs w:val="20"/>
          <w:color w:val="auto"/>
        </w:rPr>
      </w:pPr>
    </w:p>
    <w:p>
      <w:pPr>
        <w:ind w:left="10" w:firstLine="271"/>
        <w:spacing w:after="0" w:line="283" w:lineRule="auto"/>
        <w:rPr>
          <w:sz w:val="20"/>
          <w:szCs w:val="20"/>
          <w:color w:val="auto"/>
        </w:rPr>
      </w:pPr>
      <w:r>
        <w:rPr>
          <w:rFonts w:ascii="Times New Roman" w:cs="Times New Roman" w:eastAsia="Times New Roman" w:hAnsi="Times New Roman"/>
          <w:sz w:val="15"/>
          <w:szCs w:val="15"/>
          <w:color w:val="auto"/>
        </w:rPr>
        <w:t>Our common stock is traded on the NYSE under the symbol “SAR”. The following table lists the high and low closing sale price for our common stock, and the closing sale price as a percentage of NAV for each fiscal quarter during the last two most recently completed fiscal years and any subsequent interim periods.</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Premium /</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Premium /</w:t>
            </w:r>
          </w:p>
        </w:tc>
      </w:tr>
      <w:tr>
        <w:trPr>
          <w:trHeight w:val="180"/>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High</w:t>
            </w:r>
          </w:p>
        </w:tc>
        <w:tc>
          <w:tcPr>
            <w:tcW w:w="18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Low</w:t>
            </w: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(Discount) of</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(Discount) of</w:t>
            </w:r>
          </w:p>
        </w:tc>
      </w:tr>
      <w:tr>
        <w:trPr>
          <w:trHeight w:val="180"/>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9"/>
              </w:rPr>
              <w:t>Closing</w:t>
            </w:r>
          </w:p>
        </w:tc>
        <w:tc>
          <w:tcPr>
            <w:tcW w:w="18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Closing</w:t>
            </w: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High Sales</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Low Sales</w:t>
            </w:r>
          </w:p>
        </w:tc>
      </w:tr>
      <w:tr>
        <w:trPr>
          <w:trHeight w:val="180"/>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8"/>
              </w:rPr>
              <w:t>Sales</w:t>
            </w:r>
          </w:p>
        </w:tc>
        <w:tc>
          <w:tcPr>
            <w:tcW w:w="18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Sales</w:t>
            </w: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Price to NAV</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Price to NAV</w:t>
            </w:r>
          </w:p>
        </w:tc>
      </w:tr>
      <w:tr>
        <w:trPr>
          <w:trHeight w:val="199"/>
        </w:trPr>
        <w:tc>
          <w:tcPr>
            <w:tcW w:w="46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8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NAV (1)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w w:val="95"/>
              </w:rPr>
              <w:t>Price</w:t>
            </w:r>
          </w:p>
        </w:tc>
        <w:tc>
          <w:tcPr>
            <w:tcW w:w="18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Price</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w:t>
            </w:r>
          </w:p>
        </w:tc>
        <w:tc>
          <w:tcPr>
            <w:tcW w:w="2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w:t>
            </w:r>
          </w:p>
        </w:tc>
        <w:tc>
          <w:tcPr>
            <w:tcW w:w="180" w:type="dxa"/>
            <w:vAlign w:val="bottom"/>
          </w:tcPr>
          <w:p>
            <w:pPr>
              <w:spacing w:after="0"/>
              <w:rPr>
                <w:sz w:val="17"/>
                <w:szCs w:val="17"/>
                <w:color w:val="auto"/>
              </w:rPr>
            </w:pPr>
          </w:p>
        </w:tc>
      </w:tr>
      <w:tr>
        <w:trPr>
          <w:trHeight w:val="172"/>
        </w:trPr>
        <w:tc>
          <w:tcPr>
            <w:tcW w:w="20" w:type="dxa"/>
            <w:vAlign w:val="bottom"/>
          </w:tcPr>
          <w:p>
            <w:pPr>
              <w:spacing w:after="0"/>
              <w:rPr>
                <w:sz w:val="14"/>
                <w:szCs w:val="14"/>
                <w:color w:val="auto"/>
              </w:rPr>
            </w:pPr>
          </w:p>
        </w:tc>
        <w:tc>
          <w:tcPr>
            <w:tcW w:w="4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b w:val="1"/>
                <w:bCs w:val="1"/>
                <w:i w:val="1"/>
                <w:iCs w:val="1"/>
                <w:color w:val="auto"/>
              </w:rPr>
              <w:t>Year ending February 28, 2026</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25.52</w:t>
            </w:r>
          </w:p>
        </w:tc>
        <w:tc>
          <w:tcPr>
            <w:tcW w:w="1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25.79</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21.46</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(15.91)%</w:t>
            </w:r>
          </w:p>
        </w:tc>
      </w:tr>
      <w:tr>
        <w:trPr>
          <w:trHeight w:val="180"/>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25.54</w:t>
            </w:r>
          </w:p>
        </w:tc>
        <w:tc>
          <w:tcPr>
            <w:tcW w:w="18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24.08</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(0.27)</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(5.97)</w:t>
            </w:r>
          </w:p>
        </w:tc>
      </w:tr>
      <w:tr>
        <w:trPr>
          <w:trHeight w:val="180"/>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Third Quarter</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25.55</w:t>
            </w: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21.56</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(0.16)</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(15.75)</w:t>
            </w:r>
          </w:p>
        </w:tc>
      </w:tr>
      <w:tr>
        <w:trPr>
          <w:trHeight w:val="180"/>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Fourth Quarter (through January 14, 2026)</w:t>
            </w: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23.55</w:t>
            </w:r>
          </w:p>
        </w:tc>
        <w:tc>
          <w:tcPr>
            <w:tcW w:w="18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22.44</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Year ended February 28, 2025</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26.85</w:t>
            </w:r>
          </w:p>
        </w:tc>
        <w:tc>
          <w:tcPr>
            <w:tcW w:w="12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24.09</w:t>
            </w: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22.52</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(10.28)%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(16.13)%</w:t>
            </w:r>
          </w:p>
        </w:tc>
      </w:tr>
      <w:tr>
        <w:trPr>
          <w:trHeight w:val="180"/>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24.42</w:t>
            </w: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21.91</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(9.79)</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(19.06)</w:t>
            </w:r>
          </w:p>
        </w:tc>
      </w:tr>
      <w:tr>
        <w:trPr>
          <w:trHeight w:val="180"/>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Third Quarter</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26.07</w:t>
            </w:r>
          </w:p>
        </w:tc>
        <w:tc>
          <w:tcPr>
            <w:tcW w:w="18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22.95</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(3.27)</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(14.84)</w:t>
            </w:r>
          </w:p>
        </w:tc>
      </w:tr>
      <w:tr>
        <w:trPr>
          <w:trHeight w:val="180"/>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Fourth Quarter</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26.00</w:t>
            </w: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23.52</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0.54</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(9.05)</w:t>
            </w:r>
          </w:p>
        </w:tc>
      </w:tr>
      <w:tr>
        <w:trPr>
          <w:trHeight w:val="180"/>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i w:val="1"/>
                <w:iCs w:val="1"/>
                <w:color w:val="auto"/>
              </w:rPr>
              <w:t>Year ended February 29, 2024</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28.48</w:t>
            </w:r>
          </w:p>
        </w:tc>
        <w:tc>
          <w:tcPr>
            <w:tcW w:w="1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28.10</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22.82</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(1.33)%</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(19.87)</w:t>
            </w:r>
          </w:p>
        </w:tc>
      </w:tr>
      <w:tr>
        <w:trPr>
          <w:trHeight w:val="180"/>
        </w:trPr>
        <w:tc>
          <w:tcPr>
            <w:tcW w:w="20" w:type="dxa"/>
            <w:vAlign w:val="bottom"/>
          </w:tcPr>
          <w:p>
            <w:pPr>
              <w:spacing w:after="0"/>
              <w:rPr>
                <w:sz w:val="15"/>
                <w:szCs w:val="15"/>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28.64</w:t>
            </w:r>
          </w:p>
        </w:tc>
        <w:tc>
          <w:tcPr>
            <w:tcW w:w="18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25.70</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0.70</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(9.63)</w:t>
            </w:r>
          </w:p>
        </w:tc>
      </w:tr>
      <w:tr>
        <w:trPr>
          <w:trHeight w:val="180"/>
        </w:trPr>
        <w:tc>
          <w:tcPr>
            <w:tcW w:w="20" w:type="dxa"/>
            <w:vAlign w:val="bottom"/>
          </w:tcPr>
          <w:p>
            <w:pPr>
              <w:spacing w:after="0"/>
              <w:rPr>
                <w:sz w:val="15"/>
                <w:szCs w:val="15"/>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Third Quarter</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26.60</w:t>
            </w: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23.05</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(2.99)</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(15.94)</w:t>
            </w:r>
          </w:p>
        </w:tc>
      </w:tr>
      <w:tr>
        <w:trPr>
          <w:trHeight w:val="196"/>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Fourth Quarter</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26.73</w:t>
            </w:r>
          </w:p>
        </w:tc>
        <w:tc>
          <w:tcPr>
            <w:tcW w:w="1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22.77</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(1.44)</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(16.04)</w:t>
            </w:r>
          </w:p>
        </w:tc>
      </w:tr>
    </w:tbl>
    <w:p>
      <w:pPr>
        <w:spacing w:after="0" w:line="150" w:lineRule="exact"/>
        <w:rPr>
          <w:sz w:val="20"/>
          <w:szCs w:val="20"/>
          <w:color w:val="auto"/>
        </w:rPr>
      </w:pPr>
    </w:p>
    <w:p>
      <w:pPr>
        <w:ind w:left="10"/>
        <w:spacing w:after="0"/>
        <w:tabs>
          <w:tab w:leader="none" w:pos="249" w:val="left"/>
        </w:tabs>
        <w:rPr>
          <w:sz w:val="20"/>
          <w:szCs w:val="20"/>
          <w:color w:val="auto"/>
        </w:rPr>
      </w:pPr>
      <w:r>
        <w:rPr>
          <w:rFonts w:ascii="Times New Roman" w:cs="Times New Roman" w:eastAsia="Times New Roman" w:hAnsi="Times New Roman"/>
          <w:sz w:val="15"/>
          <w:szCs w:val="15"/>
          <w:color w:val="auto"/>
        </w:rPr>
        <w:t>*</w:t>
        <w:tab/>
        <w:t>NAV has not yet been determined.</w:t>
      </w:r>
    </w:p>
    <w:p>
      <w:pPr>
        <w:spacing w:after="0" w:line="188" w:lineRule="exact"/>
        <w:rPr>
          <w:sz w:val="20"/>
          <w:szCs w:val="20"/>
          <w:color w:val="auto"/>
        </w:rPr>
      </w:pPr>
    </w:p>
    <w:p>
      <w:pPr>
        <w:ind w:left="270" w:right="20" w:hanging="270"/>
        <w:spacing w:after="0" w:line="261" w:lineRule="auto"/>
        <w:tabs>
          <w:tab w:leader="none" w:pos="27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as the respective high or low closing sales price divided by the quarter end NAV and subtracting 1.</w:t>
      </w:r>
    </w:p>
    <w:p>
      <w:pPr>
        <w:spacing w:after="0" w:line="172" w:lineRule="exact"/>
        <w:rPr>
          <w:rFonts w:ascii="Times New Roman" w:cs="Times New Roman" w:eastAsia="Times New Roman" w:hAnsi="Times New Roman"/>
          <w:sz w:val="15"/>
          <w:szCs w:val="15"/>
          <w:color w:val="auto"/>
        </w:rPr>
      </w:pPr>
    </w:p>
    <w:p>
      <w:pPr>
        <w:ind w:left="27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January 14, 2026, the last reported sales price of our common stock was $23.43 per share. As of January 15, 2026, we had approximately 11 stockholders of record.</w:t>
      </w:r>
    </w:p>
    <w:p>
      <w:pPr>
        <w:spacing w:after="0" w:line="188" w:lineRule="exact"/>
        <w:rPr>
          <w:sz w:val="20"/>
          <w:szCs w:val="20"/>
          <w:color w:val="auto"/>
        </w:rPr>
      </w:pPr>
    </w:p>
    <w:p>
      <w:pPr>
        <w:jc w:val="both"/>
        <w:ind w:left="10" w:firstLine="271"/>
        <w:spacing w:after="0" w:line="259" w:lineRule="auto"/>
        <w:rPr>
          <w:sz w:val="20"/>
          <w:szCs w:val="20"/>
          <w:color w:val="auto"/>
        </w:rPr>
      </w:pPr>
      <w:r>
        <w:rPr>
          <w:rFonts w:ascii="Times New Roman" w:cs="Times New Roman" w:eastAsia="Times New Roman" w:hAnsi="Times New Roman"/>
          <w:sz w:val="15"/>
          <w:szCs w:val="15"/>
          <w:color w:val="auto"/>
        </w:rPr>
        <w:t>Shares of BDCs may trade at a market price that is less than the NAV of those shares. The possibilities that our shares of common stock will trade at a discount from NAV or at premiums that are unsustainable over the long term are separate and distinct from the risk that our NAV will decrease. It is not possible to predict whether any common stock offered pursuant to this prospectus supplement will trade at, above, or below NAV. As of January 14, 2026, our shares of common stock traded at a discount equal to approximately (8.44)% of the net assets attributable to those shares based upon our NAV per share of $25.59 as of November 30, 2025. It is not possible to predict whether the shares offered hereby will trade at, above, or below NAV.</w:t>
      </w:r>
    </w:p>
    <w:p>
      <w:pPr>
        <w:spacing w:after="0" w:line="33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52"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5"/>
          <w:szCs w:val="15"/>
          <w:b w:val="1"/>
          <w:bCs w:val="1"/>
          <w:color w:val="auto"/>
        </w:rPr>
        <w:t>DIVIDEND REINVESTMENT PLAN</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We have adopted a dividend reinvestment plan (the “Plan”) that provides that, unless you elect to receive your dividends or other distributions in cash, they will be automatically reinvested by the Plan Administrator, Broadridge Financial Solutions, Inc., in additional shares of our common stock. If you elect to receive your dividends or other distributions in cash, you will receive them in cash paid by check mailed directly to you by the Plan Administrator. The reinvestment of our distributions does not relieve stockholders of any tax that may be payable on such distributions. For U.S. federal income tax purposes, stockholders generally will be treated as receiving income in an amount equal to the value of the shares distributed by us, which generally will be equal to the amount of the cash distribution the stockholder would have received if the stockholder had elected to receive cash.</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No action is required on the part of a registered stockholder to have their cash dividend reinvested in shares of our common stock. When the share price of our common stock is trading above NAV, we intend to primarily use newly issued shares to implement the plan. However, we reserve the right to purchase shares in the open market in connection with our implementation of the plan even if the share price of our common stock is trading below NAV. Unless you or your brokerage firm decides to opt out of the Plan, the number of shares of common stock you will receive will be determined as follows:</w:t>
      </w:r>
    </w:p>
    <w:p>
      <w:pPr>
        <w:spacing w:after="0" w:line="152" w:lineRule="exact"/>
        <w:rPr>
          <w:sz w:val="20"/>
          <w:szCs w:val="20"/>
          <w:color w:val="auto"/>
        </w:rPr>
      </w:pPr>
    </w:p>
    <w:p>
      <w:pPr>
        <w:ind w:left="260" w:right="20" w:firstLine="272"/>
        <w:spacing w:after="0" w:line="283" w:lineRule="auto"/>
        <w:tabs>
          <w:tab w:leader="none" w:pos="752"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use newly issued shares under the Plan, we will issue the new shares at a price equal to 95% of the average of the market prices of our common stock at the close of trading on the ten trading days immediately preceding and ending on the date fixed by our board of directors for the payment of the dividend.</w:t>
      </w:r>
    </w:p>
    <w:p>
      <w:pPr>
        <w:spacing w:after="0" w:line="134" w:lineRule="exact"/>
        <w:rPr>
          <w:rFonts w:ascii="Times New Roman" w:cs="Times New Roman" w:eastAsia="Times New Roman" w:hAnsi="Times New Roman"/>
          <w:sz w:val="15"/>
          <w:szCs w:val="15"/>
          <w:color w:val="auto"/>
        </w:rPr>
      </w:pPr>
    </w:p>
    <w:p>
      <w:pPr>
        <w:jc w:val="both"/>
        <w:ind w:left="260" w:firstLine="272"/>
        <w:spacing w:after="0" w:line="267" w:lineRule="auto"/>
        <w:tabs>
          <w:tab w:leader="none" w:pos="747"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use shares purchased in the open market under the Plan, the Plan Administrator will receive the dividend or distribution in cash and will purchase common stock in the open market, on the NYSE or elsewhere, for the participants’ accounts. Shares purchased in the open market will be allocated to a participant based on the average purchase price, excluding any brokerage charges or other charges, of all shares purchased with respect to the dividend.</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You may withdraw from the Plan at any time by giving written notice to the Plan Administrator, or by telephone in accordance with such reasonable requirements as we and the Plan Administrator may agree upon. If you withdraw or the Plan is terminated, you will receive a certificate for each whole share in your account under the Plan and you will receive a cash payment for any fraction of a share in your account. If you wish, the Plan Administrator will sell your shares and send you the proceeds, minus brokerage commissions.</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The Plan Administrator maintains all common stockholders’ accounts in the Plan and gives written confirmation of all transactions in the accounts, including information you may need for tax records. Common stock in your account will be held by the Plan Administrator in non-certificated form. The Plan Administrator will forward to each participant any proxy solicitation material and will vote any shares so held only in accordance with proxies returned to us. Any proxy you receive will include all common stock you have received under the Plan.</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There is no brokerage charge for reinvestment of your dividends or distributions in common stock.</w:t>
      </w:r>
    </w:p>
    <w:p>
      <w:pPr>
        <w:spacing w:after="0" w:line="188"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Automatically reinvesting dividends and distributions does not mean that you do not have to pay U.S. federal income taxes due upon the reinvestment of such dividends and distributions. See “Certain U.S. Federal Income Tax Considerations”.</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advisory for more information.</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Neither us nor the Plan Administrator nor its nominee or nominees shall be liable for any act done in good faith, or for any good faith omission to act, including without limitation, any claims of liability arising out of failure to terminate a participant’s account upon the participant’s death prior to receipt of notice in writing of such death, and with respect to the price at which shares are purchased or sold for the participant’s account.</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The Plan Administrator’s fees under the Plan will be borne by us. There is no direct service charge to participants in the Plan; however, we reserve the right to amend or terminate the Plan, including amending the Plan to include a service charge payable by the participants, if in the judgment of the board of directors the change is warranted. Any amendment to the Plan, except amendments necessary or appropriate to comply with applicable law or the rules and policies of the SEC or any other regulatory authority, require us to provide at least 30 days’ written notice to each participant. Additional information about the Plan may be obtained from Broadridge Financial Solutions, Inc., 1717 Arch St., Suite 1300, Philadelphia, PA 19103.</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2"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5"/>
          <w:szCs w:val="15"/>
          <w:b w:val="1"/>
          <w:bCs w:val="1"/>
          <w:color w:val="auto"/>
        </w:rPr>
        <w:t>MANAGEMENT’S DISCUSSION AND ANALYSIS OF FINANCIAL CONDITION AND RESULTS OF OPERATIONS</w:t>
      </w:r>
    </w:p>
    <w:p>
      <w:pPr>
        <w:spacing w:after="0" w:line="192" w:lineRule="exact"/>
        <w:rPr>
          <w:sz w:val="20"/>
          <w:szCs w:val="20"/>
          <w:color w:val="auto"/>
        </w:rPr>
      </w:pPr>
    </w:p>
    <w:p>
      <w:pPr>
        <w:ind w:firstLine="271"/>
        <w:spacing w:after="0" w:line="28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information included under the caption “Management’s Discussion and Analysis of Financial Condition and Results of Operations” in Part II, Item 7 of our most recent Annual Report on </w:t>
      </w:r>
      <w:hyperlink r:id="rId24">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and Part I, Item 2 of our most recent Quarterly Report on </w:t>
      </w:r>
      <w:hyperlink r:id="rId34">
        <w:r>
          <w:rPr>
            <w:rFonts w:ascii="Times New Roman" w:cs="Times New Roman" w:eastAsia="Times New Roman" w:hAnsi="Times New Roman"/>
            <w:sz w:val="15"/>
            <w:szCs w:val="15"/>
            <w:u w:val="single" w:color="auto"/>
            <w:color w:val="0000EE"/>
          </w:rPr>
          <w:t>Form 10-Q</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is incorporated herein by reference.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5"/>
          <w:szCs w:val="15"/>
          <w:b w:val="1"/>
          <w:bCs w:val="1"/>
          <w:color w:val="auto"/>
        </w:rPr>
        <w:t>SENIOR SECURITIES</w:t>
      </w:r>
    </w:p>
    <w:p>
      <w:pPr>
        <w:spacing w:after="0" w:line="192" w:lineRule="exact"/>
        <w:rPr>
          <w:sz w:val="20"/>
          <w:szCs w:val="20"/>
          <w:color w:val="auto"/>
        </w:rPr>
      </w:pPr>
    </w:p>
    <w:p>
      <w:pPr>
        <w:jc w:val="both"/>
        <w:ind w:firstLine="271"/>
        <w:spacing w:after="0" w:line="257" w:lineRule="auto"/>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 xml:space="preserve">Information about our senior securities as of the fiscal years ended February 28, 2025 to February 28, 2011 is located in Note 8 to our audited consolidated financial statements in our most recent Annual Report on </w:t>
      </w:r>
      <w:hyperlink r:id="rId24">
        <w:r>
          <w:rPr>
            <w:rFonts w:ascii="Times New Roman" w:cs="Times New Roman" w:eastAsia="Times New Roman" w:hAnsi="Times New Roman"/>
            <w:sz w:val="15"/>
            <w:szCs w:val="15"/>
            <w:u w:val="single" w:color="auto"/>
            <w:color w:val="0000EE"/>
          </w:rPr>
          <w:t>Form 10-K</w:t>
        </w:r>
      </w:hyperlink>
      <w:r>
        <w:rPr>
          <w:rFonts w:ascii="Times New Roman" w:cs="Times New Roman" w:eastAsia="Times New Roman" w:hAnsi="Times New Roman"/>
          <w:sz w:val="15"/>
          <w:szCs w:val="15"/>
          <w:color w:val="auto"/>
        </w:rPr>
        <w:t xml:space="preserve">, and is incorporated by reference into the registration statement of which this prospectus is a part. Information about our senior securities as of November 30, 2025 is located in Note 8 to our unaudited consolidated financial statements in our most recent Quarterly Report on </w:t>
      </w:r>
      <w:hyperlink r:id="rId43">
        <w:r>
          <w:rPr>
            <w:rFonts w:ascii="Times New Roman" w:cs="Times New Roman" w:eastAsia="Times New Roman" w:hAnsi="Times New Roman"/>
            <w:sz w:val="15"/>
            <w:szCs w:val="15"/>
            <w:u w:val="single" w:color="auto"/>
            <w:color w:val="0000EE"/>
          </w:rPr>
          <w:t>Form 10-Q</w:t>
        </w:r>
      </w:hyperlink>
      <w:r>
        <w:rPr>
          <w:rFonts w:ascii="Times New Roman" w:cs="Times New Roman" w:eastAsia="Times New Roman" w:hAnsi="Times New Roman"/>
          <w:sz w:val="15"/>
          <w:szCs w:val="15"/>
          <w:color w:val="auto"/>
        </w:rPr>
        <w:t xml:space="preserve">, and is incorporated by reference into the registration statement of which this prospectus is a part. The report of our independent registered public accounting firm on the audited consolidated financial statements as of February 28, 2025 and February 29, 2024 and for each of the three years ended February 28, 2025, February 29, 2024 and February 28, 2023 is included in our most recent Annual Report on </w:t>
      </w:r>
      <w:hyperlink r:id="rId24">
        <w:r>
          <w:rPr>
            <w:rFonts w:ascii="Times New Roman" w:cs="Times New Roman" w:eastAsia="Times New Roman" w:hAnsi="Times New Roman"/>
            <w:sz w:val="15"/>
            <w:szCs w:val="15"/>
            <w:u w:val="single" w:color="auto"/>
            <w:color w:val="0000EE"/>
          </w:rPr>
          <w:t>Form 10-K</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filed on May 7, 2025, and is incorporated by reference into the registration statement of which this prospectus is a part.</w:t>
      </w:r>
    </w:p>
    <w:p>
      <w:pPr>
        <w:spacing w:after="0" w:line="335"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5"/>
          <w:szCs w:val="15"/>
          <w:b w:val="1"/>
          <w:bCs w:val="1"/>
          <w:color w:val="auto"/>
        </w:rPr>
        <w:t>THE COMPANY</w:t>
      </w:r>
    </w:p>
    <w:p>
      <w:pPr>
        <w:spacing w:after="0" w:line="192" w:lineRule="exact"/>
        <w:rPr>
          <w:sz w:val="20"/>
          <w:szCs w:val="20"/>
          <w:color w:val="auto"/>
        </w:rPr>
      </w:pPr>
    </w:p>
    <w:p>
      <w:pPr>
        <w:ind w:firstLine="271"/>
        <w:spacing w:after="0" w:line="28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information in the sections entitled “Business” in Part I, Item 1 and “Properties” in Part I, Item 2 in our most recent Annual Report on </w:t>
      </w:r>
      <w:hyperlink r:id="rId24">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is incorporated herein by reference.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2"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5"/>
          <w:szCs w:val="15"/>
          <w:b w:val="1"/>
          <w:bCs w:val="1"/>
          <w:color w:val="auto"/>
        </w:rPr>
        <w:t>PORTFOLIO COMPANIES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following table sets forth certain information as of November 30, 2025 for each portfolio company in which we had a debt or equity investment. Other than these investments, our only relationships with our portfolio companies are the managerial assistance we may separately provide to our portfolio companies, which services would be ancillary to our investments, and the board observer or participation rights we may receive.</w:t>
      </w:r>
    </w:p>
    <w:p>
      <w:pPr>
        <w:sectPr>
          <w:pgSz w:w="11900" w:h="16838" w:orient="portrait"/>
          <w:cols w:equalWidth="0" w:num="1">
            <w:col w:w="11260"/>
          </w:cols>
          <w:pgMar w:left="320" w:top="752" w:right="319" w:bottom="1440" w:gutter="0" w:footer="0" w:header="0"/>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Investment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Original</w:t>
            </w:r>
          </w:p>
        </w:tc>
        <w:tc>
          <w:tcPr>
            <w:tcW w:w="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0" w:type="dxa"/>
            <w:vAlign w:val="bottom"/>
          </w:tcPr>
          <w:p>
            <w:pPr>
              <w:spacing w:after="0"/>
              <w:rPr>
                <w:sz w:val="1"/>
                <w:szCs w:val="1"/>
                <w:color w:val="auto"/>
              </w:rPr>
            </w:pPr>
          </w:p>
        </w:tc>
      </w:tr>
      <w:tr>
        <w:trPr>
          <w:trHeight w:val="124"/>
        </w:trPr>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Company(1)</w:t>
            </w:r>
          </w:p>
        </w:tc>
        <w:tc>
          <w:tcPr>
            <w:tcW w:w="1240" w:type="dxa"/>
            <w:vAlign w:val="bottom"/>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100" w:type="dxa"/>
            <w:vAlign w:val="bottom"/>
          </w:tcPr>
          <w:p>
            <w:pPr>
              <w:spacing w:after="0"/>
              <w:rPr>
                <w:sz w:val="10"/>
                <w:szCs w:val="10"/>
                <w:color w:val="auto"/>
              </w:rPr>
            </w:pPr>
          </w:p>
        </w:tc>
        <w:tc>
          <w:tcPr>
            <w:tcW w:w="158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Interest Rate/</w:t>
            </w:r>
          </w:p>
        </w:tc>
        <w:tc>
          <w:tcPr>
            <w:tcW w:w="102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6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0" w:type="dxa"/>
            <w:vAlign w:val="bottom"/>
          </w:tcPr>
          <w:p>
            <w:pPr>
              <w:spacing w:after="0"/>
              <w:rPr>
                <w:sz w:val="1"/>
                <w:szCs w:val="1"/>
                <w:color w:val="auto"/>
              </w:rPr>
            </w:pPr>
          </w:p>
        </w:tc>
      </w:tr>
      <w:tr>
        <w:trPr>
          <w:trHeight w:val="146"/>
        </w:trPr>
        <w:tc>
          <w:tcPr>
            <w:tcW w:w="2480" w:type="dxa"/>
            <w:vAlign w:val="bottom"/>
            <w:gridSpan w:val="3"/>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340" w:type="dxa"/>
            <w:vAlign w:val="bottom"/>
            <w:tcBorders>
              <w:top w:val="single" w:sz="8" w:color="auto"/>
            </w:tcBorders>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Non-control/Non-affiliate investments -</w:t>
            </w:r>
          </w:p>
        </w:tc>
        <w:tc>
          <w:tcPr>
            <w:tcW w:w="12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2"/>
                <w:szCs w:val="12"/>
                <w:b w:val="1"/>
                <w:bCs w:val="1"/>
                <w:color w:val="auto"/>
              </w:rPr>
              <w:t>222.8% (b)</w:t>
            </w: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Alternative Investment</w:t>
            </w:r>
          </w:p>
        </w:tc>
        <w:tc>
          <w:tcPr>
            <w:tcW w:w="1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4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Altvia MidCo, LLC.</w:t>
            </w:r>
          </w:p>
        </w:tc>
        <w:tc>
          <w:tcPr>
            <w:tcW w:w="1240" w:type="dxa"/>
            <w:vAlign w:val="bottom"/>
            <w:vMerge w:val="continue"/>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Management Software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(6M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SOFR+8.08%), 12.25%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7/18/2022</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11,284,579</w:t>
            </w:r>
          </w:p>
        </w:tc>
        <w:tc>
          <w:tcPr>
            <w:tcW w:w="0" w:type="dxa"/>
            <w:vAlign w:val="bottom"/>
          </w:tcPr>
          <w:p>
            <w:pPr>
              <w:spacing w:after="0"/>
              <w:rPr>
                <w:sz w:val="1"/>
                <w:szCs w:val="1"/>
                <w:color w:val="auto"/>
              </w:rPr>
            </w:pPr>
          </w:p>
        </w:tc>
      </w:tr>
      <w:tr>
        <w:trPr>
          <w:trHeight w:val="124"/>
        </w:trPr>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Altvia MidCo, LLC. (h)</w:t>
            </w: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Alternative Investment</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Cash, 7/18/2027</w:t>
            </w: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3"/>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Series A-1 Preferred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7/18/2022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2,083,939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Management Software</w:t>
            </w: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Shares</w:t>
            </w: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Total Alternative</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Investment Management</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Software</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4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BQE Software, Inc. (d)</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Architecture &amp;</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Engineering Software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SOFR+5.50%), 9.67%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4/13/2023</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24,500,000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Cash, 4/13/2028</w:t>
            </w: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Total Architecture &amp;</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Engineering Software</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4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Golden TopCo LP (h)</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w w:val="99"/>
              </w:rPr>
              <w:t>Association Management</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Class A-2 Common Units</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Software</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5/10/2023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1,072,394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color w:val="auto"/>
              </w:rPr>
              <w:t>Total Association</w:t>
            </w: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Management Software</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4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Artemis Wax Corp. (d)</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Consumer Services</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Delayed Draw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Loan (1M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SOFR+6.75%), 11.02%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5/20/2021</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57,500,000</w:t>
            </w:r>
          </w:p>
        </w:tc>
        <w:tc>
          <w:tcPr>
            <w:tcW w:w="0" w:type="dxa"/>
            <w:vAlign w:val="bottom"/>
          </w:tcPr>
          <w:p>
            <w:pPr>
              <w:spacing w:after="0"/>
              <w:rPr>
                <w:sz w:val="1"/>
                <w:szCs w:val="1"/>
                <w:color w:val="auto"/>
              </w:rPr>
            </w:pPr>
          </w:p>
        </w:tc>
      </w:tr>
      <w:tr>
        <w:trPr>
          <w:trHeight w:val="124"/>
        </w:trPr>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Artemis Wax Corp. (h)</w:t>
            </w: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Consumer Services</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Cash, 5/20/2026</w:t>
            </w: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3"/>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Series B-1 Preferred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5/20/2021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934,463</w:t>
            </w:r>
          </w:p>
        </w:tc>
        <w:tc>
          <w:tcPr>
            <w:tcW w:w="0" w:type="dxa"/>
            <w:vAlign w:val="bottom"/>
          </w:tcPr>
          <w:p>
            <w:pPr>
              <w:spacing w:after="0"/>
              <w:rPr>
                <w:sz w:val="1"/>
                <w:szCs w:val="1"/>
                <w:color w:val="auto"/>
              </w:rPr>
            </w:pPr>
          </w:p>
        </w:tc>
      </w:tr>
      <w:tr>
        <w:trPr>
          <w:trHeight w:val="124"/>
        </w:trPr>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Artemis Wax Corp. (h)</w:t>
            </w: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Consumer Services</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Stock</w:t>
            </w: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80" w:type="dxa"/>
            <w:vAlign w:val="bottom"/>
            <w:gridSpan w:val="3"/>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Series D Preferred Stock</w:t>
            </w: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auto"/>
                <w:w w:val="98"/>
              </w:rPr>
              <w:t>12/22/2022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331,640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Total Consumer Services</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4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Schoox, Inc. (h)(i)</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Corporate Education</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Series 1 Membership</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Software</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Interest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12/8/2020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1,050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color w:val="auto"/>
              </w:rPr>
              <w:t>Total Corporate</w:t>
            </w: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Education Software</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4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Innergy, Inc. (d)</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Custom Millwork</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SOFR+5.50%), 9.67%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2/20/2025</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32,000,000</w:t>
            </w:r>
          </w:p>
        </w:tc>
        <w:tc>
          <w:tcPr>
            <w:tcW w:w="0" w:type="dxa"/>
            <w:vAlign w:val="bottom"/>
          </w:tcPr>
          <w:p>
            <w:pPr>
              <w:spacing w:after="0"/>
              <w:rPr>
                <w:sz w:val="1"/>
                <w:szCs w:val="1"/>
                <w:color w:val="auto"/>
              </w:rPr>
            </w:pPr>
          </w:p>
        </w:tc>
      </w:tr>
      <w:tr>
        <w:trPr>
          <w:trHeight w:val="124"/>
        </w:trPr>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Innergy, Inc. (j)</w:t>
            </w: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Custom Millwork</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Cash, 2/20/2030</w:t>
            </w: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3"/>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Delayed Draw Term Loan</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SOFR+5.50%), 9.67%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2/20/2025</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8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2"/>
                <w:szCs w:val="12"/>
                <w:color w:val="auto"/>
              </w:rPr>
              <w:t>2/20/2030</w:t>
            </w: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Total Custom Millwork</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Software</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GreyHeller LLC (h)</w:t>
            </w: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Cyber Security</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Common Stock</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color w:val="auto"/>
              </w:rPr>
              <w:t>Total Cyber Security</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11/10/2021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7,857,689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-3803650</wp:posOffset>
            </wp:positionV>
            <wp:extent cx="7155180" cy="3149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55180" cy="3149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-3324225</wp:posOffset>
            </wp:positionV>
            <wp:extent cx="7155180" cy="2432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55180" cy="2432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-2758440</wp:posOffset>
            </wp:positionV>
            <wp:extent cx="7155180" cy="164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55180" cy="1644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-2350135</wp:posOffset>
            </wp:positionV>
            <wp:extent cx="7155180" cy="164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55180" cy="1644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-1870075</wp:posOffset>
            </wp:positionV>
            <wp:extent cx="7155180" cy="157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55180" cy="1574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-1626235</wp:posOffset>
            </wp:positionV>
            <wp:extent cx="7155180" cy="85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518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-1297305</wp:posOffset>
            </wp:positionV>
            <wp:extent cx="7155180" cy="164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5180" cy="1644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-817245</wp:posOffset>
            </wp:positionV>
            <wp:extent cx="7155180" cy="322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55180" cy="3225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-330200</wp:posOffset>
            </wp:positionV>
            <wp:extent cx="7155180" cy="243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55180" cy="243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Fair</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 of</w:t>
            </w:r>
          </w:p>
        </w:tc>
        <w:tc>
          <w:tcPr>
            <w:tcW w:w="12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Company Address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Value (c)</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Net Assets</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590 Burbank St. Suite</w:t>
            </w:r>
          </w:p>
        </w:tc>
        <w:tc>
          <w:tcPr>
            <w:tcW w:w="0" w:type="dxa"/>
            <w:vAlign w:val="bottom"/>
          </w:tcPr>
          <w:p>
            <w:pPr>
              <w:spacing w:after="0"/>
              <w:rPr>
                <w:sz w:val="1"/>
                <w:szCs w:val="1"/>
                <w:color w:val="auto"/>
              </w:rPr>
            </w:pPr>
          </w:p>
        </w:tc>
      </w:tr>
      <w:tr>
        <w:trPr>
          <w:trHeight w:val="124"/>
        </w:trPr>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w w:val="99"/>
              </w:rPr>
              <w:t>$  11,221,771</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w w:val="99"/>
              </w:rPr>
              <w:t>$  11,193,174</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2.7%</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220 Broomfield, CO</w:t>
            </w:r>
          </w:p>
        </w:tc>
        <w:tc>
          <w:tcPr>
            <w:tcW w:w="0" w:type="dxa"/>
            <w:vAlign w:val="bottom"/>
          </w:tcPr>
          <w:p>
            <w:pPr>
              <w:spacing w:after="0"/>
              <w:rPr>
                <w:sz w:val="1"/>
                <w:szCs w:val="1"/>
                <w:color w:val="auto"/>
              </w:rPr>
            </w:pPr>
          </w:p>
        </w:tc>
      </w:tr>
      <w:tr>
        <w:trPr>
          <w:trHeight w:val="155"/>
        </w:trPr>
        <w:tc>
          <w:tcPr>
            <w:tcW w:w="900" w:type="dxa"/>
            <w:vAlign w:val="bottom"/>
            <w:gridSpan w:val="3"/>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80020</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2,083,939</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2,767,026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0.7%</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13,305,710</w:t>
            </w:r>
          </w:p>
        </w:tc>
        <w:tc>
          <w:tcPr>
            <w:tcW w:w="2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13,960,200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3.4%</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"8605 Santa Monica</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Blvd, PMB 25876 West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24,357,939</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24,727,850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6.0%</w:t>
            </w: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Hollywood, CA 90069"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24,357,939</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24,727,850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6.0%</w:t>
            </w: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23973 Hazelwood Drive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South, Suite 100,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1,072,394</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1,787,432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0.4%</w:t>
            </w: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Nisswa, MN 56468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1,072,394</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1,787,432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0.4%</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115 E. 92nd St, Apt 4F,</w:t>
            </w:r>
          </w:p>
        </w:tc>
        <w:tc>
          <w:tcPr>
            <w:tcW w:w="0" w:type="dxa"/>
            <w:vAlign w:val="bottom"/>
          </w:tcPr>
          <w:p>
            <w:pPr>
              <w:spacing w:after="0" w:line="20" w:lineRule="exact"/>
              <w:rPr>
                <w:sz w:val="1"/>
                <w:szCs w:val="1"/>
                <w:color w:val="auto"/>
              </w:rPr>
            </w:pPr>
          </w:p>
        </w:tc>
      </w:tr>
      <w:tr>
        <w:trPr>
          <w:trHeight w:val="335"/>
        </w:trPr>
        <w:tc>
          <w:tcPr>
            <w:tcW w:w="20" w:type="dxa"/>
            <w:vAlign w:val="bottom"/>
            <w:vMerge w:val="restart"/>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57,438,537</w:t>
            </w:r>
          </w:p>
        </w:tc>
        <w:tc>
          <w:tcPr>
            <w:tcW w:w="220" w:type="dxa"/>
            <w:vAlign w:val="bottom"/>
            <w:vMerge w:val="restart"/>
          </w:tcPr>
          <w:p>
            <w:pPr>
              <w:spacing w:after="0"/>
              <w:rPr>
                <w:sz w:val="24"/>
                <w:szCs w:val="24"/>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57,005,500</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13.8%</w:t>
            </w: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New York, NY 10128</w:t>
            </w:r>
          </w:p>
        </w:tc>
        <w:tc>
          <w:tcPr>
            <w:tcW w:w="0" w:type="dxa"/>
            <w:vAlign w:val="bottom"/>
          </w:tcPr>
          <w:p>
            <w:pPr>
              <w:spacing w:after="0"/>
              <w:rPr>
                <w:sz w:val="1"/>
                <w:szCs w:val="1"/>
                <w:color w:val="auto"/>
              </w:rPr>
            </w:pPr>
          </w:p>
        </w:tc>
      </w:tr>
      <w:tr>
        <w:trPr>
          <w:trHeight w:val="217"/>
        </w:trPr>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1,500,000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900" w:type="dxa"/>
            <w:vAlign w:val="bottom"/>
            <w:gridSpan w:val="3"/>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1,711,866</w:t>
            </w:r>
          </w:p>
        </w:tc>
        <w:tc>
          <w:tcPr>
            <w:tcW w:w="9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1,994,847</w:t>
            </w:r>
          </w:p>
        </w:tc>
        <w:tc>
          <w:tcPr>
            <w:tcW w:w="9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0.5%</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60,650,403</w:t>
            </w:r>
          </w:p>
        </w:tc>
        <w:tc>
          <w:tcPr>
            <w:tcW w:w="22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59,000,347</w:t>
            </w:r>
          </w:p>
        </w:tc>
        <w:tc>
          <w:tcPr>
            <w:tcW w:w="22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14.3</w:t>
            </w:r>
          </w:p>
        </w:tc>
        <w:tc>
          <w:tcPr>
            <w:tcW w:w="220" w:type="dxa"/>
            <w:vAlign w:val="bottom"/>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w w:val="79"/>
              </w:rPr>
              <w:t>%</w:t>
            </w: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3112 Windsor Rd.,</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#A108, Austin, TX</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548,298</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4,334,902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78703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548,298</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4,334,902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500 West 5th Street,</w:t>
            </w:r>
          </w:p>
        </w:tc>
        <w:tc>
          <w:tcPr>
            <w:tcW w:w="0" w:type="dxa"/>
            <w:vAlign w:val="bottom"/>
          </w:tcPr>
          <w:p>
            <w:pPr>
              <w:spacing w:after="0"/>
              <w:rPr>
                <w:sz w:val="1"/>
                <w:szCs w:val="1"/>
                <w:color w:val="auto"/>
              </w:rPr>
            </w:pPr>
          </w:p>
        </w:tc>
      </w:tr>
      <w:tr>
        <w:trPr>
          <w:trHeight w:val="124"/>
        </w:trPr>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31,756,195</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32,073,600</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7.8%</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Suite 1100 Austin, TX</w:t>
            </w:r>
          </w:p>
        </w:tc>
        <w:tc>
          <w:tcPr>
            <w:tcW w:w="0" w:type="dxa"/>
            <w:vAlign w:val="bottom"/>
          </w:tcPr>
          <w:p>
            <w:pPr>
              <w:spacing w:after="0"/>
              <w:rPr>
                <w:sz w:val="1"/>
                <w:szCs w:val="1"/>
                <w:color w:val="auto"/>
              </w:rPr>
            </w:pPr>
          </w:p>
        </w:tc>
      </w:tr>
      <w:tr>
        <w:trPr>
          <w:trHeight w:val="155"/>
        </w:trPr>
        <w:tc>
          <w:tcPr>
            <w:tcW w:w="900" w:type="dxa"/>
            <w:vAlign w:val="bottom"/>
            <w:gridSpan w:val="3"/>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78701</w:t>
            </w:r>
          </w:p>
        </w:tc>
        <w:tc>
          <w:tcPr>
            <w:tcW w:w="0" w:type="dxa"/>
            <w:vAlign w:val="bottom"/>
          </w:tcPr>
          <w:p>
            <w:pPr>
              <w:spacing w:after="0"/>
              <w:rPr>
                <w:sz w:val="1"/>
                <w:szCs w:val="1"/>
                <w:color w:val="auto"/>
              </w:rPr>
            </w:pPr>
          </w:p>
        </w:tc>
      </w:tr>
      <w:tr>
        <w:trPr>
          <w:trHeight w:val="494"/>
        </w:trPr>
        <w:tc>
          <w:tcPr>
            <w:tcW w:w="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1,982,786</w:t>
            </w:r>
          </w:p>
        </w:tc>
        <w:tc>
          <w:tcPr>
            <w:tcW w:w="2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2,004,600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0.5%</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33,738,981</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34,078,200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8.3%</w:t>
            </w: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8111 Lyndon B Johnson</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Fwy #147, Dallas, TX</w:t>
            </w:r>
          </w:p>
        </w:tc>
        <w:tc>
          <w:tcPr>
            <w:tcW w:w="0" w:type="dxa"/>
            <w:vAlign w:val="bottom"/>
          </w:tcPr>
          <w:p>
            <w:pPr>
              <w:spacing w:after="0"/>
              <w:rPr>
                <w:sz w:val="1"/>
                <w:szCs w:val="1"/>
                <w:color w:val="auto"/>
              </w:rPr>
            </w:pPr>
          </w:p>
        </w:tc>
      </w:tr>
      <w:tr>
        <w:trPr>
          <w:trHeight w:val="144"/>
        </w:trPr>
        <w:tc>
          <w:tcPr>
            <w:tcW w:w="900" w:type="dxa"/>
            <w:vAlign w:val="bottom"/>
            <w:gridSpan w:val="3"/>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1,906,275</w:t>
            </w:r>
          </w:p>
        </w:tc>
        <w:tc>
          <w:tcPr>
            <w:tcW w:w="9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3,922,837</w:t>
            </w:r>
          </w:p>
        </w:tc>
        <w:tc>
          <w:tcPr>
            <w:tcW w:w="9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0.9%</w:t>
            </w:r>
          </w:p>
        </w:tc>
        <w:tc>
          <w:tcPr>
            <w:tcW w:w="12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75251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1,906,275</w:t>
            </w:r>
          </w:p>
        </w:tc>
        <w:tc>
          <w:tcPr>
            <w:tcW w:w="22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3,922,837</w:t>
            </w:r>
          </w:p>
        </w:tc>
        <w:tc>
          <w:tcPr>
            <w:tcW w:w="22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0.9</w:t>
            </w:r>
          </w:p>
        </w:tc>
        <w:tc>
          <w:tcPr>
            <w:tcW w:w="220" w:type="dxa"/>
            <w:vAlign w:val="bottom"/>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w w:val="79"/>
              </w:rPr>
              <w:t>%</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100" w:space="220"/>
            <w:col w:w="3940"/>
          </w:cols>
          <w:pgMar w:left="320" w:top="752" w:right="319" w:bottom="1440" w:gutter="0" w:footer="0" w:header="0"/>
          <w:type w:val="continuous"/>
        </w:sectPr>
      </w:pP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2" w:right="31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38"/>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Investment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Original</w:t>
            </w:r>
          </w:p>
        </w:tc>
        <w:tc>
          <w:tcPr>
            <w:tcW w:w="6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Fair</w:t>
            </w:r>
          </w:p>
        </w:tc>
        <w:tc>
          <w:tcPr>
            <w:tcW w:w="900" w:type="dxa"/>
            <w:vAlign w:val="bottom"/>
            <w:gridSpan w:val="2"/>
            <w:vMerge w:val="restart"/>
          </w:tcPr>
          <w:p>
            <w:pPr>
              <w:jc w:val="right"/>
              <w:ind w:right="390"/>
              <w:spacing w:after="0"/>
              <w:rPr>
                <w:sz w:val="20"/>
                <w:szCs w:val="20"/>
                <w:color w:val="auto"/>
              </w:rPr>
            </w:pPr>
            <w:r>
              <w:rPr>
                <w:rFonts w:ascii="Times New Roman" w:cs="Times New Roman" w:eastAsia="Times New Roman" w:hAnsi="Times New Roman"/>
                <w:sz w:val="12"/>
                <w:szCs w:val="12"/>
                <w:b w:val="1"/>
                <w:bCs w:val="1"/>
                <w:color w:val="auto"/>
              </w:rPr>
              <w:t>% of</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Company(1)</w:t>
            </w:r>
          </w:p>
        </w:tc>
        <w:tc>
          <w:tcPr>
            <w:tcW w:w="1240" w:type="dxa"/>
            <w:vAlign w:val="bottom"/>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100" w:type="dxa"/>
            <w:vAlign w:val="bottom"/>
          </w:tcPr>
          <w:p>
            <w:pPr>
              <w:spacing w:after="0"/>
              <w:rPr>
                <w:sz w:val="10"/>
                <w:szCs w:val="10"/>
                <w:color w:val="auto"/>
              </w:rPr>
            </w:pPr>
          </w:p>
        </w:tc>
        <w:tc>
          <w:tcPr>
            <w:tcW w:w="158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Interest Rate/</w:t>
            </w:r>
          </w:p>
        </w:tc>
        <w:tc>
          <w:tcPr>
            <w:tcW w:w="102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60" w:type="dxa"/>
            <w:vAlign w:val="bottom"/>
          </w:tcPr>
          <w:p>
            <w:pPr>
              <w:spacing w:after="0"/>
              <w:rPr>
                <w:sz w:val="10"/>
                <w:szCs w:val="10"/>
                <w:color w:val="auto"/>
              </w:rPr>
            </w:pPr>
          </w:p>
        </w:tc>
        <w:tc>
          <w:tcPr>
            <w:tcW w:w="8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9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9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Company Address</w:t>
            </w:r>
          </w:p>
        </w:tc>
        <w:tc>
          <w:tcPr>
            <w:tcW w:w="0" w:type="dxa"/>
            <w:vAlign w:val="bottom"/>
          </w:tcPr>
          <w:p>
            <w:pPr>
              <w:spacing w:after="0"/>
              <w:rPr>
                <w:sz w:val="1"/>
                <w:szCs w:val="1"/>
                <w:color w:val="auto"/>
              </w:rPr>
            </w:pPr>
          </w:p>
        </w:tc>
      </w:tr>
      <w:tr>
        <w:trPr>
          <w:trHeight w:val="146"/>
        </w:trPr>
        <w:tc>
          <w:tcPr>
            <w:tcW w:w="248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6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900" w:type="dxa"/>
            <w:vAlign w:val="bottom"/>
            <w:gridSpan w:val="2"/>
            <w:vMerge w:val="continue"/>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Value (c)</w:t>
            </w:r>
          </w:p>
        </w:tc>
        <w:tc>
          <w:tcPr>
            <w:tcW w:w="900" w:type="dxa"/>
            <w:vAlign w:val="bottom"/>
            <w:gridSpan w:val="2"/>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Net Assets</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360" w:type="dxa"/>
            <w:vAlign w:val="bottom"/>
            <w:tcBorders>
              <w:top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Gen4 Dental Partners Holdings, LLC (d)</w:t>
            </w:r>
          </w:p>
        </w:tc>
        <w:tc>
          <w:tcPr>
            <w:tcW w:w="12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Dental Practice</w:t>
            </w:r>
          </w:p>
        </w:tc>
        <w:tc>
          <w:tcPr>
            <w:tcW w:w="100" w:type="dxa"/>
            <w:vAlign w:val="bottom"/>
            <w:tcBorders>
              <w:top w:val="single" w:sz="8" w:color="CCEEFF"/>
            </w:tcBorders>
            <w:shd w:val="clear" w:color="auto" w:fill="CCEEFF"/>
          </w:tcPr>
          <w:p>
            <w:pPr>
              <w:spacing w:after="0"/>
              <w:rPr>
                <w:sz w:val="8"/>
                <w:szCs w:val="8"/>
                <w:color w:val="auto"/>
              </w:rPr>
            </w:pPr>
          </w:p>
        </w:tc>
        <w:tc>
          <w:tcPr>
            <w:tcW w:w="1480" w:type="dxa"/>
            <w:vAlign w:val="bottom"/>
            <w:tcBorders>
              <w:top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First Lien Term Loan</w:t>
            </w:r>
          </w:p>
        </w:tc>
        <w:tc>
          <w:tcPr>
            <w:tcW w:w="1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right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230 West Monroe Street,</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Management</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(1M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SOFR+5.75%), 10.02%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5/13/2024</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7,053,571</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6,997,470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7,124,107</w:t>
            </w:r>
          </w:p>
        </w:tc>
        <w:tc>
          <w:tcPr>
            <w:tcW w:w="90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2"/>
                <w:szCs w:val="12"/>
                <w:color w:val="auto"/>
              </w:rPr>
              <w:t>1.7%</w:t>
            </w: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Suite 1920, Chicago, IL</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5/13/2030</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60606</w:t>
            </w: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Gen4 Dental Partners Holdings, LLC (j)</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Dental Practice</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Management</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(1M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SOFR+5.75%), 10.02%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5/13/2024</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2"/>
                <w:szCs w:val="12"/>
                <w:color w:val="auto"/>
              </w:rPr>
              <w:t>0.0%</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5/13/2030</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Gen4 Dental Partners Holdings, LLC (j)</w:t>
            </w: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Dental Practice</w:t>
            </w: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Revolving Credit Facility</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Management</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(1M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SOFR+5.75%), 10.02%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5/13/2024</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2"/>
                <w:szCs w:val="12"/>
                <w:color w:val="auto"/>
              </w:rPr>
              <w:t>0.0%</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5/13/2030</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Gen4 Dental Partners Holdings, LLC (h)(i)</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Dental Practice</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Series A Preferred Units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2/8/2023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493,999</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1,027,519</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1,165,838</w:t>
            </w:r>
          </w:p>
        </w:tc>
        <w:tc>
          <w:tcPr>
            <w:tcW w:w="9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2"/>
                <w:szCs w:val="12"/>
                <w:color w:val="auto"/>
              </w:rPr>
              <w:t>0.3%</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Management</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Modis Dental Partners OpCo, LLC</w:t>
            </w: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Dental Practice</w:t>
            </w: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230 West Monroe Street,</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Management</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(1M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SOFR+9.37%), 13.69%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4/18/2023</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6,938,986</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7,089,600</w:t>
            </w:r>
          </w:p>
        </w:tc>
        <w:tc>
          <w:tcPr>
            <w:tcW w:w="90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2"/>
                <w:szCs w:val="12"/>
                <w:color w:val="auto"/>
              </w:rPr>
              <w:t>1.8%</w:t>
            </w: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Suite 1920, Chicago, IL</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4/18/2028</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60606</w:t>
            </w: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Modis Dental Partners OpCo, LLC</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Dental Practice</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Management</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(1M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SOFR+9.37%), 13.69%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4/18/2023</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13,000,000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12,862,412</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13,166,400</w:t>
            </w:r>
          </w:p>
        </w:tc>
        <w:tc>
          <w:tcPr>
            <w:tcW w:w="9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2"/>
                <w:szCs w:val="12"/>
                <w:color w:val="auto"/>
              </w:rPr>
              <w:t>3.2%</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4/18/2028</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Modis Dental Partners OpCo, LLC (h)</w:t>
            </w: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Dental Practice</w:t>
            </w: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Class A Preferred Units</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Management</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4/18/2023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3,200,000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3,200,000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3,829,312</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2"/>
                <w:szCs w:val="12"/>
                <w:color w:val="auto"/>
              </w:rPr>
              <w:t>0.9%</w:t>
            </w: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80" w:type="dxa"/>
            <w:vAlign w:val="bottom"/>
            <w:gridSpan w:val="3"/>
          </w:tcPr>
          <w:p>
            <w:pPr>
              <w:ind w:left="100"/>
              <w:spacing w:after="0" w:line="87" w:lineRule="exact"/>
              <w:rPr>
                <w:sz w:val="20"/>
                <w:szCs w:val="20"/>
                <w:color w:val="auto"/>
              </w:rPr>
            </w:pPr>
            <w:r>
              <w:rPr>
                <w:rFonts w:ascii="Times New Roman" w:cs="Times New Roman" w:eastAsia="Times New Roman" w:hAnsi="Times New Roman"/>
                <w:sz w:val="10"/>
                <w:szCs w:val="10"/>
                <w:color w:val="auto"/>
              </w:rPr>
              <w:t>Total Dental Practice</w:t>
            </w: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Management</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31,026,387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32,375,257</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2"/>
                <w:szCs w:val="12"/>
                <w:color w:val="auto"/>
              </w:rPr>
              <w:t>7.9%</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480" w:type="dxa"/>
            <w:vAlign w:val="bottom"/>
            <w:tcBorders>
              <w:top w:val="single" w:sz="8" w:color="CCEEFF"/>
            </w:tcBorders>
            <w:gridSpan w:val="2"/>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Exigo, LLC (d)</w:t>
            </w:r>
          </w:p>
        </w:tc>
        <w:tc>
          <w:tcPr>
            <w:tcW w:w="1240" w:type="dxa"/>
            <w:vAlign w:val="bottom"/>
            <w:tcBorders>
              <w:top w:val="single" w:sz="8" w:color="CCEEFF"/>
            </w:tcBorders>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Direct Selling Software</w:t>
            </w:r>
          </w:p>
        </w:tc>
        <w:tc>
          <w:tcPr>
            <w:tcW w:w="1680" w:type="dxa"/>
            <w:vAlign w:val="bottom"/>
            <w:tcBorders>
              <w:top w:val="single" w:sz="8" w:color="CCEEFF"/>
            </w:tcBorders>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First Lien Term Loan</w:t>
            </w:r>
          </w:p>
        </w:tc>
        <w:tc>
          <w:tcPr>
            <w:tcW w:w="9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right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1600 Viceroy Drive,</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(1M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SOFR+6.25%), 10.62%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3/16/2022</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23,877,538</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23,805,482</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22,927,212</w:t>
            </w:r>
          </w:p>
        </w:tc>
        <w:tc>
          <w:tcPr>
            <w:tcW w:w="90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2"/>
                <w:szCs w:val="12"/>
                <w:color w:val="auto"/>
              </w:rPr>
              <w:t>5.5%</w:t>
            </w: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Suite 125 , Dallas, TX</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3/16/2027</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75235</w:t>
            </w: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Exigo, LLC (j)</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Direct Selling Software</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Revolving Credit Facility</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(1M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SOFR+6.25%), 10.62%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3/16/2022</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(24,875)</w:t>
            </w:r>
          </w:p>
        </w:tc>
        <w:tc>
          <w:tcPr>
            <w:tcW w:w="9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2"/>
                <w:szCs w:val="12"/>
                <w:color w:val="auto"/>
              </w:rPr>
              <w:t>0.0%</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3/16/2027</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Exigo, LLC (h), (i)</w:t>
            </w:r>
          </w:p>
        </w:tc>
        <w:tc>
          <w:tcPr>
            <w:tcW w:w="12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Direct Selling Software</w:t>
            </w:r>
          </w:p>
        </w:tc>
        <w:tc>
          <w:tcPr>
            <w:tcW w:w="1680" w:type="dxa"/>
            <w:vAlign w:val="bottom"/>
            <w:gridSpan w:val="3"/>
            <w:shd w:val="clear" w:color="auto" w:fill="CCEEFF"/>
          </w:tcPr>
          <w:p>
            <w:pPr>
              <w:ind w:left="100"/>
              <w:spacing w:after="0" w:line="136" w:lineRule="exact"/>
              <w:rPr>
                <w:sz w:val="20"/>
                <w:szCs w:val="20"/>
                <w:color w:val="auto"/>
              </w:rPr>
            </w:pPr>
            <w:r>
              <w:rPr>
                <w:rFonts w:ascii="Times New Roman" w:cs="Times New Roman" w:eastAsia="Times New Roman" w:hAnsi="Times New Roman"/>
                <w:sz w:val="12"/>
                <w:szCs w:val="12"/>
                <w:color w:val="auto"/>
              </w:rPr>
              <w:t>Common Units</w:t>
            </w:r>
          </w:p>
        </w:tc>
        <w:tc>
          <w:tcPr>
            <w:tcW w:w="90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2"/>
                <w:szCs w:val="12"/>
                <w:color w:val="auto"/>
                <w:w w:val="98"/>
              </w:rPr>
              <w:t>3/16/2022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1,041,667</w:t>
            </w:r>
          </w:p>
        </w:tc>
        <w:tc>
          <w:tcPr>
            <w:tcW w:w="90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1,041,667</w:t>
            </w:r>
          </w:p>
        </w:tc>
        <w:tc>
          <w:tcPr>
            <w:tcW w:w="90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634,167</w:t>
            </w:r>
          </w:p>
        </w:tc>
        <w:tc>
          <w:tcPr>
            <w:tcW w:w="900" w:type="dxa"/>
            <w:vAlign w:val="bottom"/>
            <w:gridSpan w:val="2"/>
            <w:shd w:val="clear" w:color="auto" w:fill="CCEEFF"/>
          </w:tcPr>
          <w:p>
            <w:pPr>
              <w:jc w:val="right"/>
              <w:ind w:right="70"/>
              <w:spacing w:after="0" w:line="136" w:lineRule="exact"/>
              <w:rPr>
                <w:sz w:val="20"/>
                <w:szCs w:val="20"/>
                <w:color w:val="auto"/>
              </w:rPr>
            </w:pPr>
            <w:r>
              <w:rPr>
                <w:rFonts w:ascii="Times New Roman" w:cs="Times New Roman" w:eastAsia="Times New Roman" w:hAnsi="Times New Roman"/>
                <w:sz w:val="12"/>
                <w:szCs w:val="12"/>
                <w:color w:val="auto"/>
              </w:rPr>
              <w:t>0.2%</w:t>
            </w: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gridSpan w:val="3"/>
          </w:tcPr>
          <w:p>
            <w:pPr>
              <w:ind w:left="100"/>
              <w:spacing w:after="0" w:line="115" w:lineRule="exact"/>
              <w:rPr>
                <w:sz w:val="20"/>
                <w:szCs w:val="20"/>
                <w:color w:val="auto"/>
              </w:rPr>
            </w:pPr>
            <w:r>
              <w:rPr>
                <w:rFonts w:ascii="Times New Roman" w:cs="Times New Roman" w:eastAsia="Times New Roman" w:hAnsi="Times New Roman"/>
                <w:sz w:val="12"/>
                <w:szCs w:val="12"/>
                <w:color w:val="auto"/>
              </w:rPr>
              <w:t>Total Direct Selling Software</w:t>
            </w:r>
          </w:p>
        </w:tc>
        <w:tc>
          <w:tcPr>
            <w:tcW w:w="9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24,847,149</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23,536,504</w:t>
            </w:r>
          </w:p>
        </w:tc>
        <w:tc>
          <w:tcPr>
            <w:tcW w:w="22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5.7</w:t>
            </w:r>
          </w:p>
        </w:tc>
        <w:tc>
          <w:tcPr>
            <w:tcW w:w="20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0"/>
                <w:szCs w:val="10"/>
                <w:color w:val="auto"/>
                <w:w w:val="71"/>
              </w:rPr>
              <w:t>%</w:t>
            </w:r>
          </w:p>
        </w:tc>
        <w:tc>
          <w:tcPr>
            <w:tcW w:w="12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480" w:type="dxa"/>
            <w:vAlign w:val="bottom"/>
            <w:gridSpan w:val="2"/>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C2 Educational Systems, Inc. (d)</w:t>
            </w:r>
          </w:p>
        </w:tc>
        <w:tc>
          <w:tcPr>
            <w:tcW w:w="1240" w:type="dxa"/>
            <w:vAlign w:val="bottom"/>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Education Services</w:t>
            </w:r>
          </w:p>
        </w:tc>
        <w:tc>
          <w:tcPr>
            <w:tcW w:w="1680" w:type="dxa"/>
            <w:vAlign w:val="bottom"/>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First Lien Term Loan</w:t>
            </w: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tcBorders>
              <w:right w:val="single" w:sz="8" w:color="CCEEFF"/>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6465 East Johns</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SOFR+8.50%), 12.67%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5/31/2017</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22,999,951</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22,967,800</w:t>
            </w:r>
          </w:p>
        </w:tc>
        <w:tc>
          <w:tcPr>
            <w:tcW w:w="90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2"/>
                <w:szCs w:val="12"/>
                <w:color w:val="auto"/>
              </w:rPr>
              <w:t>5.6%</w:t>
            </w: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Crossing, Suite 100,</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11/30/2026</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Duluth, GA 30097</w:t>
            </w:r>
          </w:p>
        </w:tc>
        <w:tc>
          <w:tcPr>
            <w:tcW w:w="0" w:type="dxa"/>
            <w:vAlign w:val="bottom"/>
          </w:tcPr>
          <w:p>
            <w:pPr>
              <w:spacing w:after="0"/>
              <w:rPr>
                <w:sz w:val="1"/>
                <w:szCs w:val="1"/>
                <w:color w:val="auto"/>
              </w:rPr>
            </w:pPr>
          </w:p>
        </w:tc>
      </w:tr>
      <w:tr>
        <w:trPr>
          <w:trHeight w:val="124"/>
        </w:trPr>
        <w:tc>
          <w:tcPr>
            <w:tcW w:w="24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C2 Educational Systems, Inc. (h)</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Education Services</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Series A-1 Preferred Stock</w:t>
            </w:r>
          </w:p>
        </w:tc>
        <w:tc>
          <w:tcPr>
            <w:tcW w:w="90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color w:val="auto"/>
                <w:w w:val="98"/>
              </w:rPr>
              <w:t>5/18/2021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3,127</w:t>
            </w:r>
          </w:p>
        </w:tc>
        <w:tc>
          <w:tcPr>
            <w:tcW w:w="90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499,904</w:t>
            </w:r>
          </w:p>
        </w:tc>
        <w:tc>
          <w:tcPr>
            <w:tcW w:w="90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628,543</w:t>
            </w:r>
          </w:p>
        </w:tc>
        <w:tc>
          <w:tcPr>
            <w:tcW w:w="900" w:type="dxa"/>
            <w:vAlign w:val="bottom"/>
            <w:gridSpan w:val="2"/>
          </w:tcPr>
          <w:p>
            <w:pPr>
              <w:jc w:val="right"/>
              <w:ind w:right="70"/>
              <w:spacing w:after="0" w:line="124" w:lineRule="exact"/>
              <w:rPr>
                <w:sz w:val="20"/>
                <w:szCs w:val="20"/>
                <w:color w:val="auto"/>
              </w:rPr>
            </w:pPr>
            <w:r>
              <w:rPr>
                <w:rFonts w:ascii="Times New Roman" w:cs="Times New Roman" w:eastAsia="Times New Roman" w:hAnsi="Times New Roman"/>
                <w:sz w:val="12"/>
                <w:szCs w:val="12"/>
                <w:color w:val="auto"/>
              </w:rPr>
              <w:t>0.2%</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4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Ready Education (d)</w:t>
            </w: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Education Software</w:t>
            </w: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100 Summit Drive</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SOFR+7.00%), 11.17% Cash,</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8/5/2027</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8/5/2022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32,000,000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31,851,856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31,955,200</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2"/>
                <w:szCs w:val="12"/>
                <w:color w:val="auto"/>
              </w:rPr>
              <w:t>7.7%</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Burlington, MA 01803</w:t>
            </w:r>
          </w:p>
        </w:tc>
        <w:tc>
          <w:tcPr>
            <w:tcW w:w="0" w:type="dxa"/>
            <w:vAlign w:val="bottom"/>
          </w:tcPr>
          <w:p>
            <w:pPr>
              <w:spacing w:after="0"/>
              <w:rPr>
                <w:sz w:val="1"/>
                <w:szCs w:val="1"/>
                <w:color w:val="auto"/>
              </w:rPr>
            </w:pPr>
          </w:p>
        </w:tc>
      </w:tr>
      <w:tr>
        <w:trPr>
          <w:trHeight w:val="115"/>
        </w:trPr>
        <w:tc>
          <w:tcPr>
            <w:tcW w:w="23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gridSpan w:val="3"/>
          </w:tcPr>
          <w:p>
            <w:pPr>
              <w:ind w:left="100"/>
              <w:spacing w:after="0" w:line="115" w:lineRule="exact"/>
              <w:rPr>
                <w:sz w:val="20"/>
                <w:szCs w:val="20"/>
                <w:color w:val="auto"/>
              </w:rPr>
            </w:pPr>
            <w:r>
              <w:rPr>
                <w:rFonts w:ascii="Times New Roman" w:cs="Times New Roman" w:eastAsia="Times New Roman" w:hAnsi="Times New Roman"/>
                <w:sz w:val="12"/>
                <w:szCs w:val="12"/>
                <w:color w:val="auto"/>
              </w:rPr>
              <w:t>Total Education Software</w:t>
            </w:r>
          </w:p>
        </w:tc>
        <w:tc>
          <w:tcPr>
            <w:tcW w:w="9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55,351,711</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55,551,543</w:t>
            </w:r>
          </w:p>
        </w:tc>
        <w:tc>
          <w:tcPr>
            <w:tcW w:w="22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13.5</w:t>
            </w:r>
          </w:p>
        </w:tc>
        <w:tc>
          <w:tcPr>
            <w:tcW w:w="20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0"/>
                <w:szCs w:val="10"/>
                <w:color w:val="auto"/>
                <w:w w:val="71"/>
              </w:rPr>
              <w:t>%</w:t>
            </w:r>
          </w:p>
        </w:tc>
        <w:tc>
          <w:tcPr>
            <w:tcW w:w="12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480" w:type="dxa"/>
            <w:vAlign w:val="bottom"/>
            <w:gridSpan w:val="2"/>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TG Pressure Washing Holdings, LLC (h)</w:t>
            </w:r>
          </w:p>
        </w:tc>
        <w:tc>
          <w:tcPr>
            <w:tcW w:w="1240" w:type="dxa"/>
            <w:vAlign w:val="bottom"/>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Facilities Maintenance</w:t>
            </w:r>
          </w:p>
        </w:tc>
        <w:tc>
          <w:tcPr>
            <w:tcW w:w="1680" w:type="dxa"/>
            <w:vAlign w:val="bottom"/>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Preferred Equity</w:t>
            </w: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tcBorders>
              <w:right w:val="single" w:sz="8" w:color="CCEEFF"/>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500 West 67th Street,</w:t>
            </w: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8/12/2019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488,148</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488,148</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2"/>
                <w:szCs w:val="12"/>
                <w:color w:val="auto"/>
              </w:rPr>
              <w:t>0.0%</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Loveland, CO 80538</w:t>
            </w:r>
          </w:p>
        </w:tc>
        <w:tc>
          <w:tcPr>
            <w:tcW w:w="0" w:type="dxa"/>
            <w:vAlign w:val="bottom"/>
          </w:tcPr>
          <w:p>
            <w:pPr>
              <w:spacing w:after="0"/>
              <w:rPr>
                <w:sz w:val="1"/>
                <w:szCs w:val="1"/>
                <w:color w:val="auto"/>
              </w:rPr>
            </w:pPr>
          </w:p>
        </w:tc>
      </w:tr>
      <w:tr>
        <w:trPr>
          <w:trHeight w:val="115"/>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15" w:lineRule="exact"/>
              <w:rPr>
                <w:sz w:val="20"/>
                <w:szCs w:val="20"/>
                <w:color w:val="auto"/>
              </w:rPr>
            </w:pPr>
            <w:r>
              <w:rPr>
                <w:rFonts w:ascii="Times New Roman" w:cs="Times New Roman" w:eastAsia="Times New Roman" w:hAnsi="Times New Roman"/>
                <w:sz w:val="12"/>
                <w:szCs w:val="12"/>
                <w:color w:val="auto"/>
              </w:rPr>
              <w:t>Total Facilities Maintenance</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488,148</w:t>
            </w:r>
          </w:p>
        </w:tc>
        <w:tc>
          <w:tcPr>
            <w:tcW w:w="220" w:type="dxa"/>
            <w:vAlign w:val="bottom"/>
          </w:tcPr>
          <w:p>
            <w:pPr>
              <w:spacing w:after="0"/>
              <w:rPr>
                <w:sz w:val="10"/>
                <w:szCs w:val="10"/>
                <w:color w:val="auto"/>
              </w:rPr>
            </w:pPr>
          </w:p>
        </w:tc>
        <w:tc>
          <w:tcPr>
            <w:tcW w:w="6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7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0.0</w:t>
            </w:r>
          </w:p>
        </w:tc>
        <w:tc>
          <w:tcPr>
            <w:tcW w:w="20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w w:val="71"/>
              </w:rPr>
              <w:t>%</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38"/>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Investment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Original</w:t>
            </w:r>
          </w:p>
        </w:tc>
        <w:tc>
          <w:tcPr>
            <w:tcW w:w="6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Principal/</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Fair</w:t>
            </w: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 of</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Company(1)</w:t>
            </w:r>
          </w:p>
        </w:tc>
        <w:tc>
          <w:tcPr>
            <w:tcW w:w="1240" w:type="dxa"/>
            <w:vAlign w:val="bottom"/>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100" w:type="dxa"/>
            <w:vAlign w:val="bottom"/>
          </w:tcPr>
          <w:p>
            <w:pPr>
              <w:spacing w:after="0"/>
              <w:rPr>
                <w:sz w:val="10"/>
                <w:szCs w:val="10"/>
                <w:color w:val="auto"/>
              </w:rPr>
            </w:pPr>
          </w:p>
        </w:tc>
        <w:tc>
          <w:tcPr>
            <w:tcW w:w="158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Interest Rate/</w:t>
            </w:r>
          </w:p>
        </w:tc>
        <w:tc>
          <w:tcPr>
            <w:tcW w:w="102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60" w:type="dxa"/>
            <w:vAlign w:val="bottom"/>
          </w:tcPr>
          <w:p>
            <w:pPr>
              <w:spacing w:after="0"/>
              <w:rPr>
                <w:sz w:val="10"/>
                <w:szCs w:val="10"/>
                <w:color w:val="auto"/>
              </w:rPr>
            </w:pPr>
          </w:p>
        </w:tc>
        <w:tc>
          <w:tcPr>
            <w:tcW w:w="86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9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8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Company Address</w:t>
            </w:r>
          </w:p>
        </w:tc>
        <w:tc>
          <w:tcPr>
            <w:tcW w:w="0" w:type="dxa"/>
            <w:vAlign w:val="bottom"/>
          </w:tcPr>
          <w:p>
            <w:pPr>
              <w:spacing w:after="0"/>
              <w:rPr>
                <w:sz w:val="1"/>
                <w:szCs w:val="1"/>
                <w:color w:val="auto"/>
              </w:rPr>
            </w:pPr>
          </w:p>
        </w:tc>
      </w:tr>
      <w:tr>
        <w:trPr>
          <w:trHeight w:val="146"/>
        </w:trPr>
        <w:tc>
          <w:tcPr>
            <w:tcW w:w="248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6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920" w:type="dxa"/>
            <w:vAlign w:val="bottom"/>
            <w:gridSpan w:val="2"/>
            <w:vMerge w:val="continue"/>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Value (c)</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Net Assets</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360" w:type="dxa"/>
            <w:vAlign w:val="bottom"/>
            <w:tcBorders>
              <w:top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GDS Software Holdings, LLC</w:t>
            </w:r>
          </w:p>
        </w:tc>
        <w:tc>
          <w:tcPr>
            <w:tcW w:w="12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Financial Services</w:t>
            </w:r>
          </w:p>
        </w:tc>
        <w:tc>
          <w:tcPr>
            <w:tcW w:w="100" w:type="dxa"/>
            <w:vAlign w:val="bottom"/>
            <w:tcBorders>
              <w:top w:val="single" w:sz="8" w:color="CCEEFF"/>
            </w:tcBorders>
            <w:shd w:val="clear" w:color="auto" w:fill="CCEEFF"/>
          </w:tcPr>
          <w:p>
            <w:pPr>
              <w:spacing w:after="0"/>
              <w:rPr>
                <w:sz w:val="8"/>
                <w:szCs w:val="8"/>
                <w:color w:val="auto"/>
              </w:rPr>
            </w:pPr>
          </w:p>
        </w:tc>
        <w:tc>
          <w:tcPr>
            <w:tcW w:w="1480" w:type="dxa"/>
            <w:vAlign w:val="bottom"/>
            <w:tcBorders>
              <w:top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First Lien Term Loan</w:t>
            </w:r>
          </w:p>
        </w:tc>
        <w:tc>
          <w:tcPr>
            <w:tcW w:w="1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5307 East Mockingbird</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SOFR+7.00%), 11.17%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12/30/2021</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22,713,926</w:t>
            </w:r>
          </w:p>
        </w:tc>
        <w:tc>
          <w:tcPr>
            <w:tcW w:w="2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22,674,422</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22,713,926</w:t>
            </w: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5.6%</w:t>
            </w: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Lane Suite 1001, Dallas,</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12/30/2026</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TX</w:t>
            </w: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GDS Software Holdings, LLC (d)</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Financial Services</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SOFR+7.00%), 11.17%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12/30/2021</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3,286,074</w:t>
            </w:r>
          </w:p>
        </w:tc>
        <w:tc>
          <w:tcPr>
            <w:tcW w:w="22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3,270,530</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3,286,074</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0.8%</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12/30/2026</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GDS Software Holdings, LLC (h)</w:t>
            </w:r>
          </w:p>
        </w:tc>
        <w:tc>
          <w:tcPr>
            <w:tcW w:w="12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Financial Services</w:t>
            </w:r>
          </w:p>
        </w:tc>
        <w:tc>
          <w:tcPr>
            <w:tcW w:w="1680" w:type="dxa"/>
            <w:vAlign w:val="bottom"/>
            <w:gridSpan w:val="3"/>
            <w:shd w:val="clear" w:color="auto" w:fill="CCEEFF"/>
          </w:tcPr>
          <w:p>
            <w:pPr>
              <w:ind w:left="100"/>
              <w:spacing w:after="0" w:line="136" w:lineRule="exact"/>
              <w:rPr>
                <w:sz w:val="20"/>
                <w:szCs w:val="20"/>
                <w:color w:val="auto"/>
              </w:rPr>
            </w:pPr>
            <w:r>
              <w:rPr>
                <w:rFonts w:ascii="Times New Roman" w:cs="Times New Roman" w:eastAsia="Times New Roman" w:hAnsi="Times New Roman"/>
                <w:sz w:val="12"/>
                <w:szCs w:val="12"/>
                <w:color w:val="auto"/>
              </w:rPr>
              <w:t>Common Stock Class A Units</w:t>
            </w:r>
          </w:p>
        </w:tc>
        <w:tc>
          <w:tcPr>
            <w:tcW w:w="90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2"/>
                <w:szCs w:val="12"/>
                <w:color w:val="auto"/>
                <w:w w:val="98"/>
              </w:rPr>
              <w:t>8/23/2018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250,000</w:t>
            </w:r>
          </w:p>
        </w:tc>
        <w:tc>
          <w:tcPr>
            <w:tcW w:w="92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250,000</w:t>
            </w:r>
          </w:p>
        </w:tc>
        <w:tc>
          <w:tcPr>
            <w:tcW w:w="88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2"/>
                <w:szCs w:val="12"/>
                <w:color w:val="auto"/>
              </w:rPr>
              <w:t>291,852</w:t>
            </w:r>
          </w:p>
        </w:tc>
        <w:tc>
          <w:tcPr>
            <w:tcW w:w="880" w:type="dxa"/>
            <w:vAlign w:val="bottom"/>
            <w:gridSpan w:val="2"/>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0.1%</w:t>
            </w: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gridSpan w:val="3"/>
          </w:tcPr>
          <w:p>
            <w:pPr>
              <w:ind w:left="100"/>
              <w:spacing w:after="0" w:line="115" w:lineRule="exact"/>
              <w:rPr>
                <w:sz w:val="20"/>
                <w:szCs w:val="20"/>
                <w:color w:val="auto"/>
              </w:rPr>
            </w:pPr>
            <w:r>
              <w:rPr>
                <w:rFonts w:ascii="Times New Roman" w:cs="Times New Roman" w:eastAsia="Times New Roman" w:hAnsi="Times New Roman"/>
                <w:sz w:val="12"/>
                <w:szCs w:val="12"/>
                <w:color w:val="auto"/>
              </w:rPr>
              <w:t>Total Financial Services</w:t>
            </w:r>
          </w:p>
        </w:tc>
        <w:tc>
          <w:tcPr>
            <w:tcW w:w="9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4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26,194,952</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26,291,852</w:t>
            </w:r>
          </w:p>
        </w:tc>
        <w:tc>
          <w:tcPr>
            <w:tcW w:w="20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6.5</w:t>
            </w:r>
          </w:p>
        </w:tc>
        <w:tc>
          <w:tcPr>
            <w:tcW w:w="220" w:type="dxa"/>
            <w:vAlign w:val="bottom"/>
            <w:tcBorders>
              <w:bottom w:val="single" w:sz="8" w:color="CCEEFF"/>
            </w:tcBorders>
          </w:tcPr>
          <w:p>
            <w:pPr>
              <w:jc w:val="right"/>
              <w:ind w:right="60"/>
              <w:spacing w:after="0" w:line="115" w:lineRule="exact"/>
              <w:rPr>
                <w:sz w:val="20"/>
                <w:szCs w:val="20"/>
                <w:color w:val="auto"/>
              </w:rPr>
            </w:pPr>
            <w:r>
              <w:rPr>
                <w:rFonts w:ascii="Times New Roman" w:cs="Times New Roman" w:eastAsia="Times New Roman" w:hAnsi="Times New Roman"/>
                <w:sz w:val="12"/>
                <w:szCs w:val="12"/>
                <w:color w:val="auto"/>
                <w:w w:val="79"/>
              </w:rPr>
              <w:t>%</w:t>
            </w:r>
          </w:p>
        </w:tc>
        <w:tc>
          <w:tcPr>
            <w:tcW w:w="12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480" w:type="dxa"/>
            <w:vAlign w:val="bottom"/>
            <w:gridSpan w:val="2"/>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Inspect Point Holdings, LLC</w:t>
            </w:r>
          </w:p>
        </w:tc>
        <w:tc>
          <w:tcPr>
            <w:tcW w:w="1240" w:type="dxa"/>
            <w:vAlign w:val="bottom"/>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Fire Inspection Business</w:t>
            </w:r>
          </w:p>
        </w:tc>
        <w:tc>
          <w:tcPr>
            <w:tcW w:w="1680" w:type="dxa"/>
            <w:vAlign w:val="bottom"/>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First Lien Term Loan</w:t>
            </w: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(1M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24 4th St, Troy, NY</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SOFR+5.50%), 9.77%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7/19/2023</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20,000,000</w:t>
            </w:r>
          </w:p>
        </w:tc>
        <w:tc>
          <w:tcPr>
            <w:tcW w:w="2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19,855,001</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20,050,000</w:t>
            </w: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4.9%</w:t>
            </w: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07/19/2029</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12180</w:t>
            </w: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Inspect Point Holdings, LLC (j)</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Fire Inspection Business</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(1M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SOFR+5.50%), 9.77% Cash,</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07/19/2029</w:t>
            </w: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7/19/2023</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0.0%</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680" w:type="dxa"/>
            <w:vAlign w:val="bottom"/>
            <w:tcBorders>
              <w:top w:val="single" w:sz="8" w:color="CCEEFF"/>
            </w:tcBorders>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Total Fire Inspection Business</w:t>
            </w:r>
          </w:p>
        </w:tc>
        <w:tc>
          <w:tcPr>
            <w:tcW w:w="9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Software</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19,855,001</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20,050,000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4.9%</w:t>
            </w: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480" w:type="dxa"/>
            <w:vAlign w:val="bottom"/>
            <w:gridSpan w:val="2"/>
          </w:tcPr>
          <w:p>
            <w:pPr>
              <w:spacing w:after="0" w:line="87" w:lineRule="exact"/>
              <w:rPr>
                <w:sz w:val="20"/>
                <w:szCs w:val="20"/>
                <w:color w:val="auto"/>
              </w:rPr>
            </w:pPr>
            <w:r>
              <w:rPr>
                <w:rFonts w:ascii="Times New Roman" w:cs="Times New Roman" w:eastAsia="Times New Roman" w:hAnsi="Times New Roman"/>
                <w:sz w:val="10"/>
                <w:szCs w:val="10"/>
                <w:color w:val="auto"/>
              </w:rPr>
              <w:t>Stretch Zone Franchising, LLC (d)</w:t>
            </w:r>
          </w:p>
        </w:tc>
        <w:tc>
          <w:tcPr>
            <w:tcW w:w="1240" w:type="dxa"/>
            <w:vAlign w:val="bottom"/>
          </w:tcPr>
          <w:p>
            <w:pPr>
              <w:spacing w:after="0" w:line="87" w:lineRule="exact"/>
              <w:rPr>
                <w:sz w:val="20"/>
                <w:szCs w:val="20"/>
                <w:color w:val="auto"/>
              </w:rPr>
            </w:pPr>
            <w:r>
              <w:rPr>
                <w:rFonts w:ascii="Times New Roman" w:cs="Times New Roman" w:eastAsia="Times New Roman" w:hAnsi="Times New Roman"/>
                <w:sz w:val="10"/>
                <w:szCs w:val="10"/>
                <w:color w:val="auto"/>
              </w:rPr>
              <w:t>Health/Fitness Franchisor</w:t>
            </w:r>
          </w:p>
        </w:tc>
        <w:tc>
          <w:tcPr>
            <w:tcW w:w="1680" w:type="dxa"/>
            <w:vAlign w:val="bottom"/>
            <w:gridSpan w:val="3"/>
          </w:tcPr>
          <w:p>
            <w:pPr>
              <w:ind w:left="100"/>
              <w:spacing w:after="0" w:line="87" w:lineRule="exact"/>
              <w:rPr>
                <w:sz w:val="20"/>
                <w:szCs w:val="20"/>
                <w:color w:val="auto"/>
              </w:rPr>
            </w:pPr>
            <w:r>
              <w:rPr>
                <w:rFonts w:ascii="Times New Roman" w:cs="Times New Roman" w:eastAsia="Times New Roman" w:hAnsi="Times New Roman"/>
                <w:sz w:val="10"/>
                <w:szCs w:val="10"/>
                <w:color w:val="auto"/>
              </w:rPr>
              <w:t>First Lien Term Loan</w:t>
            </w: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6700 North Andrews</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SOFR+7.00%), 11.17%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3/31/2023</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16,228,726</w:t>
            </w:r>
          </w:p>
        </w:tc>
        <w:tc>
          <w:tcPr>
            <w:tcW w:w="22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16,140,088</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15,553,611</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3.8%</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Ave. #210 Fort</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3/31/2028</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Lauderdale, FL 33309</w:t>
            </w:r>
          </w:p>
        </w:tc>
        <w:tc>
          <w:tcPr>
            <w:tcW w:w="0" w:type="dxa"/>
            <w:vAlign w:val="bottom"/>
          </w:tcPr>
          <w:p>
            <w:pPr>
              <w:spacing w:after="0"/>
              <w:rPr>
                <w:sz w:val="1"/>
                <w:szCs w:val="1"/>
                <w:color w:val="auto"/>
              </w:rPr>
            </w:pPr>
          </w:p>
        </w:tc>
      </w:tr>
      <w:tr>
        <w:trPr>
          <w:trHeight w:val="106"/>
        </w:trPr>
        <w:tc>
          <w:tcPr>
            <w:tcW w:w="24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Stretch Zone Franchising, LLC</w:t>
            </w: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w w:val="98"/>
              </w:rPr>
              <w:t>Health/Fitness Franchisor</w:t>
            </w: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SOFR+7.00%), 11.17%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3/31/2023</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8,738,545</w:t>
            </w:r>
          </w:p>
        </w:tc>
        <w:tc>
          <w:tcPr>
            <w:tcW w:w="2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8,688,413</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8,375,021</w:t>
            </w: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2.0%</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3/31/2028</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gridSpan w:val="2"/>
          </w:tcPr>
          <w:p>
            <w:pPr>
              <w:spacing w:after="0" w:line="136" w:lineRule="exact"/>
              <w:rPr>
                <w:sz w:val="20"/>
                <w:szCs w:val="20"/>
                <w:color w:val="auto"/>
              </w:rPr>
            </w:pPr>
            <w:r>
              <w:rPr>
                <w:rFonts w:ascii="Times New Roman" w:cs="Times New Roman" w:eastAsia="Times New Roman" w:hAnsi="Times New Roman"/>
                <w:sz w:val="12"/>
                <w:szCs w:val="12"/>
                <w:color w:val="auto"/>
              </w:rPr>
              <w:t>Stretch Zone Franchising, LLC (h)</w:t>
            </w:r>
          </w:p>
        </w:tc>
        <w:tc>
          <w:tcPr>
            <w:tcW w:w="12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w w:val="98"/>
              </w:rPr>
              <w:t>Health/Fitness Franchisor</w:t>
            </w: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Class A Units</w:t>
            </w: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auto"/>
                <w:w w:val="98"/>
              </w:rPr>
              <w:t>3/31/2023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20,000</w:t>
            </w:r>
          </w:p>
        </w:tc>
        <w:tc>
          <w:tcPr>
            <w:tcW w:w="92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2,000,000</w:t>
            </w:r>
          </w:p>
        </w:tc>
        <w:tc>
          <w:tcPr>
            <w:tcW w:w="88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2"/>
                <w:szCs w:val="12"/>
                <w:color w:val="auto"/>
              </w:rPr>
              <w:t>877,862</w:t>
            </w:r>
          </w:p>
        </w:tc>
        <w:tc>
          <w:tcPr>
            <w:tcW w:w="88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0.2%</w:t>
            </w: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3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680" w:type="dxa"/>
            <w:vAlign w:val="bottom"/>
            <w:tcBorders>
              <w:top w:val="single" w:sz="8" w:color="CCEEFF"/>
            </w:tcBorders>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Total Health/Fitness</w:t>
            </w:r>
          </w:p>
        </w:tc>
        <w:tc>
          <w:tcPr>
            <w:tcW w:w="9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Franchisor</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26,828,501</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24,806,494</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6.0%</w:t>
            </w: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480" w:type="dxa"/>
            <w:vAlign w:val="bottom"/>
            <w:gridSpan w:val="2"/>
          </w:tcPr>
          <w:p>
            <w:pPr>
              <w:ind w:left="20"/>
              <w:spacing w:after="0" w:line="87" w:lineRule="exact"/>
              <w:rPr>
                <w:sz w:val="20"/>
                <w:szCs w:val="20"/>
                <w:color w:val="auto"/>
              </w:rPr>
            </w:pPr>
            <w:r>
              <w:rPr>
                <w:rFonts w:ascii="Times New Roman" w:cs="Times New Roman" w:eastAsia="Times New Roman" w:hAnsi="Times New Roman"/>
                <w:sz w:val="10"/>
                <w:szCs w:val="10"/>
                <w:color w:val="auto"/>
              </w:rPr>
              <w:t>Alpha Aesthetics Partners OpCo, LLC</w:t>
            </w:r>
          </w:p>
        </w:tc>
        <w:tc>
          <w:tcPr>
            <w:tcW w:w="1240" w:type="dxa"/>
            <w:vAlign w:val="bottom"/>
          </w:tcPr>
          <w:p>
            <w:pPr>
              <w:spacing w:after="0" w:line="87" w:lineRule="exact"/>
              <w:rPr>
                <w:sz w:val="20"/>
                <w:szCs w:val="20"/>
                <w:color w:val="auto"/>
              </w:rPr>
            </w:pPr>
            <w:r>
              <w:rPr>
                <w:rFonts w:ascii="Times New Roman" w:cs="Times New Roman" w:eastAsia="Times New Roman" w:hAnsi="Times New Roman"/>
                <w:sz w:val="10"/>
                <w:szCs w:val="10"/>
                <w:color w:val="auto"/>
              </w:rPr>
              <w:t>Healthcare Services</w:t>
            </w:r>
          </w:p>
        </w:tc>
        <w:tc>
          <w:tcPr>
            <w:tcW w:w="1680" w:type="dxa"/>
            <w:vAlign w:val="bottom"/>
            <w:gridSpan w:val="3"/>
          </w:tcPr>
          <w:p>
            <w:pPr>
              <w:ind w:left="100"/>
              <w:spacing w:after="0" w:line="87" w:lineRule="exact"/>
              <w:rPr>
                <w:sz w:val="20"/>
                <w:szCs w:val="20"/>
                <w:color w:val="auto"/>
              </w:rPr>
            </w:pPr>
            <w:r>
              <w:rPr>
                <w:rFonts w:ascii="Times New Roman" w:cs="Times New Roman" w:eastAsia="Times New Roman" w:hAnsi="Times New Roman"/>
                <w:sz w:val="10"/>
                <w:szCs w:val="10"/>
                <w:color w:val="auto"/>
              </w:rPr>
              <w:t>First Lien Term Loan</w:t>
            </w: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(1M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2211 Francisco Dr., El</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SOFR+9.85%), 14.18%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3/20/2023</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3,900,000</w:t>
            </w:r>
          </w:p>
        </w:tc>
        <w:tc>
          <w:tcPr>
            <w:tcW w:w="22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3,866,095</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3,952,260</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3/20/2028</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Dorado Hills, CA 95762</w:t>
            </w:r>
          </w:p>
        </w:tc>
        <w:tc>
          <w:tcPr>
            <w:tcW w:w="0" w:type="dxa"/>
            <w:vAlign w:val="bottom"/>
          </w:tcPr>
          <w:p>
            <w:pPr>
              <w:spacing w:after="0"/>
              <w:rPr>
                <w:sz w:val="1"/>
                <w:szCs w:val="1"/>
                <w:color w:val="auto"/>
              </w:rPr>
            </w:pPr>
          </w:p>
        </w:tc>
      </w:tr>
      <w:tr>
        <w:trPr>
          <w:trHeight w:val="106"/>
        </w:trPr>
        <w:tc>
          <w:tcPr>
            <w:tcW w:w="24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Alpha Aesthetics Partners OpCo, LLC</w:t>
            </w: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Healthcare Services</w:t>
            </w: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(1M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SOFR+9.85%), 14.18%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3/20/2023</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15,100,000</w:t>
            </w:r>
          </w:p>
        </w:tc>
        <w:tc>
          <w:tcPr>
            <w:tcW w:w="2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14,951,954</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15,302,340</w:t>
            </w: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3.7%</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3/20/2028</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4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Alpha Aesthetics Partners OpCo, LLC (h)</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Healthcare Services</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Class A Preferred Units</w:t>
            </w:r>
          </w:p>
        </w:tc>
        <w:tc>
          <w:tcPr>
            <w:tcW w:w="90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color w:val="auto"/>
                <w:w w:val="98"/>
              </w:rPr>
              <w:t>3/20/2023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3,675,000</w:t>
            </w:r>
          </w:p>
        </w:tc>
        <w:tc>
          <w:tcPr>
            <w:tcW w:w="220" w:type="dxa"/>
            <w:vAlign w:val="bottom"/>
          </w:tcPr>
          <w:p>
            <w:pPr>
              <w:spacing w:after="0"/>
              <w:rPr>
                <w:sz w:val="10"/>
                <w:szCs w:val="10"/>
                <w:color w:val="auto"/>
              </w:rPr>
            </w:pPr>
          </w:p>
        </w:tc>
        <w:tc>
          <w:tcPr>
            <w:tcW w:w="92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rPr>
              <w:t>3,675,000</w:t>
            </w:r>
          </w:p>
        </w:tc>
        <w:tc>
          <w:tcPr>
            <w:tcW w:w="880" w:type="dxa"/>
            <w:vAlign w:val="bottom"/>
            <w:gridSpan w:val="2"/>
          </w:tcPr>
          <w:p>
            <w:pPr>
              <w:jc w:val="right"/>
              <w:ind w:right="200"/>
              <w:spacing w:after="0" w:line="124" w:lineRule="exact"/>
              <w:rPr>
                <w:sz w:val="20"/>
                <w:szCs w:val="20"/>
                <w:color w:val="auto"/>
              </w:rPr>
            </w:pPr>
            <w:r>
              <w:rPr>
                <w:rFonts w:ascii="Times New Roman" w:cs="Times New Roman" w:eastAsia="Times New Roman" w:hAnsi="Times New Roman"/>
                <w:sz w:val="12"/>
                <w:szCs w:val="12"/>
                <w:color w:val="auto"/>
              </w:rPr>
              <w:t>3,520,466</w:t>
            </w:r>
          </w:p>
        </w:tc>
        <w:tc>
          <w:tcPr>
            <w:tcW w:w="88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0.9%</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4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ComForCare Health Care (d)</w:t>
            </w: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Healthcare Services</w:t>
            </w: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2520 S Telegraph Rd</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SOFR+6.25%), 10.42% Cash,</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#201, Bloomfield Hills,</w:t>
            </w: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12/31/2028</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1/31/2017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70,000,000</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69,698,689</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70,140,000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17.0%</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MI 48302</w:t>
            </w:r>
          </w:p>
        </w:tc>
        <w:tc>
          <w:tcPr>
            <w:tcW w:w="0" w:type="dxa"/>
            <w:vAlign w:val="bottom"/>
          </w:tcPr>
          <w:p>
            <w:pPr>
              <w:spacing w:after="0"/>
              <w:rPr>
                <w:sz w:val="1"/>
                <w:szCs w:val="1"/>
                <w:color w:val="auto"/>
              </w:rPr>
            </w:pPr>
          </w:p>
        </w:tc>
      </w:tr>
      <w:tr>
        <w:trPr>
          <w:trHeight w:val="115"/>
        </w:trPr>
        <w:tc>
          <w:tcPr>
            <w:tcW w:w="23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gridSpan w:val="3"/>
          </w:tcPr>
          <w:p>
            <w:pPr>
              <w:ind w:left="100"/>
              <w:spacing w:after="0" w:line="115" w:lineRule="exact"/>
              <w:rPr>
                <w:sz w:val="20"/>
                <w:szCs w:val="20"/>
                <w:color w:val="auto"/>
              </w:rPr>
            </w:pPr>
            <w:r>
              <w:rPr>
                <w:rFonts w:ascii="Times New Roman" w:cs="Times New Roman" w:eastAsia="Times New Roman" w:hAnsi="Times New Roman"/>
                <w:sz w:val="12"/>
                <w:szCs w:val="12"/>
                <w:color w:val="auto"/>
              </w:rPr>
              <w:t>Total Healthcare Services</w:t>
            </w:r>
          </w:p>
        </w:tc>
        <w:tc>
          <w:tcPr>
            <w:tcW w:w="9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4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92,191,738</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92,915,066</w:t>
            </w:r>
          </w:p>
        </w:tc>
        <w:tc>
          <w:tcPr>
            <w:tcW w:w="20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22.6</w:t>
            </w:r>
          </w:p>
        </w:tc>
        <w:tc>
          <w:tcPr>
            <w:tcW w:w="220" w:type="dxa"/>
            <w:vAlign w:val="bottom"/>
            <w:tcBorders>
              <w:bottom w:val="single" w:sz="8" w:color="CCEEFF"/>
            </w:tcBorders>
          </w:tcPr>
          <w:p>
            <w:pPr>
              <w:jc w:val="right"/>
              <w:ind w:right="60"/>
              <w:spacing w:after="0" w:line="115" w:lineRule="exact"/>
              <w:rPr>
                <w:sz w:val="20"/>
                <w:szCs w:val="20"/>
                <w:color w:val="auto"/>
              </w:rPr>
            </w:pPr>
            <w:r>
              <w:rPr>
                <w:rFonts w:ascii="Times New Roman" w:cs="Times New Roman" w:eastAsia="Times New Roman" w:hAnsi="Times New Roman"/>
                <w:sz w:val="12"/>
                <w:szCs w:val="12"/>
                <w:color w:val="auto"/>
                <w:w w:val="79"/>
              </w:rPr>
              <w:t>%</w:t>
            </w:r>
          </w:p>
        </w:tc>
        <w:tc>
          <w:tcPr>
            <w:tcW w:w="12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480" w:type="dxa"/>
            <w:vAlign w:val="bottom"/>
            <w:gridSpan w:val="2"/>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Procurement Partners, LLC</w:t>
            </w:r>
          </w:p>
        </w:tc>
        <w:tc>
          <w:tcPr>
            <w:tcW w:w="1240" w:type="dxa"/>
            <w:vAlign w:val="bottom"/>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Healthcare Software</w:t>
            </w:r>
          </w:p>
        </w:tc>
        <w:tc>
          <w:tcPr>
            <w:tcW w:w="1680" w:type="dxa"/>
            <w:vAlign w:val="bottom"/>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First Lien Term Loan</w:t>
            </w: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17035 W. Wisconsin</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SOFR+6.50%), 10.67%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11/12/2020</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35,125,000</w:t>
            </w:r>
          </w:p>
        </w:tc>
        <w:tc>
          <w:tcPr>
            <w:tcW w:w="2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35,078,415</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35,125,000</w:t>
            </w: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8.5%</w:t>
            </w: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Ave, Suite 100,</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5/12/2026</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Brookfield, WI 53005</w:t>
            </w: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Procurement Partners, LLC</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Healthcare Software</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SOFR+6.50%), 10.67%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11/12/2020</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10,300,000</w:t>
            </w:r>
          </w:p>
        </w:tc>
        <w:tc>
          <w:tcPr>
            <w:tcW w:w="2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10,307,554</w:t>
            </w:r>
          </w:p>
        </w:tc>
        <w:tc>
          <w:tcPr>
            <w:tcW w:w="2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10,300,000</w:t>
            </w:r>
          </w:p>
        </w:tc>
        <w:tc>
          <w:tcPr>
            <w:tcW w:w="20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2.5 %</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5/12/2026</w:t>
            </w: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Investment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Original</w:t>
            </w:r>
          </w:p>
        </w:tc>
        <w:tc>
          <w:tcPr>
            <w:tcW w:w="60" w:type="dxa"/>
            <w:vAlign w:val="bottom"/>
          </w:tcPr>
          <w:p>
            <w:pPr>
              <w:spacing w:after="0"/>
              <w:rPr>
                <w:sz w:val="12"/>
                <w:szCs w:val="12"/>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0" w:type="dxa"/>
            <w:vAlign w:val="bottom"/>
          </w:tcPr>
          <w:p>
            <w:pPr>
              <w:spacing w:after="0"/>
              <w:rPr>
                <w:sz w:val="1"/>
                <w:szCs w:val="1"/>
                <w:color w:val="auto"/>
              </w:rPr>
            </w:pPr>
          </w:p>
        </w:tc>
      </w:tr>
      <w:tr>
        <w:trPr>
          <w:trHeight w:val="124"/>
        </w:trPr>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Company(1)</w:t>
            </w:r>
          </w:p>
        </w:tc>
        <w:tc>
          <w:tcPr>
            <w:tcW w:w="1240" w:type="dxa"/>
            <w:vAlign w:val="bottom"/>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100" w:type="dxa"/>
            <w:vAlign w:val="bottom"/>
          </w:tcPr>
          <w:p>
            <w:pPr>
              <w:spacing w:after="0"/>
              <w:rPr>
                <w:sz w:val="10"/>
                <w:szCs w:val="10"/>
                <w:color w:val="auto"/>
              </w:rPr>
            </w:pPr>
          </w:p>
        </w:tc>
        <w:tc>
          <w:tcPr>
            <w:tcW w:w="158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Interest Rate/</w:t>
            </w:r>
          </w:p>
        </w:tc>
        <w:tc>
          <w:tcPr>
            <w:tcW w:w="102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60" w:type="dxa"/>
            <w:vAlign w:val="bottom"/>
          </w:tcPr>
          <w:p>
            <w:pPr>
              <w:spacing w:after="0"/>
              <w:rPr>
                <w:sz w:val="10"/>
                <w:szCs w:val="10"/>
                <w:color w:val="auto"/>
              </w:rPr>
            </w:pPr>
          </w:p>
        </w:tc>
        <w:tc>
          <w:tcPr>
            <w:tcW w:w="640" w:type="dxa"/>
            <w:vAlign w:val="bottom"/>
            <w:gridSpan w:val="2"/>
          </w:tcPr>
          <w:p>
            <w:pPr>
              <w:jc w:val="center"/>
              <w:ind w:right="80"/>
              <w:spacing w:after="0" w:line="12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0" w:type="dxa"/>
            <w:vAlign w:val="bottom"/>
          </w:tcPr>
          <w:p>
            <w:pPr>
              <w:spacing w:after="0"/>
              <w:rPr>
                <w:sz w:val="1"/>
                <w:szCs w:val="1"/>
                <w:color w:val="auto"/>
              </w:rPr>
            </w:pPr>
          </w:p>
        </w:tc>
      </w:tr>
      <w:tr>
        <w:trPr>
          <w:trHeight w:val="146"/>
        </w:trPr>
        <w:tc>
          <w:tcPr>
            <w:tcW w:w="2480" w:type="dxa"/>
            <w:vAlign w:val="bottom"/>
            <w:gridSpan w:val="3"/>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60" w:type="dxa"/>
            <w:vAlign w:val="bottom"/>
          </w:tcPr>
          <w:p>
            <w:pPr>
              <w:spacing w:after="0"/>
              <w:rPr>
                <w:sz w:val="12"/>
                <w:szCs w:val="12"/>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40" w:type="dxa"/>
            <w:vAlign w:val="bottom"/>
            <w:tcBorders>
              <w:top w:val="single" w:sz="8" w:color="auto"/>
            </w:tcBorders>
          </w:tcPr>
          <w:p>
            <w:pPr>
              <w:spacing w:after="0" w:line="98" w:lineRule="exact"/>
              <w:rPr>
                <w:sz w:val="20"/>
                <w:szCs w:val="20"/>
                <w:color w:val="auto"/>
              </w:rPr>
            </w:pPr>
            <w:r>
              <w:rPr>
                <w:rFonts w:ascii="Times New Roman" w:cs="Times New Roman" w:eastAsia="Times New Roman" w:hAnsi="Times New Roman"/>
                <w:sz w:val="11"/>
                <w:szCs w:val="11"/>
                <w:color w:val="auto"/>
              </w:rPr>
              <w:t>Procurement Partners Holdings LLC (h)</w:t>
            </w:r>
          </w:p>
        </w:tc>
        <w:tc>
          <w:tcPr>
            <w:tcW w:w="120" w:type="dxa"/>
            <w:vAlign w:val="bottom"/>
          </w:tcPr>
          <w:p>
            <w:pPr>
              <w:spacing w:after="0"/>
              <w:rPr>
                <w:sz w:val="8"/>
                <w:szCs w:val="8"/>
                <w:color w:val="auto"/>
              </w:rPr>
            </w:pPr>
          </w:p>
        </w:tc>
        <w:tc>
          <w:tcPr>
            <w:tcW w:w="1240" w:type="dxa"/>
            <w:vAlign w:val="bottom"/>
            <w:tcBorders>
              <w:top w:val="single" w:sz="8" w:color="auto"/>
            </w:tcBorders>
          </w:tcPr>
          <w:p>
            <w:pPr>
              <w:spacing w:after="0" w:line="98" w:lineRule="exact"/>
              <w:rPr>
                <w:sz w:val="20"/>
                <w:szCs w:val="20"/>
                <w:color w:val="auto"/>
              </w:rPr>
            </w:pPr>
            <w:r>
              <w:rPr>
                <w:rFonts w:ascii="Times New Roman" w:cs="Times New Roman" w:eastAsia="Times New Roman" w:hAnsi="Times New Roman"/>
                <w:sz w:val="11"/>
                <w:szCs w:val="11"/>
                <w:color w:val="auto"/>
              </w:rPr>
              <w:t>Healthcare Software</w:t>
            </w:r>
          </w:p>
        </w:tc>
        <w:tc>
          <w:tcPr>
            <w:tcW w:w="100" w:type="dxa"/>
            <w:vAlign w:val="bottom"/>
          </w:tcPr>
          <w:p>
            <w:pPr>
              <w:spacing w:after="0"/>
              <w:rPr>
                <w:sz w:val="8"/>
                <w:szCs w:val="8"/>
                <w:color w:val="auto"/>
              </w:rPr>
            </w:pPr>
          </w:p>
        </w:tc>
        <w:tc>
          <w:tcPr>
            <w:tcW w:w="1480" w:type="dxa"/>
            <w:vAlign w:val="bottom"/>
            <w:tcBorders>
              <w:top w:val="single" w:sz="8" w:color="auto"/>
            </w:tcBorders>
          </w:tcPr>
          <w:p>
            <w:pPr>
              <w:spacing w:after="0" w:line="98" w:lineRule="exact"/>
              <w:rPr>
                <w:sz w:val="20"/>
                <w:szCs w:val="20"/>
                <w:color w:val="auto"/>
              </w:rPr>
            </w:pPr>
            <w:r>
              <w:rPr>
                <w:rFonts w:ascii="Times New Roman" w:cs="Times New Roman" w:eastAsia="Times New Roman" w:hAnsi="Times New Roman"/>
                <w:sz w:val="11"/>
                <w:szCs w:val="11"/>
                <w:color w:val="auto"/>
              </w:rPr>
              <w:t>Class A Units</w:t>
            </w:r>
          </w:p>
        </w:tc>
        <w:tc>
          <w:tcPr>
            <w:tcW w:w="100" w:type="dxa"/>
            <w:vAlign w:val="bottom"/>
          </w:tcPr>
          <w:p>
            <w:pPr>
              <w:spacing w:after="0"/>
              <w:rPr>
                <w:sz w:val="8"/>
                <w:szCs w:val="8"/>
                <w:color w:val="auto"/>
              </w:rPr>
            </w:pPr>
          </w:p>
        </w:tc>
        <w:tc>
          <w:tcPr>
            <w:tcW w:w="900" w:type="dxa"/>
            <w:vAlign w:val="bottom"/>
            <w:tcBorders>
              <w:top w:val="single" w:sz="8" w:color="auto"/>
            </w:tcBorders>
          </w:tcPr>
          <w:p>
            <w:pPr>
              <w:jc w:val="center"/>
              <w:spacing w:after="0" w:line="98" w:lineRule="exact"/>
              <w:rPr>
                <w:sz w:val="20"/>
                <w:szCs w:val="20"/>
                <w:color w:val="auto"/>
              </w:rPr>
            </w:pPr>
            <w:r>
              <w:rPr>
                <w:rFonts w:ascii="Times New Roman" w:cs="Times New Roman" w:eastAsia="Times New Roman" w:hAnsi="Times New Roman"/>
                <w:sz w:val="11"/>
                <w:szCs w:val="11"/>
                <w:color w:val="auto"/>
              </w:rPr>
              <w:t>11/12/2020</w:t>
            </w: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11"/>
                <w:szCs w:val="11"/>
                <w:color w:val="auto"/>
              </w:rPr>
              <w:t>571,219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480" w:type="dxa"/>
            <w:vAlign w:val="bottom"/>
            <w:gridSpan w:val="3"/>
          </w:tcPr>
          <w:p>
            <w:pPr>
              <w:spacing w:after="0" w:line="136" w:lineRule="exact"/>
              <w:rPr>
                <w:sz w:val="20"/>
                <w:szCs w:val="20"/>
                <w:color w:val="auto"/>
              </w:rPr>
            </w:pPr>
            <w:r>
              <w:rPr>
                <w:rFonts w:ascii="Times New Roman" w:cs="Times New Roman" w:eastAsia="Times New Roman" w:hAnsi="Times New Roman"/>
                <w:sz w:val="12"/>
                <w:szCs w:val="12"/>
                <w:color w:val="auto"/>
              </w:rPr>
              <w:t>Procurement Partners Holdings LLC (h)</w:t>
            </w:r>
          </w:p>
        </w:tc>
        <w:tc>
          <w:tcPr>
            <w:tcW w:w="12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Healthcare Software</w:t>
            </w: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Class AA Units</w:t>
            </w: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auto"/>
                <w:w w:val="98"/>
              </w:rPr>
              <w:t>11/12/2020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2"/>
                <w:szCs w:val="12"/>
                <w:color w:val="auto"/>
              </w:rPr>
              <w:t>220,385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Total Healthcare Software</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Roscoe Medical, Inc. (h)</w:t>
            </w: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Healthcare Supply</w:t>
            </w: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Common Stock</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color w:val="auto"/>
              </w:rPr>
              <w:t>Total Healthcare Supply</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3/26/2014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5,081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Granite Comfort, LP (d)</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HVAC Services and</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Sales</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SOFR+7.40%), 11.57%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11/16/2020</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43,000,000</w:t>
            </w:r>
          </w:p>
        </w:tc>
        <w:tc>
          <w:tcPr>
            <w:tcW w:w="0" w:type="dxa"/>
            <w:vAlign w:val="bottom"/>
          </w:tcPr>
          <w:p>
            <w:pPr>
              <w:spacing w:after="0"/>
              <w:rPr>
                <w:sz w:val="1"/>
                <w:szCs w:val="1"/>
                <w:color w:val="auto"/>
              </w:rPr>
            </w:pPr>
          </w:p>
        </w:tc>
      </w:tr>
      <w:tr>
        <w:trPr>
          <w:trHeight w:val="124"/>
        </w:trPr>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Granite Comfort, LP (j)(d)</w:t>
            </w: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HVAC Services and</w:t>
            </w:r>
          </w:p>
        </w:tc>
        <w:tc>
          <w:tcPr>
            <w:tcW w:w="158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5/16/2027</w:t>
            </w: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3"/>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Delayed Draw Term Loan</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Sales</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SOFR+7.40%), 11.57%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11/16/2020</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9,992,940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8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2"/>
                <w:szCs w:val="12"/>
                <w:color w:val="auto"/>
              </w:rPr>
              <w:t>5/16/2027</w:t>
            </w: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Total HVAC Services and</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Sales</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4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Vector Controls Holding Co., LLC (h)</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Industrial Products</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Warrants to Purchase Limited</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Liability Company Interests,</w:t>
            </w:r>
          </w:p>
        </w:tc>
        <w:tc>
          <w:tcPr>
            <w:tcW w:w="900" w:type="dxa"/>
            <w:vAlign w:val="bottom"/>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5/31/2015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329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Expires 11/30/2027</w:t>
            </w: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Total Industrial Products</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4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AgencyBloc, LLC (d)</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Insurance Software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(1M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SOFR+7.76%), 12.03%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10/1/2021</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15,436,023</w:t>
            </w:r>
          </w:p>
        </w:tc>
        <w:tc>
          <w:tcPr>
            <w:tcW w:w="0" w:type="dxa"/>
            <w:vAlign w:val="bottom"/>
          </w:tcPr>
          <w:p>
            <w:pPr>
              <w:spacing w:after="0"/>
              <w:rPr>
                <w:sz w:val="1"/>
                <w:szCs w:val="1"/>
                <w:color w:val="auto"/>
              </w:rPr>
            </w:pPr>
          </w:p>
        </w:tc>
      </w:tr>
      <w:tr>
        <w:trPr>
          <w:trHeight w:val="124"/>
        </w:trPr>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Panther ParentCo LLC (h)</w:t>
            </w: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Insurance Software</w:t>
            </w:r>
          </w:p>
        </w:tc>
        <w:tc>
          <w:tcPr>
            <w:tcW w:w="158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10/1/2026</w:t>
            </w: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480" w:type="dxa"/>
            <w:vAlign w:val="bottom"/>
            <w:gridSpan w:val="3"/>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Class A Units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10/1/2021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2,500,000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color w:val="auto"/>
              </w:rPr>
              <w:t>Total Insurance Software</w:t>
            </w: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Avantra</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IT Services</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SOFR+7.97%), 12.14%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9/19/2024</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17,000,000</w:t>
            </w:r>
          </w:p>
        </w:tc>
        <w:tc>
          <w:tcPr>
            <w:tcW w:w="0" w:type="dxa"/>
            <w:vAlign w:val="bottom"/>
          </w:tcPr>
          <w:p>
            <w:pPr>
              <w:spacing w:after="0"/>
              <w:rPr>
                <w:sz w:val="1"/>
                <w:szCs w:val="1"/>
                <w:color w:val="auto"/>
              </w:rPr>
            </w:pPr>
          </w:p>
        </w:tc>
      </w:tr>
      <w:tr>
        <w:trPr>
          <w:trHeight w:val="124"/>
        </w:trPr>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Maple Holdings Midco Limited (h)</w:t>
            </w: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IT Services</w:t>
            </w:r>
          </w:p>
        </w:tc>
        <w:tc>
          <w:tcPr>
            <w:tcW w:w="158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9/20/2029</w:t>
            </w: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480" w:type="dxa"/>
            <w:vAlign w:val="bottom"/>
            <w:gridSpan w:val="3"/>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Class A Common Units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color w:val="auto"/>
              </w:rPr>
              <w:t>Total IT 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9/19/2024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2,000,000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ActiveProspect, Inc. (d)</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Lead Management</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SOFR+6.00%), 10.37%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8/8/2022</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11,525,624</w:t>
            </w:r>
          </w:p>
        </w:tc>
        <w:tc>
          <w:tcPr>
            <w:tcW w:w="0" w:type="dxa"/>
            <w:vAlign w:val="bottom"/>
          </w:tcPr>
          <w:p>
            <w:pPr>
              <w:spacing w:after="0"/>
              <w:rPr>
                <w:sz w:val="1"/>
                <w:szCs w:val="1"/>
                <w:color w:val="auto"/>
              </w:rPr>
            </w:pPr>
          </w:p>
        </w:tc>
      </w:tr>
      <w:tr>
        <w:trPr>
          <w:trHeight w:val="124"/>
        </w:trPr>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rPr>
              <w:t>ActiveProspect, Inc. (j)</w:t>
            </w: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Lead Management</w:t>
            </w:r>
          </w:p>
        </w:tc>
        <w:tc>
          <w:tcPr>
            <w:tcW w:w="158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8/8/2027</w:t>
            </w: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3"/>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Delayed Draw Term Loan</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SOFR+6.00%), 10.37%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8/8/2022</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8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2"/>
                <w:szCs w:val="12"/>
                <w:color w:val="auto"/>
              </w:rPr>
              <w:t>8/8/2027</w:t>
            </w: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Total Lead Management</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Software</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4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Madison Logic, Inc. (d)(m)</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Marketing Orchestration</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(1M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SOFR+7.00%), 11.37%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12/30/2022</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19,029,758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8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2"/>
                <w:szCs w:val="12"/>
                <w:color w:val="auto"/>
              </w:rPr>
              <w:t>12/30/2028</w:t>
            </w: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Total Marketing Orchestration</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Software</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48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ARC Health OpCo LLC (h)</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Mental Healthcare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Class A Preferred Units</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Services</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8/5/2022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3,818,400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color w:val="auto"/>
              </w:rPr>
              <w:t>Total Mental Healthcare</w:t>
            </w: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Services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-4705985</wp:posOffset>
            </wp:positionV>
            <wp:extent cx="7155180" cy="85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5518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-4534535</wp:posOffset>
            </wp:positionV>
            <wp:extent cx="7155180" cy="85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5518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-4204970</wp:posOffset>
            </wp:positionV>
            <wp:extent cx="7155180" cy="857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5518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-3803650</wp:posOffset>
            </wp:positionV>
            <wp:extent cx="7155180" cy="322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5180" cy="3225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-3316605</wp:posOffset>
            </wp:positionV>
            <wp:extent cx="7155180" cy="2432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55180" cy="2432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-2987040</wp:posOffset>
            </wp:positionV>
            <wp:extent cx="7155180" cy="3149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5180" cy="3149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-2507615</wp:posOffset>
            </wp:positionV>
            <wp:extent cx="7155180" cy="857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5518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-2106295</wp:posOffset>
            </wp:positionV>
            <wp:extent cx="7155180" cy="322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55180" cy="3225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-1697990</wp:posOffset>
            </wp:positionV>
            <wp:extent cx="7155180" cy="3149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55180" cy="3149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-1060450</wp:posOffset>
            </wp:positionV>
            <wp:extent cx="7155180" cy="164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55180" cy="1644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-573405</wp:posOffset>
            </wp:positionV>
            <wp:extent cx="7155180" cy="164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55180" cy="1644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-165735</wp:posOffset>
            </wp:positionV>
            <wp:extent cx="7155180" cy="164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55180" cy="164465"/>
                    </a:xfrm>
                    <a:prstGeom prst="rect">
                      <a:avLst/>
                    </a:prstGeom>
                    <a:noFill/>
                  </pic:spPr>
                </pic:pic>
              </a:graphicData>
            </a:graphic>
          </wp:anchor>
        </w:drawing>
      </w:r>
    </w:p>
    <w:p>
      <w:pPr>
        <w:spacing w:after="0" w:line="2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8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20" w:type="dxa"/>
            <w:vAlign w:val="bottom"/>
            <w:vMerge w:val="restart"/>
          </w:tcPr>
          <w:p>
            <w:pPr>
              <w:spacing w:after="0"/>
              <w:rPr>
                <w:sz w:val="12"/>
                <w:szCs w:val="12"/>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Fair</w:t>
            </w:r>
          </w:p>
        </w:tc>
        <w:tc>
          <w:tcPr>
            <w:tcW w:w="900" w:type="dxa"/>
            <w:vAlign w:val="bottom"/>
            <w:gridSpan w:val="3"/>
          </w:tcPr>
          <w:p>
            <w:pPr>
              <w:jc w:val="right"/>
              <w:ind w:right="410"/>
              <w:spacing w:after="0"/>
              <w:rPr>
                <w:sz w:val="20"/>
                <w:szCs w:val="20"/>
                <w:color w:val="auto"/>
              </w:rPr>
            </w:pPr>
            <w:r>
              <w:rPr>
                <w:rFonts w:ascii="Times New Roman" w:cs="Times New Roman" w:eastAsia="Times New Roman" w:hAnsi="Times New Roman"/>
                <w:sz w:val="12"/>
                <w:szCs w:val="12"/>
                <w:b w:val="1"/>
                <w:bCs w:val="1"/>
                <w:color w:val="auto"/>
              </w:rPr>
              <w:t>% of</w:t>
            </w:r>
          </w:p>
        </w:tc>
        <w:tc>
          <w:tcPr>
            <w:tcW w:w="12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Company Address</w:t>
            </w:r>
          </w:p>
        </w:tc>
        <w:tc>
          <w:tcPr>
            <w:tcW w:w="0" w:type="dxa"/>
            <w:vAlign w:val="bottom"/>
          </w:tcPr>
          <w:p>
            <w:pPr>
              <w:spacing w:after="0"/>
              <w:rPr>
                <w:sz w:val="1"/>
                <w:szCs w:val="1"/>
                <w:color w:val="auto"/>
              </w:rPr>
            </w:pPr>
          </w:p>
        </w:tc>
      </w:tr>
      <w:tr>
        <w:trPr>
          <w:trHeight w:val="146"/>
        </w:trPr>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6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Value (c)</w:t>
            </w:r>
          </w:p>
        </w:tc>
        <w:tc>
          <w:tcPr>
            <w:tcW w:w="22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Net Assets</w:t>
            </w:r>
          </w:p>
        </w:tc>
        <w:tc>
          <w:tcPr>
            <w:tcW w:w="180" w:type="dxa"/>
            <w:vAlign w:val="bottom"/>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680" w:type="dxa"/>
            <w:vAlign w:val="bottom"/>
          </w:tcPr>
          <w:p>
            <w:pPr>
              <w:jc w:val="right"/>
              <w:spacing w:after="0" w:line="98" w:lineRule="exact"/>
              <w:rPr>
                <w:sz w:val="20"/>
                <w:szCs w:val="20"/>
                <w:color w:val="auto"/>
              </w:rPr>
            </w:pPr>
            <w:r>
              <w:rPr>
                <w:rFonts w:ascii="Times New Roman" w:cs="Times New Roman" w:eastAsia="Times New Roman" w:hAnsi="Times New Roman"/>
                <w:sz w:val="11"/>
                <w:szCs w:val="11"/>
                <w:color w:val="auto"/>
              </w:rPr>
              <w:t>571,219</w:t>
            </w:r>
          </w:p>
        </w:tc>
        <w:tc>
          <w:tcPr>
            <w:tcW w:w="220" w:type="dxa"/>
            <w:vAlign w:val="bottom"/>
          </w:tcPr>
          <w:p>
            <w:pPr>
              <w:spacing w:after="0"/>
              <w:rPr>
                <w:sz w:val="8"/>
                <w:szCs w:val="8"/>
                <w:color w:val="auto"/>
              </w:rPr>
            </w:pPr>
          </w:p>
        </w:tc>
        <w:tc>
          <w:tcPr>
            <w:tcW w:w="680" w:type="dxa"/>
            <w:vAlign w:val="bottom"/>
          </w:tcPr>
          <w:p>
            <w:pPr>
              <w:jc w:val="right"/>
              <w:spacing w:after="0" w:line="98" w:lineRule="exact"/>
              <w:rPr>
                <w:sz w:val="20"/>
                <w:szCs w:val="20"/>
                <w:color w:val="auto"/>
              </w:rPr>
            </w:pPr>
            <w:r>
              <w:rPr>
                <w:rFonts w:ascii="Times New Roman" w:cs="Times New Roman" w:eastAsia="Times New Roman" w:hAnsi="Times New Roman"/>
                <w:sz w:val="11"/>
                <w:szCs w:val="11"/>
                <w:color w:val="auto"/>
              </w:rPr>
              <w:t>284,555</w:t>
            </w:r>
          </w:p>
        </w:tc>
        <w:tc>
          <w:tcPr>
            <w:tcW w:w="220" w:type="dxa"/>
            <w:vAlign w:val="bottom"/>
          </w:tcPr>
          <w:p>
            <w:pPr>
              <w:spacing w:after="0"/>
              <w:rPr>
                <w:sz w:val="8"/>
                <w:szCs w:val="8"/>
                <w:color w:val="auto"/>
              </w:rPr>
            </w:pPr>
          </w:p>
        </w:tc>
        <w:tc>
          <w:tcPr>
            <w:tcW w:w="900" w:type="dxa"/>
            <w:vAlign w:val="bottom"/>
            <w:gridSpan w:val="3"/>
          </w:tcPr>
          <w:p>
            <w:pPr>
              <w:jc w:val="right"/>
              <w:ind w:right="90"/>
              <w:spacing w:after="0" w:line="98" w:lineRule="exact"/>
              <w:rPr>
                <w:sz w:val="20"/>
                <w:szCs w:val="20"/>
                <w:color w:val="auto"/>
              </w:rPr>
            </w:pPr>
            <w:r>
              <w:rPr>
                <w:rFonts w:ascii="Times New Roman" w:cs="Times New Roman" w:eastAsia="Times New Roman" w:hAnsi="Times New Roman"/>
                <w:sz w:val="11"/>
                <w:szCs w:val="11"/>
                <w:color w:val="auto"/>
              </w:rPr>
              <w:t>0.1%</w:t>
            </w: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9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30,994</w:t>
            </w:r>
          </w:p>
        </w:tc>
        <w:tc>
          <w:tcPr>
            <w:tcW w:w="9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73,700</w:t>
            </w:r>
          </w:p>
        </w:tc>
        <w:tc>
          <w:tcPr>
            <w:tcW w:w="900" w:type="dxa"/>
            <w:vAlign w:val="bottom"/>
            <w:gridSpan w:val="3"/>
          </w:tcPr>
          <w:p>
            <w:pPr>
              <w:jc w:val="right"/>
              <w:ind w:right="90"/>
              <w:spacing w:after="0" w:line="136" w:lineRule="exact"/>
              <w:rPr>
                <w:sz w:val="20"/>
                <w:szCs w:val="20"/>
                <w:color w:val="auto"/>
              </w:rPr>
            </w:pPr>
            <w:r>
              <w:rPr>
                <w:rFonts w:ascii="Times New Roman" w:cs="Times New Roman" w:eastAsia="Times New Roman" w:hAnsi="Times New Roman"/>
                <w:sz w:val="12"/>
                <w:szCs w:val="12"/>
                <w:color w:val="auto"/>
              </w:rPr>
              <w:t>0.0%</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6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45,988,182</w:t>
            </w:r>
          </w:p>
        </w:tc>
        <w:tc>
          <w:tcPr>
            <w:tcW w:w="220" w:type="dxa"/>
            <w:vAlign w:val="bottom"/>
          </w:tcPr>
          <w:p>
            <w:pPr>
              <w:spacing w:after="0"/>
              <w:rPr>
                <w:sz w:val="10"/>
                <w:szCs w:val="10"/>
                <w:color w:val="auto"/>
              </w:rPr>
            </w:pPr>
          </w:p>
        </w:tc>
        <w:tc>
          <w:tcPr>
            <w:tcW w:w="6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45,783,255</w:t>
            </w:r>
          </w:p>
        </w:tc>
        <w:tc>
          <w:tcPr>
            <w:tcW w:w="220" w:type="dxa"/>
            <w:vAlign w:val="bottom"/>
          </w:tcPr>
          <w:p>
            <w:pPr>
              <w:spacing w:after="0"/>
              <w:rPr>
                <w:sz w:val="10"/>
                <w:szCs w:val="10"/>
                <w:color w:val="auto"/>
              </w:rPr>
            </w:pPr>
          </w:p>
        </w:tc>
        <w:tc>
          <w:tcPr>
            <w:tcW w:w="6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11.1</w:t>
            </w:r>
          </w:p>
        </w:tc>
        <w:tc>
          <w:tcPr>
            <w:tcW w:w="220" w:type="dxa"/>
            <w:vAlign w:val="bottom"/>
            <w:gridSpan w:val="2"/>
          </w:tcPr>
          <w:p>
            <w:pPr>
              <w:jc w:val="right"/>
              <w:ind w:right="90"/>
              <w:spacing w:after="0" w:line="124" w:lineRule="exact"/>
              <w:rPr>
                <w:sz w:val="20"/>
                <w:szCs w:val="20"/>
                <w:color w:val="auto"/>
              </w:rPr>
            </w:pPr>
            <w:r>
              <w:rPr>
                <w:rFonts w:ascii="Times New Roman" w:cs="Times New Roman" w:eastAsia="Times New Roman" w:hAnsi="Times New Roman"/>
                <w:sz w:val="12"/>
                <w:szCs w:val="12"/>
                <w:color w:val="auto"/>
                <w:w w:val="79"/>
              </w:rPr>
              <w:t>%</w:t>
            </w: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6753 Engle Road,</w:t>
            </w:r>
          </w:p>
        </w:tc>
        <w:tc>
          <w:tcPr>
            <w:tcW w:w="0" w:type="dxa"/>
            <w:vAlign w:val="bottom"/>
          </w:tcPr>
          <w:p>
            <w:pPr>
              <w:spacing w:after="0"/>
              <w:rPr>
                <w:sz w:val="1"/>
                <w:szCs w:val="1"/>
                <w:color w:val="auto"/>
              </w:rPr>
            </w:pPr>
          </w:p>
        </w:tc>
      </w:tr>
      <w:tr>
        <w:trPr>
          <w:trHeight w:val="86"/>
        </w:trPr>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Middleburg Heights, OH</w:t>
            </w:r>
          </w:p>
        </w:tc>
        <w:tc>
          <w:tcPr>
            <w:tcW w:w="0" w:type="dxa"/>
            <w:vAlign w:val="bottom"/>
          </w:tcPr>
          <w:p>
            <w:pPr>
              <w:spacing w:after="0"/>
              <w:rPr>
                <w:sz w:val="1"/>
                <w:szCs w:val="1"/>
                <w:color w:val="auto"/>
              </w:rPr>
            </w:pPr>
          </w:p>
        </w:tc>
      </w:tr>
      <w:tr>
        <w:trPr>
          <w:trHeight w:val="144"/>
        </w:trPr>
        <w:tc>
          <w:tcPr>
            <w:tcW w:w="9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508,077</w:t>
            </w:r>
          </w:p>
        </w:tc>
        <w:tc>
          <w:tcPr>
            <w:tcW w:w="9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3"/>
          </w:tcPr>
          <w:p>
            <w:pPr>
              <w:jc w:val="right"/>
              <w:ind w:right="90"/>
              <w:spacing w:after="0" w:line="136" w:lineRule="exact"/>
              <w:rPr>
                <w:sz w:val="20"/>
                <w:szCs w:val="20"/>
                <w:color w:val="auto"/>
              </w:rPr>
            </w:pPr>
            <w:r>
              <w:rPr>
                <w:rFonts w:ascii="Times New Roman" w:cs="Times New Roman" w:eastAsia="Times New Roman" w:hAnsi="Times New Roman"/>
                <w:sz w:val="12"/>
                <w:szCs w:val="12"/>
                <w:color w:val="auto"/>
              </w:rPr>
              <w:t>0.0%</w:t>
            </w:r>
          </w:p>
        </w:tc>
        <w:tc>
          <w:tcPr>
            <w:tcW w:w="12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44130</w:t>
            </w:r>
          </w:p>
        </w:tc>
        <w:tc>
          <w:tcPr>
            <w:tcW w:w="0" w:type="dxa"/>
            <w:vAlign w:val="bottom"/>
          </w:tcPr>
          <w:p>
            <w:pPr>
              <w:spacing w:after="0"/>
              <w:rPr>
                <w:sz w:val="1"/>
                <w:szCs w:val="1"/>
                <w:color w:val="auto"/>
              </w:rPr>
            </w:pPr>
          </w:p>
        </w:tc>
      </w:tr>
      <w:tr>
        <w:trPr>
          <w:trHeight w:val="124"/>
        </w:trPr>
        <w:tc>
          <w:tcPr>
            <w:tcW w:w="6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508,077</w:t>
            </w:r>
          </w:p>
        </w:tc>
        <w:tc>
          <w:tcPr>
            <w:tcW w:w="22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720" w:type="dxa"/>
            <w:vAlign w:val="bottom"/>
            <w:tcBorders>
              <w:top w:val="single" w:sz="8" w:color="auto"/>
              <w:bottom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0.0</w:t>
            </w:r>
          </w:p>
        </w:tc>
        <w:tc>
          <w:tcPr>
            <w:tcW w:w="180" w:type="dxa"/>
            <w:vAlign w:val="bottom"/>
          </w:tcPr>
          <w:p>
            <w:pPr>
              <w:jc w:val="right"/>
              <w:ind w:right="90"/>
              <w:spacing w:after="0"/>
              <w:rPr>
                <w:sz w:val="20"/>
                <w:szCs w:val="20"/>
                <w:color w:val="auto"/>
              </w:rPr>
            </w:pPr>
            <w:r>
              <w:rPr>
                <w:rFonts w:ascii="Times New Roman" w:cs="Times New Roman" w:eastAsia="Times New Roman" w:hAnsi="Times New Roman"/>
                <w:sz w:val="6"/>
                <w:szCs w:val="6"/>
                <w:color w:val="auto"/>
                <w:w w:val="79"/>
              </w:rPr>
              <w:t>%</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5"/>
        </w:trPr>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42,884,162</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42,458,199</w:t>
            </w:r>
          </w:p>
        </w:tc>
        <w:tc>
          <w:tcPr>
            <w:tcW w:w="90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2"/>
                <w:szCs w:val="12"/>
                <w:color w:val="auto"/>
              </w:rPr>
              <w:t>10.3%</w:t>
            </w: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717 Fifth Ave, Fl. 12A,</w:t>
            </w:r>
          </w:p>
        </w:tc>
        <w:tc>
          <w:tcPr>
            <w:tcW w:w="0" w:type="dxa"/>
            <w:vAlign w:val="bottom"/>
          </w:tcPr>
          <w:p>
            <w:pPr>
              <w:spacing w:after="0"/>
              <w:rPr>
                <w:sz w:val="1"/>
                <w:szCs w:val="1"/>
                <w:color w:val="auto"/>
              </w:rPr>
            </w:pPr>
          </w:p>
        </w:tc>
      </w:tr>
      <w:tr>
        <w:trPr>
          <w:trHeight w:val="155"/>
        </w:trPr>
        <w:tc>
          <w:tcPr>
            <w:tcW w:w="9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New York, NY 10022</w:t>
            </w:r>
          </w:p>
        </w:tc>
        <w:tc>
          <w:tcPr>
            <w:tcW w:w="0" w:type="dxa"/>
            <w:vAlign w:val="bottom"/>
          </w:tcPr>
          <w:p>
            <w:pPr>
              <w:spacing w:after="0"/>
              <w:rPr>
                <w:sz w:val="1"/>
                <w:szCs w:val="1"/>
                <w:color w:val="auto"/>
              </w:rPr>
            </w:pPr>
          </w:p>
        </w:tc>
      </w:tr>
      <w:tr>
        <w:trPr>
          <w:trHeight w:val="494"/>
        </w:trPr>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9,946,886</w:t>
            </w:r>
          </w:p>
        </w:tc>
        <w:tc>
          <w:tcPr>
            <w:tcW w:w="2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9,867,029</w:t>
            </w:r>
          </w:p>
        </w:tc>
        <w:tc>
          <w:tcPr>
            <w:tcW w:w="900" w:type="dxa"/>
            <w:vAlign w:val="bottom"/>
            <w:gridSpan w:val="3"/>
          </w:tcPr>
          <w:p>
            <w:pPr>
              <w:jc w:val="right"/>
              <w:ind w:right="90"/>
              <w:spacing w:after="0"/>
              <w:rPr>
                <w:sz w:val="20"/>
                <w:szCs w:val="20"/>
                <w:color w:val="auto"/>
              </w:rPr>
            </w:pPr>
            <w:r>
              <w:rPr>
                <w:rFonts w:ascii="Times New Roman" w:cs="Times New Roman" w:eastAsia="Times New Roman" w:hAnsi="Times New Roman"/>
                <w:sz w:val="12"/>
                <w:szCs w:val="12"/>
                <w:color w:val="auto"/>
              </w:rPr>
              <w:t>2.4%</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52,831,048</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52,325,228</w:t>
            </w:r>
          </w:p>
        </w:tc>
        <w:tc>
          <w:tcPr>
            <w:tcW w:w="900" w:type="dxa"/>
            <w:vAlign w:val="bottom"/>
            <w:gridSpan w:val="3"/>
          </w:tcPr>
          <w:p>
            <w:pPr>
              <w:jc w:val="right"/>
              <w:ind w:right="90"/>
              <w:spacing w:after="0"/>
              <w:rPr>
                <w:sz w:val="20"/>
                <w:szCs w:val="20"/>
                <w:color w:val="auto"/>
              </w:rPr>
            </w:pPr>
            <w:r>
              <w:rPr>
                <w:rFonts w:ascii="Times New Roman" w:cs="Times New Roman" w:eastAsia="Times New Roman" w:hAnsi="Times New Roman"/>
                <w:sz w:val="12"/>
                <w:szCs w:val="12"/>
                <w:color w:val="auto"/>
              </w:rPr>
              <w:t>12.7%</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2200 10th St. #300,</w:t>
            </w:r>
          </w:p>
        </w:tc>
        <w:tc>
          <w:tcPr>
            <w:tcW w:w="0" w:type="dxa"/>
            <w:vAlign w:val="bottom"/>
          </w:tcPr>
          <w:p>
            <w:pPr>
              <w:spacing w:after="0"/>
              <w:rPr>
                <w:sz w:val="1"/>
                <w:szCs w:val="1"/>
                <w:color w:val="auto"/>
              </w:rPr>
            </w:pPr>
          </w:p>
        </w:tc>
      </w:tr>
      <w:tr>
        <w:trPr>
          <w:trHeight w:val="144"/>
        </w:trPr>
        <w:tc>
          <w:tcPr>
            <w:tcW w:w="9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8,543,641</w:t>
            </w:r>
          </w:p>
        </w:tc>
        <w:tc>
          <w:tcPr>
            <w:tcW w:w="900" w:type="dxa"/>
            <w:vAlign w:val="bottom"/>
            <w:gridSpan w:val="3"/>
          </w:tcPr>
          <w:p>
            <w:pPr>
              <w:jc w:val="right"/>
              <w:ind w:right="90"/>
              <w:spacing w:after="0" w:line="136" w:lineRule="exact"/>
              <w:rPr>
                <w:sz w:val="20"/>
                <w:szCs w:val="20"/>
                <w:color w:val="auto"/>
              </w:rPr>
            </w:pPr>
            <w:r>
              <w:rPr>
                <w:rFonts w:ascii="Times New Roman" w:cs="Times New Roman" w:eastAsia="Times New Roman" w:hAnsi="Times New Roman"/>
                <w:sz w:val="12"/>
                <w:szCs w:val="12"/>
                <w:color w:val="auto"/>
              </w:rPr>
              <w:t>2.1%</w:t>
            </w:r>
          </w:p>
        </w:tc>
        <w:tc>
          <w:tcPr>
            <w:tcW w:w="12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Plano, TX 75074</w:t>
            </w:r>
          </w:p>
        </w:tc>
        <w:tc>
          <w:tcPr>
            <w:tcW w:w="0" w:type="dxa"/>
            <w:vAlign w:val="bottom"/>
          </w:tcPr>
          <w:p>
            <w:pPr>
              <w:spacing w:after="0"/>
              <w:rPr>
                <w:sz w:val="1"/>
                <w:szCs w:val="1"/>
                <w:color w:val="auto"/>
              </w:rPr>
            </w:pPr>
          </w:p>
        </w:tc>
      </w:tr>
      <w:tr>
        <w:trPr>
          <w:trHeight w:val="124"/>
        </w:trPr>
        <w:tc>
          <w:tcPr>
            <w:tcW w:w="6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8,543,641</w:t>
            </w:r>
          </w:p>
        </w:tc>
        <w:tc>
          <w:tcPr>
            <w:tcW w:w="220" w:type="dxa"/>
            <w:vAlign w:val="bottom"/>
          </w:tcPr>
          <w:p>
            <w:pPr>
              <w:spacing w:after="0"/>
              <w:rPr>
                <w:sz w:val="10"/>
                <w:szCs w:val="10"/>
                <w:color w:val="auto"/>
              </w:rPr>
            </w:pPr>
          </w:p>
        </w:tc>
        <w:tc>
          <w:tcPr>
            <w:tcW w:w="720" w:type="dxa"/>
            <w:vAlign w:val="bottom"/>
            <w:tcBorders>
              <w:top w:val="single" w:sz="8" w:color="auto"/>
              <w:bottom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2.1</w:t>
            </w:r>
          </w:p>
        </w:tc>
        <w:tc>
          <w:tcPr>
            <w:tcW w:w="180" w:type="dxa"/>
            <w:vAlign w:val="bottom"/>
          </w:tcPr>
          <w:p>
            <w:pPr>
              <w:jc w:val="right"/>
              <w:ind w:right="90"/>
              <w:spacing w:after="0"/>
              <w:rPr>
                <w:sz w:val="20"/>
                <w:szCs w:val="20"/>
                <w:color w:val="auto"/>
              </w:rPr>
            </w:pPr>
            <w:r>
              <w:rPr>
                <w:rFonts w:ascii="Times New Roman" w:cs="Times New Roman" w:eastAsia="Times New Roman" w:hAnsi="Times New Roman"/>
                <w:sz w:val="6"/>
                <w:szCs w:val="6"/>
                <w:color w:val="auto"/>
                <w:w w:val="79"/>
              </w:rPr>
              <w:t>%</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5"/>
        </w:trPr>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15,400,534</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15,436,023</w:t>
            </w:r>
          </w:p>
        </w:tc>
        <w:tc>
          <w:tcPr>
            <w:tcW w:w="90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2"/>
                <w:szCs w:val="12"/>
                <w:color w:val="auto"/>
              </w:rPr>
              <w:t>3.7%</w:t>
            </w: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201 Washington Street,</w:t>
            </w:r>
          </w:p>
        </w:tc>
        <w:tc>
          <w:tcPr>
            <w:tcW w:w="0" w:type="dxa"/>
            <w:vAlign w:val="bottom"/>
          </w:tcPr>
          <w:p>
            <w:pPr>
              <w:spacing w:after="0"/>
              <w:rPr>
                <w:sz w:val="1"/>
                <w:szCs w:val="1"/>
                <w:color w:val="auto"/>
              </w:rPr>
            </w:pPr>
          </w:p>
        </w:tc>
      </w:tr>
      <w:tr>
        <w:trPr>
          <w:trHeight w:val="124"/>
        </w:trPr>
        <w:tc>
          <w:tcPr>
            <w:tcW w:w="9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Cedar Falls, IA 50613</w:t>
            </w:r>
          </w:p>
        </w:tc>
        <w:tc>
          <w:tcPr>
            <w:tcW w:w="0" w:type="dxa"/>
            <w:vAlign w:val="bottom"/>
          </w:tcPr>
          <w:p>
            <w:pPr>
              <w:spacing w:after="0"/>
              <w:rPr>
                <w:sz w:val="1"/>
                <w:szCs w:val="1"/>
                <w:color w:val="auto"/>
              </w:rPr>
            </w:pPr>
          </w:p>
        </w:tc>
      </w:tr>
      <w:tr>
        <w:trPr>
          <w:trHeight w:val="124"/>
        </w:trPr>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201 Washington Street,</w:t>
            </w:r>
          </w:p>
        </w:tc>
        <w:tc>
          <w:tcPr>
            <w:tcW w:w="0" w:type="dxa"/>
            <w:vAlign w:val="bottom"/>
          </w:tcPr>
          <w:p>
            <w:pPr>
              <w:spacing w:after="0"/>
              <w:rPr>
                <w:sz w:val="1"/>
                <w:szCs w:val="1"/>
                <w:color w:val="auto"/>
              </w:rPr>
            </w:pPr>
          </w:p>
        </w:tc>
      </w:tr>
      <w:tr>
        <w:trPr>
          <w:trHeight w:val="144"/>
        </w:trPr>
        <w:tc>
          <w:tcPr>
            <w:tcW w:w="9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2,500,000</w:t>
            </w:r>
          </w:p>
        </w:tc>
        <w:tc>
          <w:tcPr>
            <w:tcW w:w="9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5,748,991</w:t>
            </w:r>
          </w:p>
        </w:tc>
        <w:tc>
          <w:tcPr>
            <w:tcW w:w="900" w:type="dxa"/>
            <w:vAlign w:val="bottom"/>
            <w:gridSpan w:val="3"/>
          </w:tcPr>
          <w:p>
            <w:pPr>
              <w:jc w:val="right"/>
              <w:ind w:right="90"/>
              <w:spacing w:after="0" w:line="136" w:lineRule="exact"/>
              <w:rPr>
                <w:sz w:val="20"/>
                <w:szCs w:val="20"/>
                <w:color w:val="auto"/>
              </w:rPr>
            </w:pPr>
            <w:r>
              <w:rPr>
                <w:rFonts w:ascii="Times New Roman" w:cs="Times New Roman" w:eastAsia="Times New Roman" w:hAnsi="Times New Roman"/>
                <w:sz w:val="12"/>
                <w:szCs w:val="12"/>
                <w:color w:val="auto"/>
              </w:rPr>
              <w:t>1.4%</w:t>
            </w:r>
          </w:p>
        </w:tc>
        <w:tc>
          <w:tcPr>
            <w:tcW w:w="12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Cedar Falls, IA 50613</w:t>
            </w:r>
          </w:p>
        </w:tc>
        <w:tc>
          <w:tcPr>
            <w:tcW w:w="0" w:type="dxa"/>
            <w:vAlign w:val="bottom"/>
          </w:tcPr>
          <w:p>
            <w:pPr>
              <w:spacing w:after="0"/>
              <w:rPr>
                <w:sz w:val="1"/>
                <w:szCs w:val="1"/>
                <w:color w:val="auto"/>
              </w:rPr>
            </w:pPr>
          </w:p>
        </w:tc>
      </w:tr>
      <w:tr>
        <w:trPr>
          <w:trHeight w:val="124"/>
        </w:trPr>
        <w:tc>
          <w:tcPr>
            <w:tcW w:w="6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17,900,534</w:t>
            </w:r>
          </w:p>
        </w:tc>
        <w:tc>
          <w:tcPr>
            <w:tcW w:w="220" w:type="dxa"/>
            <w:vAlign w:val="bottom"/>
          </w:tcPr>
          <w:p>
            <w:pPr>
              <w:spacing w:after="0"/>
              <w:rPr>
                <w:sz w:val="10"/>
                <w:szCs w:val="10"/>
                <w:color w:val="auto"/>
              </w:rPr>
            </w:pPr>
          </w:p>
        </w:tc>
        <w:tc>
          <w:tcPr>
            <w:tcW w:w="6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21,185,014</w:t>
            </w:r>
          </w:p>
        </w:tc>
        <w:tc>
          <w:tcPr>
            <w:tcW w:w="220" w:type="dxa"/>
            <w:vAlign w:val="bottom"/>
          </w:tcPr>
          <w:p>
            <w:pPr>
              <w:spacing w:after="0"/>
              <w:rPr>
                <w:sz w:val="10"/>
                <w:szCs w:val="10"/>
                <w:color w:val="auto"/>
              </w:rPr>
            </w:pPr>
          </w:p>
        </w:tc>
        <w:tc>
          <w:tcPr>
            <w:tcW w:w="72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5.1</w:t>
            </w:r>
          </w:p>
        </w:tc>
        <w:tc>
          <w:tcPr>
            <w:tcW w:w="180" w:type="dxa"/>
            <w:vAlign w:val="bottom"/>
          </w:tcPr>
          <w:p>
            <w:pPr>
              <w:jc w:val="right"/>
              <w:ind w:right="90"/>
              <w:spacing w:after="0"/>
              <w:rPr>
                <w:sz w:val="20"/>
                <w:szCs w:val="20"/>
                <w:color w:val="auto"/>
              </w:rPr>
            </w:pPr>
            <w:r>
              <w:rPr>
                <w:rFonts w:ascii="Times New Roman" w:cs="Times New Roman" w:eastAsia="Times New Roman" w:hAnsi="Times New Roman"/>
                <w:sz w:val="6"/>
                <w:szCs w:val="6"/>
                <w:color w:val="auto"/>
                <w:w w:val="79"/>
              </w:rPr>
              <w:t>%</w:t>
            </w: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Parkshot House, 5 Kew</w:t>
            </w:r>
          </w:p>
        </w:tc>
        <w:tc>
          <w:tcPr>
            <w:tcW w:w="0" w:type="dxa"/>
            <w:vAlign w:val="bottom"/>
          </w:tcPr>
          <w:p>
            <w:pPr>
              <w:spacing w:after="0"/>
              <w:rPr>
                <w:sz w:val="1"/>
                <w:szCs w:val="1"/>
                <w:color w:val="auto"/>
              </w:rPr>
            </w:pPr>
          </w:p>
        </w:tc>
      </w:tr>
      <w:tr>
        <w:trPr>
          <w:trHeight w:val="86"/>
        </w:trPr>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Road, Richmond TW9</w:t>
            </w:r>
          </w:p>
        </w:tc>
        <w:tc>
          <w:tcPr>
            <w:tcW w:w="0" w:type="dxa"/>
            <w:vAlign w:val="bottom"/>
          </w:tcPr>
          <w:p>
            <w:pPr>
              <w:spacing w:after="0"/>
              <w:rPr>
                <w:sz w:val="1"/>
                <w:szCs w:val="1"/>
                <w:color w:val="auto"/>
              </w:rPr>
            </w:pPr>
          </w:p>
        </w:tc>
      </w:tr>
      <w:tr>
        <w:trPr>
          <w:trHeight w:val="124"/>
        </w:trPr>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16,846,422</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16,971,100</w:t>
            </w:r>
          </w:p>
        </w:tc>
        <w:tc>
          <w:tcPr>
            <w:tcW w:w="90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2"/>
                <w:szCs w:val="12"/>
                <w:color w:val="auto"/>
              </w:rPr>
              <w:t>4.1%</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2PR, Richmond TW9</w:t>
            </w:r>
          </w:p>
        </w:tc>
        <w:tc>
          <w:tcPr>
            <w:tcW w:w="0" w:type="dxa"/>
            <w:vAlign w:val="bottom"/>
          </w:tcPr>
          <w:p>
            <w:pPr>
              <w:spacing w:after="0"/>
              <w:rPr>
                <w:sz w:val="1"/>
                <w:szCs w:val="1"/>
                <w:color w:val="auto"/>
              </w:rPr>
            </w:pPr>
          </w:p>
        </w:tc>
      </w:tr>
      <w:tr>
        <w:trPr>
          <w:trHeight w:val="124"/>
        </w:trPr>
        <w:tc>
          <w:tcPr>
            <w:tcW w:w="9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2PR</w:t>
            </w:r>
          </w:p>
        </w:tc>
        <w:tc>
          <w:tcPr>
            <w:tcW w:w="0" w:type="dxa"/>
            <w:vAlign w:val="bottom"/>
          </w:tcPr>
          <w:p>
            <w:pPr>
              <w:spacing w:after="0"/>
              <w:rPr>
                <w:sz w:val="1"/>
                <w:szCs w:val="1"/>
                <w:color w:val="auto"/>
              </w:rPr>
            </w:pPr>
          </w:p>
        </w:tc>
      </w:tr>
      <w:tr>
        <w:trPr>
          <w:trHeight w:val="124"/>
        </w:trPr>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Parkshot House, 5 Kew</w:t>
            </w:r>
          </w:p>
        </w:tc>
        <w:tc>
          <w:tcPr>
            <w:tcW w:w="0" w:type="dxa"/>
            <w:vAlign w:val="bottom"/>
          </w:tcPr>
          <w:p>
            <w:pPr>
              <w:spacing w:after="0"/>
              <w:rPr>
                <w:sz w:val="1"/>
                <w:szCs w:val="1"/>
                <w:color w:val="auto"/>
              </w:rPr>
            </w:pPr>
          </w:p>
        </w:tc>
      </w:tr>
      <w:tr>
        <w:trPr>
          <w:trHeight w:val="124"/>
        </w:trPr>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Road, Richmond TW9</w:t>
            </w:r>
          </w:p>
        </w:tc>
        <w:tc>
          <w:tcPr>
            <w:tcW w:w="0" w:type="dxa"/>
            <w:vAlign w:val="bottom"/>
          </w:tcPr>
          <w:p>
            <w:pPr>
              <w:spacing w:after="0"/>
              <w:rPr>
                <w:sz w:val="1"/>
                <w:szCs w:val="1"/>
                <w:color w:val="auto"/>
              </w:rPr>
            </w:pPr>
          </w:p>
        </w:tc>
      </w:tr>
      <w:tr>
        <w:trPr>
          <w:trHeight w:val="124"/>
        </w:trPr>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2PR, Richmond TW9</w:t>
            </w:r>
          </w:p>
        </w:tc>
        <w:tc>
          <w:tcPr>
            <w:tcW w:w="0" w:type="dxa"/>
            <w:vAlign w:val="bottom"/>
          </w:tcPr>
          <w:p>
            <w:pPr>
              <w:spacing w:after="0"/>
              <w:rPr>
                <w:sz w:val="1"/>
                <w:szCs w:val="1"/>
                <w:color w:val="auto"/>
              </w:rPr>
            </w:pPr>
          </w:p>
        </w:tc>
      </w:tr>
      <w:tr>
        <w:trPr>
          <w:trHeight w:val="144"/>
        </w:trPr>
        <w:tc>
          <w:tcPr>
            <w:tcW w:w="9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2,000,000</w:t>
            </w:r>
          </w:p>
        </w:tc>
        <w:tc>
          <w:tcPr>
            <w:tcW w:w="9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2,294,258</w:t>
            </w:r>
          </w:p>
        </w:tc>
        <w:tc>
          <w:tcPr>
            <w:tcW w:w="900" w:type="dxa"/>
            <w:vAlign w:val="bottom"/>
            <w:gridSpan w:val="3"/>
          </w:tcPr>
          <w:p>
            <w:pPr>
              <w:jc w:val="right"/>
              <w:ind w:right="90"/>
              <w:spacing w:after="0" w:line="136" w:lineRule="exact"/>
              <w:rPr>
                <w:sz w:val="20"/>
                <w:szCs w:val="20"/>
                <w:color w:val="auto"/>
              </w:rPr>
            </w:pPr>
            <w:r>
              <w:rPr>
                <w:rFonts w:ascii="Times New Roman" w:cs="Times New Roman" w:eastAsia="Times New Roman" w:hAnsi="Times New Roman"/>
                <w:sz w:val="12"/>
                <w:szCs w:val="12"/>
                <w:color w:val="auto"/>
              </w:rPr>
              <w:t>0.6%</w:t>
            </w:r>
          </w:p>
        </w:tc>
        <w:tc>
          <w:tcPr>
            <w:tcW w:w="12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2PR</w:t>
            </w:r>
          </w:p>
        </w:tc>
        <w:tc>
          <w:tcPr>
            <w:tcW w:w="0" w:type="dxa"/>
            <w:vAlign w:val="bottom"/>
          </w:tcPr>
          <w:p>
            <w:pPr>
              <w:spacing w:after="0"/>
              <w:rPr>
                <w:sz w:val="1"/>
                <w:szCs w:val="1"/>
                <w:color w:val="auto"/>
              </w:rPr>
            </w:pPr>
          </w:p>
        </w:tc>
      </w:tr>
      <w:tr>
        <w:trPr>
          <w:trHeight w:val="124"/>
        </w:trPr>
        <w:tc>
          <w:tcPr>
            <w:tcW w:w="6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18,846,422</w:t>
            </w:r>
          </w:p>
        </w:tc>
        <w:tc>
          <w:tcPr>
            <w:tcW w:w="22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19,265,358</w:t>
            </w:r>
          </w:p>
        </w:tc>
        <w:tc>
          <w:tcPr>
            <w:tcW w:w="220" w:type="dxa"/>
            <w:vAlign w:val="bottom"/>
          </w:tcPr>
          <w:p>
            <w:pPr>
              <w:spacing w:after="0"/>
              <w:rPr>
                <w:sz w:val="10"/>
                <w:szCs w:val="10"/>
                <w:color w:val="auto"/>
              </w:rPr>
            </w:pPr>
          </w:p>
        </w:tc>
        <w:tc>
          <w:tcPr>
            <w:tcW w:w="720" w:type="dxa"/>
            <w:vAlign w:val="bottom"/>
            <w:tcBorders>
              <w:top w:val="single" w:sz="8" w:color="auto"/>
              <w:bottom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4.7</w:t>
            </w:r>
          </w:p>
        </w:tc>
        <w:tc>
          <w:tcPr>
            <w:tcW w:w="180" w:type="dxa"/>
            <w:vAlign w:val="bottom"/>
          </w:tcPr>
          <w:p>
            <w:pPr>
              <w:jc w:val="right"/>
              <w:ind w:right="90"/>
              <w:spacing w:after="0"/>
              <w:rPr>
                <w:sz w:val="20"/>
                <w:szCs w:val="20"/>
                <w:color w:val="auto"/>
              </w:rPr>
            </w:pPr>
            <w:r>
              <w:rPr>
                <w:rFonts w:ascii="Times New Roman" w:cs="Times New Roman" w:eastAsia="Times New Roman" w:hAnsi="Times New Roman"/>
                <w:sz w:val="6"/>
                <w:szCs w:val="6"/>
                <w:color w:val="auto"/>
                <w:w w:val="79"/>
              </w:rPr>
              <w:t>%</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5"/>
        </w:trPr>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11,483,483</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11,525,624</w:t>
            </w:r>
          </w:p>
        </w:tc>
        <w:tc>
          <w:tcPr>
            <w:tcW w:w="90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2"/>
                <w:szCs w:val="12"/>
                <w:color w:val="auto"/>
              </w:rPr>
              <w:t>2.8%</w:t>
            </w: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4009 Marathon Blvd,</w:t>
            </w:r>
          </w:p>
        </w:tc>
        <w:tc>
          <w:tcPr>
            <w:tcW w:w="0" w:type="dxa"/>
            <w:vAlign w:val="bottom"/>
          </w:tcPr>
          <w:p>
            <w:pPr>
              <w:spacing w:after="0"/>
              <w:rPr>
                <w:sz w:val="1"/>
                <w:szCs w:val="1"/>
                <w:color w:val="auto"/>
              </w:rPr>
            </w:pPr>
          </w:p>
        </w:tc>
      </w:tr>
      <w:tr>
        <w:trPr>
          <w:trHeight w:val="155"/>
        </w:trPr>
        <w:tc>
          <w:tcPr>
            <w:tcW w:w="9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Austin, TX 78756</w:t>
            </w:r>
          </w:p>
        </w:tc>
        <w:tc>
          <w:tcPr>
            <w:tcW w:w="0" w:type="dxa"/>
            <w:vAlign w:val="bottom"/>
          </w:tcPr>
          <w:p>
            <w:pPr>
              <w:spacing w:after="0"/>
              <w:rPr>
                <w:sz w:val="1"/>
                <w:szCs w:val="1"/>
                <w:color w:val="auto"/>
              </w:rPr>
            </w:pPr>
          </w:p>
        </w:tc>
      </w:tr>
      <w:tr>
        <w:trPr>
          <w:trHeight w:val="494"/>
        </w:trPr>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3"/>
          </w:tcPr>
          <w:p>
            <w:pPr>
              <w:jc w:val="right"/>
              <w:ind w:right="90"/>
              <w:spacing w:after="0"/>
              <w:rPr>
                <w:sz w:val="20"/>
                <w:szCs w:val="20"/>
                <w:color w:val="auto"/>
              </w:rPr>
            </w:pPr>
            <w:r>
              <w:rPr>
                <w:rFonts w:ascii="Times New Roman" w:cs="Times New Roman" w:eastAsia="Times New Roman" w:hAnsi="Times New Roman"/>
                <w:sz w:val="12"/>
                <w:szCs w:val="12"/>
                <w:color w:val="auto"/>
              </w:rPr>
              <w:t>0.0%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11,483,483</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11,525,624</w:t>
            </w:r>
          </w:p>
        </w:tc>
        <w:tc>
          <w:tcPr>
            <w:tcW w:w="900" w:type="dxa"/>
            <w:vAlign w:val="bottom"/>
            <w:gridSpan w:val="3"/>
          </w:tcPr>
          <w:p>
            <w:pPr>
              <w:jc w:val="right"/>
              <w:ind w:right="90"/>
              <w:spacing w:after="0"/>
              <w:rPr>
                <w:sz w:val="20"/>
                <w:szCs w:val="20"/>
                <w:color w:val="auto"/>
              </w:rPr>
            </w:pPr>
            <w:r>
              <w:rPr>
                <w:rFonts w:ascii="Times New Roman" w:cs="Times New Roman" w:eastAsia="Times New Roman" w:hAnsi="Times New Roman"/>
                <w:sz w:val="12"/>
                <w:szCs w:val="12"/>
                <w:color w:val="auto"/>
              </w:rPr>
              <w:t>2.8%</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126 East 56th Street,</w:t>
            </w:r>
          </w:p>
        </w:tc>
        <w:tc>
          <w:tcPr>
            <w:tcW w:w="0" w:type="dxa"/>
            <w:vAlign w:val="bottom"/>
          </w:tcPr>
          <w:p>
            <w:pPr>
              <w:spacing w:after="0"/>
              <w:rPr>
                <w:sz w:val="1"/>
                <w:szCs w:val="1"/>
                <w:color w:val="auto"/>
              </w:rPr>
            </w:pPr>
          </w:p>
        </w:tc>
      </w:tr>
      <w:tr>
        <w:trPr>
          <w:trHeight w:val="124"/>
        </w:trPr>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32nd Floor, New York,</w:t>
            </w:r>
          </w:p>
        </w:tc>
        <w:tc>
          <w:tcPr>
            <w:tcW w:w="0" w:type="dxa"/>
            <w:vAlign w:val="bottom"/>
          </w:tcPr>
          <w:p>
            <w:pPr>
              <w:spacing w:after="0"/>
              <w:rPr>
                <w:sz w:val="1"/>
                <w:szCs w:val="1"/>
                <w:color w:val="auto"/>
              </w:rPr>
            </w:pPr>
          </w:p>
        </w:tc>
      </w:tr>
      <w:tr>
        <w:trPr>
          <w:trHeight w:val="153"/>
        </w:trPr>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18,863,585</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17,870,846</w:t>
            </w:r>
          </w:p>
        </w:tc>
        <w:tc>
          <w:tcPr>
            <w:tcW w:w="900" w:type="dxa"/>
            <w:vAlign w:val="bottom"/>
            <w:gridSpan w:val="3"/>
          </w:tcPr>
          <w:p>
            <w:pPr>
              <w:jc w:val="right"/>
              <w:ind w:right="90"/>
              <w:spacing w:after="0"/>
              <w:rPr>
                <w:sz w:val="20"/>
                <w:szCs w:val="20"/>
                <w:color w:val="auto"/>
              </w:rPr>
            </w:pPr>
            <w:r>
              <w:rPr>
                <w:rFonts w:ascii="Times New Roman" w:cs="Times New Roman" w:eastAsia="Times New Roman" w:hAnsi="Times New Roman"/>
                <w:sz w:val="12"/>
                <w:szCs w:val="12"/>
                <w:color w:val="auto"/>
              </w:rPr>
              <w:t>4.3%</w:t>
            </w: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NY 10022</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18,863,585</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17,870,846</w:t>
            </w:r>
          </w:p>
        </w:tc>
        <w:tc>
          <w:tcPr>
            <w:tcW w:w="900" w:type="dxa"/>
            <w:vAlign w:val="bottom"/>
            <w:gridSpan w:val="3"/>
          </w:tcPr>
          <w:p>
            <w:pPr>
              <w:jc w:val="right"/>
              <w:ind w:right="90"/>
              <w:spacing w:after="0"/>
              <w:rPr>
                <w:sz w:val="20"/>
                <w:szCs w:val="20"/>
                <w:color w:val="auto"/>
              </w:rPr>
            </w:pPr>
            <w:r>
              <w:rPr>
                <w:rFonts w:ascii="Times New Roman" w:cs="Times New Roman" w:eastAsia="Times New Roman" w:hAnsi="Times New Roman"/>
                <w:sz w:val="12"/>
                <w:szCs w:val="12"/>
                <w:color w:val="auto"/>
              </w:rPr>
              <w:t>4.3%</w:t>
            </w: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230 West Monroe Street,</w:t>
            </w:r>
          </w:p>
        </w:tc>
        <w:tc>
          <w:tcPr>
            <w:tcW w:w="0" w:type="dxa"/>
            <w:vAlign w:val="bottom"/>
          </w:tcPr>
          <w:p>
            <w:pPr>
              <w:spacing w:after="0"/>
              <w:rPr>
                <w:sz w:val="1"/>
                <w:szCs w:val="1"/>
                <w:color w:val="auto"/>
              </w:rPr>
            </w:pPr>
          </w:p>
        </w:tc>
      </w:tr>
      <w:tr>
        <w:trPr>
          <w:trHeight w:val="86"/>
        </w:trPr>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Suite 1920, Chicago, IL</w:t>
            </w:r>
          </w:p>
        </w:tc>
        <w:tc>
          <w:tcPr>
            <w:tcW w:w="0" w:type="dxa"/>
            <w:vAlign w:val="bottom"/>
          </w:tcPr>
          <w:p>
            <w:pPr>
              <w:spacing w:after="0"/>
              <w:rPr>
                <w:sz w:val="1"/>
                <w:szCs w:val="1"/>
                <w:color w:val="auto"/>
              </w:rPr>
            </w:pPr>
          </w:p>
        </w:tc>
      </w:tr>
      <w:tr>
        <w:trPr>
          <w:trHeight w:val="153"/>
        </w:trPr>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4,169,599</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296,698</w:t>
            </w:r>
          </w:p>
        </w:tc>
        <w:tc>
          <w:tcPr>
            <w:tcW w:w="900" w:type="dxa"/>
            <w:vAlign w:val="bottom"/>
            <w:gridSpan w:val="3"/>
          </w:tcPr>
          <w:p>
            <w:pPr>
              <w:jc w:val="right"/>
              <w:ind w:right="90"/>
              <w:spacing w:after="0"/>
              <w:rPr>
                <w:sz w:val="20"/>
                <w:szCs w:val="20"/>
                <w:color w:val="auto"/>
              </w:rPr>
            </w:pPr>
            <w:r>
              <w:rPr>
                <w:rFonts w:ascii="Times New Roman" w:cs="Times New Roman" w:eastAsia="Times New Roman" w:hAnsi="Times New Roman"/>
                <w:sz w:val="12"/>
                <w:szCs w:val="12"/>
                <w:color w:val="auto"/>
              </w:rPr>
              <w:t>0.1%</w:t>
            </w: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60606</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4,169,599</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296,698</w:t>
            </w:r>
          </w:p>
        </w:tc>
        <w:tc>
          <w:tcPr>
            <w:tcW w:w="900" w:type="dxa"/>
            <w:vAlign w:val="bottom"/>
            <w:gridSpan w:val="3"/>
          </w:tcPr>
          <w:p>
            <w:pPr>
              <w:jc w:val="right"/>
              <w:ind w:right="90"/>
              <w:spacing w:after="0"/>
              <w:rPr>
                <w:sz w:val="20"/>
                <w:szCs w:val="20"/>
                <w:color w:val="auto"/>
              </w:rPr>
            </w:pPr>
            <w:r>
              <w:rPr>
                <w:rFonts w:ascii="Times New Roman" w:cs="Times New Roman" w:eastAsia="Times New Roman" w:hAnsi="Times New Roman"/>
                <w:sz w:val="12"/>
                <w:szCs w:val="12"/>
                <w:color w:val="auto"/>
              </w:rPr>
              <w:t>0.1%</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7100" w:space="220"/>
            <w:col w:w="3940"/>
          </w:cols>
          <w:pgMar w:left="320" w:top="679" w:right="31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Investment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Original</w:t>
            </w:r>
          </w:p>
        </w:tc>
        <w:tc>
          <w:tcPr>
            <w:tcW w:w="6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Fair</w:t>
            </w: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 of</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Company(1)</w:t>
            </w:r>
          </w:p>
        </w:tc>
        <w:tc>
          <w:tcPr>
            <w:tcW w:w="1240" w:type="dxa"/>
            <w:vAlign w:val="bottom"/>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100" w:type="dxa"/>
            <w:vAlign w:val="bottom"/>
          </w:tcPr>
          <w:p>
            <w:pPr>
              <w:spacing w:after="0"/>
              <w:rPr>
                <w:sz w:val="10"/>
                <w:szCs w:val="10"/>
                <w:color w:val="auto"/>
              </w:rPr>
            </w:pPr>
          </w:p>
        </w:tc>
        <w:tc>
          <w:tcPr>
            <w:tcW w:w="158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Interest Rate/</w:t>
            </w:r>
          </w:p>
        </w:tc>
        <w:tc>
          <w:tcPr>
            <w:tcW w:w="102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60" w:type="dxa"/>
            <w:vAlign w:val="bottom"/>
          </w:tcPr>
          <w:p>
            <w:pPr>
              <w:spacing w:after="0"/>
              <w:rPr>
                <w:sz w:val="10"/>
                <w:szCs w:val="10"/>
                <w:color w:val="auto"/>
              </w:rPr>
            </w:pPr>
          </w:p>
        </w:tc>
        <w:tc>
          <w:tcPr>
            <w:tcW w:w="8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9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9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Company Address</w:t>
            </w:r>
          </w:p>
        </w:tc>
        <w:tc>
          <w:tcPr>
            <w:tcW w:w="0" w:type="dxa"/>
            <w:vAlign w:val="bottom"/>
          </w:tcPr>
          <w:p>
            <w:pPr>
              <w:spacing w:after="0"/>
              <w:rPr>
                <w:sz w:val="1"/>
                <w:szCs w:val="1"/>
                <w:color w:val="auto"/>
              </w:rPr>
            </w:pPr>
          </w:p>
        </w:tc>
      </w:tr>
      <w:tr>
        <w:trPr>
          <w:trHeight w:val="146"/>
        </w:trPr>
        <w:tc>
          <w:tcPr>
            <w:tcW w:w="248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6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900" w:type="dxa"/>
            <w:vAlign w:val="bottom"/>
            <w:gridSpan w:val="2"/>
            <w:vMerge w:val="continue"/>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Value (c)</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Net Assets</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360" w:type="dxa"/>
            <w:vAlign w:val="bottom"/>
            <w:tcBorders>
              <w:top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Chronus LLC</w:t>
            </w:r>
          </w:p>
        </w:tc>
        <w:tc>
          <w:tcPr>
            <w:tcW w:w="12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Mentoring Software</w:t>
            </w:r>
          </w:p>
        </w:tc>
        <w:tc>
          <w:tcPr>
            <w:tcW w:w="100" w:type="dxa"/>
            <w:vAlign w:val="bottom"/>
            <w:tcBorders>
              <w:top w:val="single" w:sz="8" w:color="CCEEFF"/>
            </w:tcBorders>
            <w:shd w:val="clear" w:color="auto" w:fill="CCEEFF"/>
          </w:tcPr>
          <w:p>
            <w:pPr>
              <w:spacing w:after="0"/>
              <w:rPr>
                <w:sz w:val="8"/>
                <w:szCs w:val="8"/>
                <w:color w:val="auto"/>
              </w:rPr>
            </w:pPr>
          </w:p>
        </w:tc>
        <w:tc>
          <w:tcPr>
            <w:tcW w:w="1480" w:type="dxa"/>
            <w:vAlign w:val="bottom"/>
            <w:tcBorders>
              <w:top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First Lien Term Loan</w:t>
            </w:r>
          </w:p>
        </w:tc>
        <w:tc>
          <w:tcPr>
            <w:tcW w:w="1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15395 SE 30th Place,</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SOFR+5.25%), 9.19%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8/26/2021</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14,969,927</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14,683,500</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3.6%</w:t>
            </w: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Suite 140, Bellevue, WA</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8/26/2026</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98007</w:t>
            </w: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Chronus LLC (d)</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Mentoring Software</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SOFR+6.00%), 9.94%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8/26/2021</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5,000,000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4,985,148</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4,894,500</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1.2%</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8/26/2026</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Chronus LLC (h)</w:t>
            </w:r>
          </w:p>
        </w:tc>
        <w:tc>
          <w:tcPr>
            <w:tcW w:w="12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Mentoring Software</w:t>
            </w:r>
          </w:p>
        </w:tc>
        <w:tc>
          <w:tcPr>
            <w:tcW w:w="1680" w:type="dxa"/>
            <w:vAlign w:val="bottom"/>
            <w:gridSpan w:val="3"/>
            <w:shd w:val="clear" w:color="auto" w:fill="CCEEFF"/>
          </w:tcPr>
          <w:p>
            <w:pPr>
              <w:ind w:left="100"/>
              <w:spacing w:after="0" w:line="136" w:lineRule="exact"/>
              <w:rPr>
                <w:sz w:val="20"/>
                <w:szCs w:val="20"/>
                <w:color w:val="auto"/>
              </w:rPr>
            </w:pPr>
            <w:r>
              <w:rPr>
                <w:rFonts w:ascii="Times New Roman" w:cs="Times New Roman" w:eastAsia="Times New Roman" w:hAnsi="Times New Roman"/>
                <w:sz w:val="12"/>
                <w:szCs w:val="12"/>
                <w:color w:val="auto"/>
              </w:rPr>
              <w:t>Series A Preferred Stock</w:t>
            </w:r>
          </w:p>
        </w:tc>
        <w:tc>
          <w:tcPr>
            <w:tcW w:w="90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2"/>
                <w:szCs w:val="12"/>
                <w:color w:val="auto"/>
                <w:w w:val="98"/>
              </w:rPr>
              <w:t>8/26/2021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3,000</w:t>
            </w:r>
          </w:p>
        </w:tc>
        <w:tc>
          <w:tcPr>
            <w:tcW w:w="90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3,000,000</w:t>
            </w:r>
          </w:p>
        </w:tc>
        <w:tc>
          <w:tcPr>
            <w:tcW w:w="90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1,159,470</w:t>
            </w:r>
          </w:p>
        </w:tc>
        <w:tc>
          <w:tcPr>
            <w:tcW w:w="900" w:type="dxa"/>
            <w:vAlign w:val="bottom"/>
            <w:gridSpan w:val="2"/>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0.3%</w:t>
            </w: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gridSpan w:val="3"/>
          </w:tcPr>
          <w:p>
            <w:pPr>
              <w:ind w:left="100"/>
              <w:spacing w:after="0" w:line="115" w:lineRule="exact"/>
              <w:rPr>
                <w:sz w:val="20"/>
                <w:szCs w:val="20"/>
                <w:color w:val="auto"/>
              </w:rPr>
            </w:pPr>
            <w:r>
              <w:rPr>
                <w:rFonts w:ascii="Times New Roman" w:cs="Times New Roman" w:eastAsia="Times New Roman" w:hAnsi="Times New Roman"/>
                <w:sz w:val="12"/>
                <w:szCs w:val="12"/>
                <w:color w:val="auto"/>
              </w:rPr>
              <w:t>Total Mentoring Software</w:t>
            </w:r>
          </w:p>
        </w:tc>
        <w:tc>
          <w:tcPr>
            <w:tcW w:w="9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22,955,075</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20,737,470</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5.1</w:t>
            </w:r>
          </w:p>
        </w:tc>
        <w:tc>
          <w:tcPr>
            <w:tcW w:w="220" w:type="dxa"/>
            <w:vAlign w:val="bottom"/>
            <w:tcBorders>
              <w:bottom w:val="single" w:sz="8" w:color="CCEEFF"/>
            </w:tcBorders>
          </w:tcPr>
          <w:p>
            <w:pPr>
              <w:jc w:val="right"/>
              <w:ind w:right="60"/>
              <w:spacing w:after="0" w:line="115" w:lineRule="exact"/>
              <w:rPr>
                <w:sz w:val="20"/>
                <w:szCs w:val="20"/>
                <w:color w:val="auto"/>
              </w:rPr>
            </w:pPr>
            <w:r>
              <w:rPr>
                <w:rFonts w:ascii="Times New Roman" w:cs="Times New Roman" w:eastAsia="Times New Roman" w:hAnsi="Times New Roman"/>
                <w:sz w:val="12"/>
                <w:szCs w:val="12"/>
                <w:color w:val="auto"/>
                <w:w w:val="79"/>
              </w:rPr>
              <w:t>%</w:t>
            </w:r>
          </w:p>
        </w:tc>
        <w:tc>
          <w:tcPr>
            <w:tcW w:w="12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480" w:type="dxa"/>
            <w:vAlign w:val="bottom"/>
            <w:gridSpan w:val="2"/>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Cloudpermit</w:t>
            </w:r>
          </w:p>
        </w:tc>
        <w:tc>
          <w:tcPr>
            <w:tcW w:w="1240" w:type="dxa"/>
            <w:vAlign w:val="bottom"/>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Municipal Government</w:t>
            </w:r>
          </w:p>
        </w:tc>
        <w:tc>
          <w:tcPr>
            <w:tcW w:w="1680" w:type="dxa"/>
            <w:vAlign w:val="bottom"/>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First Lien Term Loan</w:t>
            </w: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11911 Freedom Drive,</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SOFR+5.75%), 9.92%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9/5/2024</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28,000,000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27,779,421</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27,988,800</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6.8%</w:t>
            </w: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Suite 720, Reston, VA</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9/5/2029</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20190</w:t>
            </w: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Cloudpermit (j)</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Municipal Government</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SOFR+5.75%), 9.92%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9/5/2024</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0.0%</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9/5/2029</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Cloudpermit (h)</w:t>
            </w: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Municipal Government</w:t>
            </w: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Limited Partner Interests</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Software</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9/5/2024</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2,000,000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2,339,779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0.6%</w:t>
            </w: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80" w:type="dxa"/>
            <w:vAlign w:val="bottom"/>
            <w:gridSpan w:val="3"/>
          </w:tcPr>
          <w:p>
            <w:pPr>
              <w:ind w:left="100"/>
              <w:spacing w:after="0" w:line="87" w:lineRule="exact"/>
              <w:rPr>
                <w:sz w:val="20"/>
                <w:szCs w:val="20"/>
                <w:color w:val="auto"/>
              </w:rPr>
            </w:pPr>
            <w:r>
              <w:rPr>
                <w:rFonts w:ascii="Times New Roman" w:cs="Times New Roman" w:eastAsia="Times New Roman" w:hAnsi="Times New Roman"/>
                <w:sz w:val="10"/>
                <w:szCs w:val="10"/>
                <w:color w:val="auto"/>
              </w:rPr>
              <w:t>Total Municipal Government</w:t>
            </w: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Software</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29,779,421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30,328,579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7.4%</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480" w:type="dxa"/>
            <w:vAlign w:val="bottom"/>
            <w:tcBorders>
              <w:top w:val="single" w:sz="8" w:color="CCEEFF"/>
            </w:tcBorders>
            <w:gridSpan w:val="2"/>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Emily Street Enterprises, L.L.C. (d)</w:t>
            </w:r>
          </w:p>
        </w:tc>
        <w:tc>
          <w:tcPr>
            <w:tcW w:w="1240" w:type="dxa"/>
            <w:vAlign w:val="bottom"/>
            <w:tcBorders>
              <w:top w:val="single" w:sz="8" w:color="CCEEFF"/>
            </w:tcBorders>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Office Supplies</w:t>
            </w:r>
          </w:p>
        </w:tc>
        <w:tc>
          <w:tcPr>
            <w:tcW w:w="1680" w:type="dxa"/>
            <w:vAlign w:val="bottom"/>
            <w:tcBorders>
              <w:top w:val="single" w:sz="8" w:color="CCEEFF"/>
            </w:tcBorders>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Senior Secured Note</w:t>
            </w:r>
          </w:p>
        </w:tc>
        <w:tc>
          <w:tcPr>
            <w:tcW w:w="9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15878 Gaither Drive,</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SOFR+6.75%), 11.00% Cash,</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12/31/2028</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12/28/2012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5,300,000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5,286,772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5,339,220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Gaithersburg, MD 20877</w:t>
            </w:r>
          </w:p>
        </w:tc>
        <w:tc>
          <w:tcPr>
            <w:tcW w:w="0" w:type="dxa"/>
            <w:vAlign w:val="bottom"/>
          </w:tcPr>
          <w:p>
            <w:pPr>
              <w:spacing w:after="0"/>
              <w:rPr>
                <w:sz w:val="1"/>
                <w:szCs w:val="1"/>
                <w:color w:val="auto"/>
              </w:rPr>
            </w:pPr>
          </w:p>
        </w:tc>
      </w:tr>
      <w:tr>
        <w:trPr>
          <w:trHeight w:val="115"/>
        </w:trPr>
        <w:tc>
          <w:tcPr>
            <w:tcW w:w="23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gridSpan w:val="3"/>
          </w:tcPr>
          <w:p>
            <w:pPr>
              <w:ind w:left="100"/>
              <w:spacing w:after="0" w:line="115" w:lineRule="exact"/>
              <w:rPr>
                <w:sz w:val="20"/>
                <w:szCs w:val="20"/>
                <w:color w:val="auto"/>
              </w:rPr>
            </w:pPr>
            <w:r>
              <w:rPr>
                <w:rFonts w:ascii="Times New Roman" w:cs="Times New Roman" w:eastAsia="Times New Roman" w:hAnsi="Times New Roman"/>
                <w:sz w:val="12"/>
                <w:szCs w:val="12"/>
                <w:color w:val="auto"/>
              </w:rPr>
              <w:t>Total Office Supplies</w:t>
            </w:r>
          </w:p>
        </w:tc>
        <w:tc>
          <w:tcPr>
            <w:tcW w:w="9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5,286,772</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5,339,220</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1.3</w:t>
            </w:r>
          </w:p>
        </w:tc>
        <w:tc>
          <w:tcPr>
            <w:tcW w:w="220" w:type="dxa"/>
            <w:vAlign w:val="bottom"/>
            <w:tcBorders>
              <w:bottom w:val="single" w:sz="8" w:color="CCEEFF"/>
            </w:tcBorders>
          </w:tcPr>
          <w:p>
            <w:pPr>
              <w:jc w:val="right"/>
              <w:ind w:right="60"/>
              <w:spacing w:after="0" w:line="115" w:lineRule="exact"/>
              <w:rPr>
                <w:sz w:val="20"/>
                <w:szCs w:val="20"/>
                <w:color w:val="auto"/>
              </w:rPr>
            </w:pPr>
            <w:r>
              <w:rPr>
                <w:rFonts w:ascii="Times New Roman" w:cs="Times New Roman" w:eastAsia="Times New Roman" w:hAnsi="Times New Roman"/>
                <w:sz w:val="12"/>
                <w:szCs w:val="12"/>
                <w:color w:val="auto"/>
                <w:w w:val="79"/>
              </w:rPr>
              <w:t>%</w:t>
            </w:r>
          </w:p>
        </w:tc>
        <w:tc>
          <w:tcPr>
            <w:tcW w:w="12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480" w:type="dxa"/>
            <w:vAlign w:val="bottom"/>
            <w:gridSpan w:val="2"/>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Source 44 LLC</w:t>
            </w:r>
          </w:p>
        </w:tc>
        <w:tc>
          <w:tcPr>
            <w:tcW w:w="1240" w:type="dxa"/>
            <w:vAlign w:val="bottom"/>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Product Compliance</w:t>
            </w:r>
          </w:p>
        </w:tc>
        <w:tc>
          <w:tcPr>
            <w:tcW w:w="1680" w:type="dxa"/>
            <w:vAlign w:val="bottom"/>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First Lien Term Loan</w:t>
            </w: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4660 La Jolla Village</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SOFR+5.25%), 6.75%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10/17/2025</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2,973,750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2,973,750</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0.7%</w:t>
            </w: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Drive, Suite 100, San</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10/17/2030</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Diego, CA 92122</w:t>
            </w: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Source 44 LLC (j)</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Product Compliance</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SOFR+5.25%), 6.75%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10/17/2025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0.0%</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10/17/2030</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Source 44 LLC (j)</w:t>
            </w: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Product Compliance</w:t>
            </w: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Revolving Credit Facility</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SOFR+5.25%), 6.75%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10/17/2025</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0.0%</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10/17/2030</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PG Source Investments, LLC</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Product Compliance</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Series A Preferred Stock</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4660 La Jolla Village</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Drive, Suite 100, San</w:t>
            </w:r>
          </w:p>
        </w:tc>
        <w:tc>
          <w:tcPr>
            <w:tcW w:w="0" w:type="dxa"/>
            <w:vAlign w:val="bottom"/>
          </w:tcPr>
          <w:p>
            <w:pPr>
              <w:spacing w:after="0"/>
              <w:rPr>
                <w:sz w:val="1"/>
                <w:szCs w:val="1"/>
                <w:color w:val="auto"/>
              </w:rPr>
            </w:pPr>
          </w:p>
        </w:tc>
      </w:tr>
      <w:tr>
        <w:trPr>
          <w:trHeight w:val="153"/>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10/17/2025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705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1,500,000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1,500,000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0.4%</w:t>
            </w: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Diego, CA 92122</w:t>
            </w:r>
          </w:p>
        </w:tc>
        <w:tc>
          <w:tcPr>
            <w:tcW w:w="0" w:type="dxa"/>
            <w:vAlign w:val="bottom"/>
          </w:tcPr>
          <w:p>
            <w:pPr>
              <w:spacing w:after="0"/>
              <w:rPr>
                <w:sz w:val="1"/>
                <w:szCs w:val="1"/>
                <w:color w:val="auto"/>
              </w:rPr>
            </w:pPr>
          </w:p>
        </w:tc>
      </w:tr>
      <w:tr>
        <w:trPr>
          <w:trHeight w:val="86"/>
        </w:trPr>
        <w:tc>
          <w:tcPr>
            <w:tcW w:w="23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680" w:type="dxa"/>
            <w:vAlign w:val="bottom"/>
            <w:tcBorders>
              <w:top w:val="single" w:sz="8" w:color="CCEEFF"/>
            </w:tcBorders>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Total Product Compliance</w:t>
            </w:r>
          </w:p>
        </w:tc>
        <w:tc>
          <w:tcPr>
            <w:tcW w:w="9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Software</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4,463,750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4,473,750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w:t>
            </w: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480" w:type="dxa"/>
            <w:vAlign w:val="bottom"/>
            <w:gridSpan w:val="2"/>
          </w:tcPr>
          <w:p>
            <w:pPr>
              <w:spacing w:after="0" w:line="87" w:lineRule="exact"/>
              <w:rPr>
                <w:sz w:val="20"/>
                <w:szCs w:val="20"/>
                <w:color w:val="auto"/>
              </w:rPr>
            </w:pPr>
            <w:r>
              <w:rPr>
                <w:rFonts w:ascii="Times New Roman" w:cs="Times New Roman" w:eastAsia="Times New Roman" w:hAnsi="Times New Roman"/>
                <w:sz w:val="10"/>
                <w:szCs w:val="10"/>
                <w:color w:val="auto"/>
              </w:rPr>
              <w:t>Buildout, Inc.</w:t>
            </w:r>
          </w:p>
        </w:tc>
        <w:tc>
          <w:tcPr>
            <w:tcW w:w="1240" w:type="dxa"/>
            <w:vAlign w:val="bottom"/>
          </w:tcPr>
          <w:p>
            <w:pPr>
              <w:spacing w:after="0" w:line="87" w:lineRule="exact"/>
              <w:rPr>
                <w:sz w:val="20"/>
                <w:szCs w:val="20"/>
                <w:color w:val="auto"/>
              </w:rPr>
            </w:pPr>
            <w:r>
              <w:rPr>
                <w:rFonts w:ascii="Times New Roman" w:cs="Times New Roman" w:eastAsia="Times New Roman" w:hAnsi="Times New Roman"/>
                <w:sz w:val="10"/>
                <w:szCs w:val="10"/>
                <w:color w:val="auto"/>
              </w:rPr>
              <w:t>Real Estate Services</w:t>
            </w:r>
          </w:p>
        </w:tc>
        <w:tc>
          <w:tcPr>
            <w:tcW w:w="1680" w:type="dxa"/>
            <w:vAlign w:val="bottom"/>
            <w:gridSpan w:val="3"/>
          </w:tcPr>
          <w:p>
            <w:pPr>
              <w:ind w:left="100"/>
              <w:spacing w:after="0" w:line="87" w:lineRule="exact"/>
              <w:rPr>
                <w:sz w:val="20"/>
                <w:szCs w:val="20"/>
                <w:color w:val="auto"/>
              </w:rPr>
            </w:pPr>
            <w:r>
              <w:rPr>
                <w:rFonts w:ascii="Times New Roman" w:cs="Times New Roman" w:eastAsia="Times New Roman" w:hAnsi="Times New Roman"/>
                <w:sz w:val="10"/>
                <w:szCs w:val="10"/>
                <w:color w:val="auto"/>
              </w:rPr>
              <w:t>First Lien Term Loan</w:t>
            </w: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222 S. Riverside Plaza</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SOFR+7.00%), 11.27%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7/9/2020</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14,000,000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14,000,000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13,706,000</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3.3%</w:t>
            </w: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12/31/2025</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#810, Chicago, IL 60606</w:t>
            </w:r>
          </w:p>
        </w:tc>
        <w:tc>
          <w:tcPr>
            <w:tcW w:w="0" w:type="dxa"/>
            <w:vAlign w:val="bottom"/>
          </w:tcPr>
          <w:p>
            <w:pPr>
              <w:spacing w:after="0"/>
              <w:rPr>
                <w:sz w:val="1"/>
                <w:szCs w:val="1"/>
                <w:color w:val="auto"/>
              </w:rPr>
            </w:pPr>
          </w:p>
        </w:tc>
      </w:tr>
      <w:tr>
        <w:trPr>
          <w:trHeight w:val="106"/>
        </w:trPr>
        <w:tc>
          <w:tcPr>
            <w:tcW w:w="24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Buildout, Inc.</w:t>
            </w: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Real Estate Services</w:t>
            </w: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SOFR+7.00%), 11.27%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2/12/2021</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38,500,000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38,500,000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37,691,500</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9.1%</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12/31/2025</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gridSpan w:val="2"/>
          </w:tcPr>
          <w:p>
            <w:pPr>
              <w:spacing w:after="0" w:line="136" w:lineRule="exact"/>
              <w:rPr>
                <w:sz w:val="20"/>
                <w:szCs w:val="20"/>
                <w:color w:val="auto"/>
              </w:rPr>
            </w:pPr>
            <w:r>
              <w:rPr>
                <w:rFonts w:ascii="Times New Roman" w:cs="Times New Roman" w:eastAsia="Times New Roman" w:hAnsi="Times New Roman"/>
                <w:sz w:val="12"/>
                <w:szCs w:val="12"/>
                <w:color w:val="auto"/>
              </w:rPr>
              <w:t>Buildout, Inc. (h)(i)</w:t>
            </w:r>
          </w:p>
        </w:tc>
        <w:tc>
          <w:tcPr>
            <w:tcW w:w="12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Real Estate Services</w:t>
            </w:r>
          </w:p>
        </w:tc>
        <w:tc>
          <w:tcPr>
            <w:tcW w:w="168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Limited Partner Interests</w:t>
            </w: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auto"/>
                <w:w w:val="98"/>
              </w:rPr>
              <w:t>7/9/2020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1,250</w:t>
            </w:r>
          </w:p>
        </w:tc>
        <w:tc>
          <w:tcPr>
            <w:tcW w:w="9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1,372,557</w:t>
            </w:r>
          </w:p>
        </w:tc>
        <w:tc>
          <w:tcPr>
            <w:tcW w:w="9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781,252</w:t>
            </w:r>
          </w:p>
        </w:tc>
        <w:tc>
          <w:tcPr>
            <w:tcW w:w="9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0.2%</w:t>
            </w: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CCEEFF"/>
            </w:tcBorders>
            <w:shd w:val="clear" w:color="auto" w:fill="CCEEFF"/>
          </w:tcPr>
          <w:p>
            <w:pPr>
              <w:spacing w:after="0"/>
              <w:rPr>
                <w:sz w:val="10"/>
                <w:szCs w:val="10"/>
                <w:color w:val="auto"/>
              </w:rPr>
            </w:pPr>
          </w:p>
        </w:tc>
        <w:tc>
          <w:tcPr>
            <w:tcW w:w="1680" w:type="dxa"/>
            <w:vAlign w:val="bottom"/>
            <w:tcBorders>
              <w:top w:val="single" w:sz="8" w:color="CCEEFF"/>
            </w:tcBorders>
            <w:gridSpan w:val="3"/>
            <w:shd w:val="clear" w:color="auto" w:fill="CCEEFF"/>
          </w:tcPr>
          <w:p>
            <w:pPr>
              <w:ind w:left="100"/>
              <w:spacing w:after="0" w:line="115" w:lineRule="exact"/>
              <w:rPr>
                <w:sz w:val="20"/>
                <w:szCs w:val="20"/>
                <w:color w:val="auto"/>
              </w:rPr>
            </w:pPr>
            <w:r>
              <w:rPr>
                <w:rFonts w:ascii="Times New Roman" w:cs="Times New Roman" w:eastAsia="Times New Roman" w:hAnsi="Times New Roman"/>
                <w:sz w:val="12"/>
                <w:szCs w:val="12"/>
                <w:color w:val="auto"/>
              </w:rPr>
              <w:t>Total Real Estate Services</w:t>
            </w:r>
          </w:p>
        </w:tc>
        <w:tc>
          <w:tcPr>
            <w:tcW w:w="9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53,872,557</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52,178,752</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12.6</w:t>
            </w:r>
          </w:p>
        </w:tc>
        <w:tc>
          <w:tcPr>
            <w:tcW w:w="220" w:type="dxa"/>
            <w:vAlign w:val="bottom"/>
            <w:tcBorders>
              <w:top w:val="single" w:sz="8" w:color="CCEEFF"/>
            </w:tcBorders>
            <w:shd w:val="clear" w:color="auto" w:fill="CCEEFF"/>
          </w:tcPr>
          <w:p>
            <w:pPr>
              <w:jc w:val="right"/>
              <w:ind w:right="60"/>
              <w:spacing w:after="0" w:line="115" w:lineRule="exact"/>
              <w:rPr>
                <w:sz w:val="20"/>
                <w:szCs w:val="20"/>
                <w:color w:val="auto"/>
              </w:rPr>
            </w:pPr>
            <w:r>
              <w:rPr>
                <w:rFonts w:ascii="Times New Roman" w:cs="Times New Roman" w:eastAsia="Times New Roman" w:hAnsi="Times New Roman"/>
                <w:sz w:val="12"/>
                <w:szCs w:val="12"/>
                <w:color w:val="auto"/>
                <w:w w:val="79"/>
              </w:rPr>
              <w:t>%</w:t>
            </w:r>
          </w:p>
        </w:tc>
        <w:tc>
          <w:tcPr>
            <w:tcW w:w="12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480" w:type="dxa"/>
            <w:vAlign w:val="bottom"/>
            <w:gridSpan w:val="2"/>
          </w:tcPr>
          <w:p>
            <w:pPr>
              <w:spacing w:after="0" w:line="87" w:lineRule="exact"/>
              <w:rPr>
                <w:sz w:val="20"/>
                <w:szCs w:val="20"/>
                <w:color w:val="auto"/>
              </w:rPr>
            </w:pPr>
            <w:r>
              <w:rPr>
                <w:rFonts w:ascii="Times New Roman" w:cs="Times New Roman" w:eastAsia="Times New Roman" w:hAnsi="Times New Roman"/>
                <w:sz w:val="10"/>
                <w:szCs w:val="10"/>
                <w:color w:val="auto"/>
              </w:rPr>
              <w:t>Wellspring Worldwide Inc. (d)</w:t>
            </w:r>
          </w:p>
        </w:tc>
        <w:tc>
          <w:tcPr>
            <w:tcW w:w="1240" w:type="dxa"/>
            <w:vAlign w:val="bottom"/>
          </w:tcPr>
          <w:p>
            <w:pPr>
              <w:spacing w:after="0" w:line="87" w:lineRule="exact"/>
              <w:rPr>
                <w:sz w:val="20"/>
                <w:szCs w:val="20"/>
                <w:color w:val="auto"/>
              </w:rPr>
            </w:pPr>
            <w:r>
              <w:rPr>
                <w:rFonts w:ascii="Times New Roman" w:cs="Times New Roman" w:eastAsia="Times New Roman" w:hAnsi="Times New Roman"/>
                <w:sz w:val="10"/>
                <w:szCs w:val="10"/>
                <w:color w:val="auto"/>
              </w:rPr>
              <w:t>Research Software</w:t>
            </w:r>
          </w:p>
        </w:tc>
        <w:tc>
          <w:tcPr>
            <w:tcW w:w="1680" w:type="dxa"/>
            <w:vAlign w:val="bottom"/>
            <w:gridSpan w:val="3"/>
          </w:tcPr>
          <w:p>
            <w:pPr>
              <w:ind w:left="100"/>
              <w:spacing w:after="0" w:line="87" w:lineRule="exact"/>
              <w:rPr>
                <w:sz w:val="20"/>
                <w:szCs w:val="20"/>
                <w:color w:val="auto"/>
              </w:rPr>
            </w:pPr>
            <w:r>
              <w:rPr>
                <w:rFonts w:ascii="Times New Roman" w:cs="Times New Roman" w:eastAsia="Times New Roman" w:hAnsi="Times New Roman"/>
                <w:sz w:val="10"/>
                <w:szCs w:val="10"/>
                <w:color w:val="auto"/>
              </w:rPr>
              <w:t>First Lien Term Loan</w:t>
            </w: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954 W. Washington</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SOFR+8.42%), 12.59%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6/27/2022</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9,372,000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9,318,787</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9,372,000</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2.3%</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Boulevard, Suite 750,</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2/28/2029</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Chicago, IL 60607</w:t>
            </w:r>
          </w:p>
        </w:tc>
        <w:tc>
          <w:tcPr>
            <w:tcW w:w="0" w:type="dxa"/>
            <w:vAlign w:val="bottom"/>
          </w:tcPr>
          <w:p>
            <w:pPr>
              <w:spacing w:after="0"/>
              <w:rPr>
                <w:sz w:val="1"/>
                <w:szCs w:val="1"/>
                <w:color w:val="auto"/>
              </w:rPr>
            </w:pPr>
          </w:p>
        </w:tc>
      </w:tr>
      <w:tr>
        <w:trPr>
          <w:trHeight w:val="106"/>
        </w:trPr>
        <w:tc>
          <w:tcPr>
            <w:tcW w:w="24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Wellspring Worldwide Inc.</w:t>
            </w: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Research Software</w:t>
            </w: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SOFR+8.42%), 12.59%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6/27/2022</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25,310,000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25,075,626</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25,310,000</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6.2%</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2/28/2029</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Archimedes Parent LLC (h)</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Research Software</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Class A Common Units</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954 W. Washington</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Boulevard, Suite 750,</w:t>
            </w:r>
          </w:p>
        </w:tc>
        <w:tc>
          <w:tcPr>
            <w:tcW w:w="0" w:type="dxa"/>
            <w:vAlign w:val="bottom"/>
          </w:tcPr>
          <w:p>
            <w:pPr>
              <w:spacing w:after="0"/>
              <w:rPr>
                <w:sz w:val="1"/>
                <w:szCs w:val="1"/>
                <w:color w:val="auto"/>
              </w:rPr>
            </w:pPr>
          </w:p>
        </w:tc>
      </w:tr>
      <w:tr>
        <w:trPr>
          <w:trHeight w:val="153"/>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6/27/2022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2,475,160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2,475,160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2,110,574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0.5%</w:t>
            </w: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Chicago, IL 60607</w:t>
            </w:r>
          </w:p>
        </w:tc>
        <w:tc>
          <w:tcPr>
            <w:tcW w:w="0" w:type="dxa"/>
            <w:vAlign w:val="bottom"/>
          </w:tcPr>
          <w:p>
            <w:pPr>
              <w:spacing w:after="0"/>
              <w:rPr>
                <w:sz w:val="1"/>
                <w:szCs w:val="1"/>
                <w:color w:val="auto"/>
              </w:rPr>
            </w:pPr>
          </w:p>
        </w:tc>
      </w:tr>
      <w:tr>
        <w:trPr>
          <w:trHeight w:val="115"/>
        </w:trPr>
        <w:tc>
          <w:tcPr>
            <w:tcW w:w="23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CCEEFF"/>
            </w:tcBorders>
            <w:shd w:val="clear" w:color="auto" w:fill="CCEEFF"/>
          </w:tcPr>
          <w:p>
            <w:pPr>
              <w:spacing w:after="0"/>
              <w:rPr>
                <w:sz w:val="10"/>
                <w:szCs w:val="10"/>
                <w:color w:val="auto"/>
              </w:rPr>
            </w:pPr>
          </w:p>
        </w:tc>
        <w:tc>
          <w:tcPr>
            <w:tcW w:w="1680" w:type="dxa"/>
            <w:vAlign w:val="bottom"/>
            <w:tcBorders>
              <w:top w:val="single" w:sz="8" w:color="CCEEFF"/>
            </w:tcBorders>
            <w:gridSpan w:val="3"/>
            <w:shd w:val="clear" w:color="auto" w:fill="CCEEFF"/>
          </w:tcPr>
          <w:p>
            <w:pPr>
              <w:ind w:left="100"/>
              <w:spacing w:after="0" w:line="115" w:lineRule="exact"/>
              <w:rPr>
                <w:sz w:val="20"/>
                <w:szCs w:val="20"/>
                <w:color w:val="auto"/>
              </w:rPr>
            </w:pPr>
            <w:r>
              <w:rPr>
                <w:rFonts w:ascii="Times New Roman" w:cs="Times New Roman" w:eastAsia="Times New Roman" w:hAnsi="Times New Roman"/>
                <w:sz w:val="12"/>
                <w:szCs w:val="12"/>
                <w:color w:val="auto"/>
              </w:rPr>
              <w:t>Total Research Software</w:t>
            </w:r>
          </w:p>
        </w:tc>
        <w:tc>
          <w:tcPr>
            <w:tcW w:w="9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36,869,573</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36,792,574</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9.0</w:t>
            </w:r>
          </w:p>
        </w:tc>
        <w:tc>
          <w:tcPr>
            <w:tcW w:w="220" w:type="dxa"/>
            <w:vAlign w:val="bottom"/>
            <w:tcBorders>
              <w:top w:val="single" w:sz="8" w:color="CCEEFF"/>
            </w:tcBorders>
            <w:shd w:val="clear" w:color="auto" w:fill="CCEEFF"/>
          </w:tcPr>
          <w:p>
            <w:pPr>
              <w:jc w:val="right"/>
              <w:ind w:right="60"/>
              <w:spacing w:after="0" w:line="115" w:lineRule="exact"/>
              <w:rPr>
                <w:sz w:val="20"/>
                <w:szCs w:val="20"/>
                <w:color w:val="auto"/>
              </w:rPr>
            </w:pPr>
            <w:r>
              <w:rPr>
                <w:rFonts w:ascii="Times New Roman" w:cs="Times New Roman" w:eastAsia="Times New Roman" w:hAnsi="Times New Roman"/>
                <w:sz w:val="12"/>
                <w:szCs w:val="12"/>
                <w:color w:val="auto"/>
                <w:w w:val="79"/>
              </w:rPr>
              <w:t>%</w:t>
            </w:r>
          </w:p>
        </w:tc>
        <w:tc>
          <w:tcPr>
            <w:tcW w:w="12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38"/>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Investment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Original</w:t>
            </w:r>
          </w:p>
        </w:tc>
        <w:tc>
          <w:tcPr>
            <w:tcW w:w="6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Fair</w:t>
            </w: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 of</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Company(1)</w:t>
            </w:r>
          </w:p>
        </w:tc>
        <w:tc>
          <w:tcPr>
            <w:tcW w:w="1240" w:type="dxa"/>
            <w:vAlign w:val="bottom"/>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100" w:type="dxa"/>
            <w:vAlign w:val="bottom"/>
          </w:tcPr>
          <w:p>
            <w:pPr>
              <w:spacing w:after="0"/>
              <w:rPr>
                <w:sz w:val="10"/>
                <w:szCs w:val="10"/>
                <w:color w:val="auto"/>
              </w:rPr>
            </w:pPr>
          </w:p>
        </w:tc>
        <w:tc>
          <w:tcPr>
            <w:tcW w:w="158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Interest Rate/</w:t>
            </w:r>
          </w:p>
        </w:tc>
        <w:tc>
          <w:tcPr>
            <w:tcW w:w="102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60" w:type="dxa"/>
            <w:vAlign w:val="bottom"/>
          </w:tcPr>
          <w:p>
            <w:pPr>
              <w:spacing w:after="0"/>
              <w:rPr>
                <w:sz w:val="10"/>
                <w:szCs w:val="10"/>
                <w:color w:val="auto"/>
              </w:rPr>
            </w:pPr>
          </w:p>
        </w:tc>
        <w:tc>
          <w:tcPr>
            <w:tcW w:w="8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9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9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Company Address</w:t>
            </w:r>
          </w:p>
        </w:tc>
        <w:tc>
          <w:tcPr>
            <w:tcW w:w="0" w:type="dxa"/>
            <w:vAlign w:val="bottom"/>
          </w:tcPr>
          <w:p>
            <w:pPr>
              <w:spacing w:after="0"/>
              <w:rPr>
                <w:sz w:val="1"/>
                <w:szCs w:val="1"/>
                <w:color w:val="auto"/>
              </w:rPr>
            </w:pPr>
          </w:p>
        </w:tc>
      </w:tr>
      <w:tr>
        <w:trPr>
          <w:trHeight w:val="146"/>
        </w:trPr>
        <w:tc>
          <w:tcPr>
            <w:tcW w:w="248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6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900" w:type="dxa"/>
            <w:vAlign w:val="bottom"/>
            <w:gridSpan w:val="2"/>
            <w:vMerge w:val="continue"/>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Value (c)</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Net Assets</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360" w:type="dxa"/>
            <w:vAlign w:val="bottom"/>
            <w:tcBorders>
              <w:top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Angry Chickz, Inc.</w:t>
            </w:r>
          </w:p>
        </w:tc>
        <w:tc>
          <w:tcPr>
            <w:tcW w:w="12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Restaurant</w:t>
            </w:r>
          </w:p>
        </w:tc>
        <w:tc>
          <w:tcPr>
            <w:tcW w:w="100" w:type="dxa"/>
            <w:vAlign w:val="bottom"/>
            <w:tcBorders>
              <w:top w:val="single" w:sz="8" w:color="CCEEFF"/>
            </w:tcBorders>
            <w:shd w:val="clear" w:color="auto" w:fill="CCEEFF"/>
          </w:tcPr>
          <w:p>
            <w:pPr>
              <w:spacing w:after="0"/>
              <w:rPr>
                <w:sz w:val="8"/>
                <w:szCs w:val="8"/>
                <w:color w:val="auto"/>
              </w:rPr>
            </w:pPr>
          </w:p>
        </w:tc>
        <w:tc>
          <w:tcPr>
            <w:tcW w:w="1480" w:type="dxa"/>
            <w:vAlign w:val="bottom"/>
            <w:tcBorders>
              <w:top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First Lien Term Loan</w:t>
            </w:r>
          </w:p>
        </w:tc>
        <w:tc>
          <w:tcPr>
            <w:tcW w:w="1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15301 Ventura Blvd.</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(1M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Building B, Suite 250,</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SOFR+4.75%), 8.61%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10/9/2025</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7,900,000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7,860,500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7,860,500</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w:t>
            </w: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Sherman Oaks, CA</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10/9/2030</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91403</w:t>
            </w: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Angry Chickz, Inc. (j)</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Restaurant</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(1M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SOFR+4.75%), 8.61%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10/9/2025</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0.0%</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10/9/2030</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LFR Chicken LLC (d)</w:t>
            </w: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Restaurant</w:t>
            </w: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1270 N Elgin Pwky,</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(1M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SOFR+4.50%), 8.36%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11/19/2021</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21,878,463</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21,909,799</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5.4%</w:t>
            </w: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Suite C-14, Shalimar, FL</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11/26/2030</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32579</w:t>
            </w: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LFR Chicken LLC (d)(j)</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Restaurant</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(1M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SOFR+4.50%), 8.36%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11/19/2021</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18,000,000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17,947,066</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17,926,200</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4.3%</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11/26/2030</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LFR Chicken LLC (h)</w:t>
            </w:r>
          </w:p>
        </w:tc>
        <w:tc>
          <w:tcPr>
            <w:tcW w:w="12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Restaurant</w:t>
            </w:r>
          </w:p>
        </w:tc>
        <w:tc>
          <w:tcPr>
            <w:tcW w:w="1680" w:type="dxa"/>
            <w:vAlign w:val="bottom"/>
            <w:gridSpan w:val="3"/>
            <w:shd w:val="clear" w:color="auto" w:fill="CCEEFF"/>
          </w:tcPr>
          <w:p>
            <w:pPr>
              <w:ind w:left="100"/>
              <w:spacing w:after="0" w:line="136" w:lineRule="exact"/>
              <w:rPr>
                <w:sz w:val="20"/>
                <w:szCs w:val="20"/>
                <w:color w:val="auto"/>
              </w:rPr>
            </w:pPr>
            <w:r>
              <w:rPr>
                <w:rFonts w:ascii="Times New Roman" w:cs="Times New Roman" w:eastAsia="Times New Roman" w:hAnsi="Times New Roman"/>
                <w:sz w:val="12"/>
                <w:szCs w:val="12"/>
                <w:color w:val="auto"/>
              </w:rPr>
              <w:t>Series B Preferred Units</w:t>
            </w:r>
          </w:p>
        </w:tc>
        <w:tc>
          <w:tcPr>
            <w:tcW w:w="90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2"/>
                <w:szCs w:val="12"/>
                <w:color w:val="auto"/>
                <w:w w:val="98"/>
              </w:rPr>
              <w:t>11/19/2021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497,183</w:t>
            </w:r>
          </w:p>
        </w:tc>
        <w:tc>
          <w:tcPr>
            <w:tcW w:w="90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1,000,000</w:t>
            </w:r>
          </w:p>
        </w:tc>
        <w:tc>
          <w:tcPr>
            <w:tcW w:w="90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2"/>
                <w:szCs w:val="12"/>
                <w:color w:val="auto"/>
              </w:rPr>
              <w:t>1,857,808</w:t>
            </w:r>
          </w:p>
        </w:tc>
        <w:tc>
          <w:tcPr>
            <w:tcW w:w="900" w:type="dxa"/>
            <w:vAlign w:val="bottom"/>
            <w:gridSpan w:val="2"/>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0.4%</w:t>
            </w: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gridSpan w:val="3"/>
          </w:tcPr>
          <w:p>
            <w:pPr>
              <w:ind w:left="100"/>
              <w:spacing w:after="0" w:line="115" w:lineRule="exact"/>
              <w:rPr>
                <w:sz w:val="20"/>
                <w:szCs w:val="20"/>
                <w:color w:val="auto"/>
              </w:rPr>
            </w:pPr>
            <w:r>
              <w:rPr>
                <w:rFonts w:ascii="Times New Roman" w:cs="Times New Roman" w:eastAsia="Times New Roman" w:hAnsi="Times New Roman"/>
                <w:sz w:val="12"/>
                <w:szCs w:val="12"/>
                <w:color w:val="auto"/>
              </w:rPr>
              <w:t>Total Restaurant</w:t>
            </w:r>
          </w:p>
        </w:tc>
        <w:tc>
          <w:tcPr>
            <w:tcW w:w="9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48,686,029</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49,554,307</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12.0</w:t>
            </w:r>
          </w:p>
        </w:tc>
        <w:tc>
          <w:tcPr>
            <w:tcW w:w="220" w:type="dxa"/>
            <w:vAlign w:val="bottom"/>
            <w:tcBorders>
              <w:bottom w:val="single" w:sz="8" w:color="CCEEFF"/>
            </w:tcBorders>
          </w:tcPr>
          <w:p>
            <w:pPr>
              <w:jc w:val="right"/>
              <w:ind w:right="60"/>
              <w:spacing w:after="0" w:line="115" w:lineRule="exact"/>
              <w:rPr>
                <w:sz w:val="20"/>
                <w:szCs w:val="20"/>
                <w:color w:val="auto"/>
              </w:rPr>
            </w:pPr>
            <w:r>
              <w:rPr>
                <w:rFonts w:ascii="Times New Roman" w:cs="Times New Roman" w:eastAsia="Times New Roman" w:hAnsi="Times New Roman"/>
                <w:sz w:val="12"/>
                <w:szCs w:val="12"/>
                <w:color w:val="auto"/>
                <w:w w:val="79"/>
              </w:rPr>
              <w:t>%</w:t>
            </w:r>
          </w:p>
        </w:tc>
        <w:tc>
          <w:tcPr>
            <w:tcW w:w="12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480" w:type="dxa"/>
            <w:vAlign w:val="bottom"/>
            <w:gridSpan w:val="2"/>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SAI Systems Health, LLC</w:t>
            </w:r>
          </w:p>
        </w:tc>
        <w:tc>
          <w:tcPr>
            <w:tcW w:w="1240" w:type="dxa"/>
            <w:vAlign w:val="bottom"/>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Revenue Cycle</w:t>
            </w:r>
          </w:p>
        </w:tc>
        <w:tc>
          <w:tcPr>
            <w:tcW w:w="1680" w:type="dxa"/>
            <w:vAlign w:val="bottom"/>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First Lien Term Loan</w:t>
            </w: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Management &amp; Related</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5 Research Dive, 2nd</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Services</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SOFR+5.00%), 11.57%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11/24/2025</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28,000,000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27,825,000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27,825,000</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6.7%</w:t>
            </w: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11/24/2030</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Floor, Shelton, Ct, 06484</w:t>
            </w: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SAI Systems Health, LLC (j)</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Revenue Cycle</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Management &amp; Related</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Services</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SOFR+5.00%), 11.57%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11/24/2025</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0.0%</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11/24/2030</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SAI Systems Health Topco, LLC</w:t>
            </w: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Revenue Cycle</w:t>
            </w: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Class A Units</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Management &amp; Related</w:t>
            </w:r>
          </w:p>
        </w:tc>
        <w:tc>
          <w:tcPr>
            <w:tcW w:w="1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Services</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11/24/2025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350,000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350,000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80" w:type="dxa"/>
            <w:vAlign w:val="bottom"/>
            <w:gridSpan w:val="3"/>
          </w:tcPr>
          <w:p>
            <w:pPr>
              <w:ind w:left="100"/>
              <w:spacing w:after="0" w:line="87" w:lineRule="exact"/>
              <w:rPr>
                <w:sz w:val="20"/>
                <w:szCs w:val="20"/>
                <w:color w:val="auto"/>
              </w:rPr>
            </w:pPr>
            <w:r>
              <w:rPr>
                <w:rFonts w:ascii="Times New Roman" w:cs="Times New Roman" w:eastAsia="Times New Roman" w:hAnsi="Times New Roman"/>
                <w:sz w:val="10"/>
                <w:szCs w:val="10"/>
                <w:color w:val="auto"/>
              </w:rPr>
              <w:t>Total Revenue Cycle</w:t>
            </w: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Management &amp; Related</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Services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28,175,000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28,175,000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6.8%</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480" w:type="dxa"/>
            <w:vAlign w:val="bottom"/>
            <w:tcBorders>
              <w:top w:val="single" w:sz="8" w:color="CCEEFF"/>
            </w:tcBorders>
            <w:gridSpan w:val="2"/>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Avionte Holdings, LLC (h)</w:t>
            </w:r>
          </w:p>
        </w:tc>
        <w:tc>
          <w:tcPr>
            <w:tcW w:w="1240" w:type="dxa"/>
            <w:vAlign w:val="bottom"/>
            <w:tcBorders>
              <w:top w:val="single" w:sz="8" w:color="CCEEFF"/>
            </w:tcBorders>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Staffing Services</w:t>
            </w:r>
          </w:p>
        </w:tc>
        <w:tc>
          <w:tcPr>
            <w:tcW w:w="1680" w:type="dxa"/>
            <w:vAlign w:val="bottom"/>
            <w:tcBorders>
              <w:top w:val="single" w:sz="8" w:color="CCEEFF"/>
            </w:tcBorders>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Class A Units</w:t>
            </w:r>
          </w:p>
        </w:tc>
        <w:tc>
          <w:tcPr>
            <w:tcW w:w="9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4300 MarketPointe Dr.,</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Suite 250, Bloomington,</w:t>
            </w: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1/8/2014</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2,391,803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0.6%</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MN 55435</w:t>
            </w:r>
          </w:p>
        </w:tc>
        <w:tc>
          <w:tcPr>
            <w:tcW w:w="0" w:type="dxa"/>
            <w:vAlign w:val="bottom"/>
          </w:tcPr>
          <w:p>
            <w:pPr>
              <w:spacing w:after="0"/>
              <w:rPr>
                <w:sz w:val="1"/>
                <w:szCs w:val="1"/>
                <w:color w:val="auto"/>
              </w:rPr>
            </w:pPr>
          </w:p>
        </w:tc>
      </w:tr>
      <w:tr>
        <w:trPr>
          <w:trHeight w:val="115"/>
        </w:trPr>
        <w:tc>
          <w:tcPr>
            <w:tcW w:w="23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gridSpan w:val="3"/>
          </w:tcPr>
          <w:p>
            <w:pPr>
              <w:ind w:left="100"/>
              <w:spacing w:after="0" w:line="115" w:lineRule="exact"/>
              <w:rPr>
                <w:sz w:val="20"/>
                <w:szCs w:val="20"/>
                <w:color w:val="auto"/>
              </w:rPr>
            </w:pPr>
            <w:r>
              <w:rPr>
                <w:rFonts w:ascii="Times New Roman" w:cs="Times New Roman" w:eastAsia="Times New Roman" w:hAnsi="Times New Roman"/>
                <w:sz w:val="12"/>
                <w:szCs w:val="12"/>
                <w:color w:val="auto"/>
              </w:rPr>
              <w:t>Total Staffing Services</w:t>
            </w:r>
          </w:p>
        </w:tc>
        <w:tc>
          <w:tcPr>
            <w:tcW w:w="9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100,000</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2,391,803</w:t>
            </w:r>
          </w:p>
        </w:tc>
        <w:tc>
          <w:tcPr>
            <w:tcW w:w="22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0.6</w:t>
            </w:r>
          </w:p>
        </w:tc>
        <w:tc>
          <w:tcPr>
            <w:tcW w:w="220" w:type="dxa"/>
            <w:vAlign w:val="bottom"/>
            <w:tcBorders>
              <w:bottom w:val="single" w:sz="8" w:color="CCEEFF"/>
            </w:tcBorders>
          </w:tcPr>
          <w:p>
            <w:pPr>
              <w:jc w:val="right"/>
              <w:ind w:right="60"/>
              <w:spacing w:after="0" w:line="115" w:lineRule="exact"/>
              <w:rPr>
                <w:sz w:val="20"/>
                <w:szCs w:val="20"/>
                <w:color w:val="auto"/>
              </w:rPr>
            </w:pPr>
            <w:r>
              <w:rPr>
                <w:rFonts w:ascii="Times New Roman" w:cs="Times New Roman" w:eastAsia="Times New Roman" w:hAnsi="Times New Roman"/>
                <w:sz w:val="12"/>
                <w:szCs w:val="12"/>
                <w:color w:val="auto"/>
                <w:w w:val="79"/>
              </w:rPr>
              <w:t>%</w:t>
            </w:r>
          </w:p>
        </w:tc>
        <w:tc>
          <w:tcPr>
            <w:tcW w:w="12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480" w:type="dxa"/>
            <w:vAlign w:val="bottom"/>
            <w:gridSpan w:val="2"/>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AIMCO 2025-24A E (a)</w:t>
            </w:r>
          </w:p>
        </w:tc>
        <w:tc>
          <w:tcPr>
            <w:tcW w:w="1240" w:type="dxa"/>
            <w:vAlign w:val="bottom"/>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Structured Finance</w:t>
            </w:r>
          </w:p>
        </w:tc>
        <w:tc>
          <w:tcPr>
            <w:tcW w:w="1680" w:type="dxa"/>
            <w:vAlign w:val="bottom"/>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First Lien Term Loan</w:t>
            </w: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Securities</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SOFR+6.10%), 10.27%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4/30/2025</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1,533,900</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0.4%</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4/19/2038</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APID 2023-45A ER (a)(d)</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Securities</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SOFR+5.15%), 9.32%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6/5/2025</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2,800,000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2,800,000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2,833,569</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0.7%</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7/26/2038</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APID 2017-28A DR (a)(d)</w:t>
            </w: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Securities</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SOFR+5.00%), 9.17%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7/25/2025</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2,517,983</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0.6%</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10/20/2038</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BGCLO 2025-13A D2 (a)(d)</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Securities</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SOFR+4.05%), 8.22%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8/7/2025</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2,000,000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2,000,000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2,005,320</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0.5%</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10/23/2038</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BSP 2016-10A C2R3 (a)</w:t>
            </w: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Securities</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SOFR+4.10%), 8.27%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7/10/2025</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2,012,118</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0.5%</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7/20/2038</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BSP 2020-21A ER2 (a)</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Securities</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SOFR+4.95%), 8.74%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11/4/2025</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1,500,000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1,500,000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1,505,337</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0.4%</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1/15/2039</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BSP 2025-40A E (a)(d)</w:t>
            </w: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Securities</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SOFR+5.25%), 9.42%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5/22/2025</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3,012,943</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0.7%</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7/25/2038</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8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HLM 2025-26A D2 (a)(d)</w:t>
            </w: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Securities</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SOFR+4.10%), 8.27%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7/18/2025</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2,000,000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2,000,000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2,007,944</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0.5%</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7/20/2038</w:t>
            </w: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38"/>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Investment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Original</w:t>
            </w:r>
          </w:p>
        </w:tc>
        <w:tc>
          <w:tcPr>
            <w:tcW w:w="6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Fair</w:t>
            </w:r>
          </w:p>
        </w:tc>
        <w:tc>
          <w:tcPr>
            <w:tcW w:w="9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 of</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Company(1)</w:t>
            </w:r>
          </w:p>
        </w:tc>
        <w:tc>
          <w:tcPr>
            <w:tcW w:w="1240" w:type="dxa"/>
            <w:vAlign w:val="bottom"/>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100" w:type="dxa"/>
            <w:vAlign w:val="bottom"/>
          </w:tcPr>
          <w:p>
            <w:pPr>
              <w:spacing w:after="0"/>
              <w:rPr>
                <w:sz w:val="10"/>
                <w:szCs w:val="10"/>
                <w:color w:val="auto"/>
              </w:rPr>
            </w:pPr>
          </w:p>
        </w:tc>
        <w:tc>
          <w:tcPr>
            <w:tcW w:w="158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Interest Rate/</w:t>
            </w:r>
          </w:p>
        </w:tc>
        <w:tc>
          <w:tcPr>
            <w:tcW w:w="102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60" w:type="dxa"/>
            <w:vAlign w:val="bottom"/>
          </w:tcPr>
          <w:p>
            <w:pPr>
              <w:spacing w:after="0"/>
              <w:rPr>
                <w:sz w:val="10"/>
                <w:szCs w:val="10"/>
                <w:color w:val="auto"/>
              </w:rPr>
            </w:pPr>
          </w:p>
        </w:tc>
        <w:tc>
          <w:tcPr>
            <w:tcW w:w="8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9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9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Company Address</w:t>
            </w:r>
          </w:p>
        </w:tc>
        <w:tc>
          <w:tcPr>
            <w:tcW w:w="0" w:type="dxa"/>
            <w:vAlign w:val="bottom"/>
          </w:tcPr>
          <w:p>
            <w:pPr>
              <w:spacing w:after="0"/>
              <w:rPr>
                <w:sz w:val="1"/>
                <w:szCs w:val="1"/>
                <w:color w:val="auto"/>
              </w:rPr>
            </w:pPr>
          </w:p>
        </w:tc>
      </w:tr>
      <w:tr>
        <w:trPr>
          <w:trHeight w:val="146"/>
        </w:trPr>
        <w:tc>
          <w:tcPr>
            <w:tcW w:w="248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6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900" w:type="dxa"/>
            <w:vAlign w:val="bottom"/>
            <w:gridSpan w:val="2"/>
            <w:vMerge w:val="continue"/>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Value (c)</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Net Assets</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3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80" w:type="dxa"/>
            <w:vAlign w:val="bottom"/>
            <w:tcBorders>
              <w:top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First Lien Term Loan</w:t>
            </w:r>
          </w:p>
        </w:tc>
        <w:tc>
          <w:tcPr>
            <w:tcW w:w="1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NMC CLO-4A ER (a)</w:t>
            </w:r>
          </w:p>
        </w:tc>
        <w:tc>
          <w:tcPr>
            <w:tcW w:w="1240" w:type="dxa"/>
            <w:vAlign w:val="bottom"/>
            <w:vMerge w:val="continue"/>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SOFR+6.91%), 11.08%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4/17/2025</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980,000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1,021,200</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0.2%</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3/20/2038</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NMC CLO-7A E (a)</w:t>
            </w:r>
          </w:p>
        </w:tc>
        <w:tc>
          <w:tcPr>
            <w:tcW w:w="1240" w:type="dxa"/>
            <w:vAlign w:val="bottom"/>
            <w:vMerge w:val="continue"/>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SOFR+5.00%), 9.17%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3/13/2025</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1,000,000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1,000,000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1,000,283</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0.2%</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80" w:type="dxa"/>
            <w:vAlign w:val="bottom"/>
            <w:gridSpan w:val="2"/>
            <w:vMerge w:val="continue"/>
          </w:tcPr>
          <w:p>
            <w:pPr>
              <w:spacing w:after="0"/>
              <w:rPr>
                <w:sz w:val="12"/>
                <w:szCs w:val="12"/>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Securities</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3/31/2038</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NMC CLO-5A ER (a)(d)</w:t>
            </w:r>
          </w:p>
        </w:tc>
        <w:tc>
          <w:tcPr>
            <w:tcW w:w="1240" w:type="dxa"/>
            <w:vAlign w:val="bottom"/>
            <w:vMerge w:val="continue"/>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SOFR+5.85%), 10.02%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6/30/2025</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3,009,600</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0.7%</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7/20/2036</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NMC CLO-3A D2R (a)(d)</w:t>
            </w:r>
          </w:p>
        </w:tc>
        <w:tc>
          <w:tcPr>
            <w:tcW w:w="1240" w:type="dxa"/>
            <w:vAlign w:val="bottom"/>
            <w:vMerge w:val="continue"/>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SOFR+4.10%), 8.27%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8/4/2025</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2,250,000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2,250,000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2,270,036</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0.5%</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80" w:type="dxa"/>
            <w:vAlign w:val="bottom"/>
            <w:gridSpan w:val="2"/>
            <w:vMerge w:val="continue"/>
          </w:tcPr>
          <w:p>
            <w:pPr>
              <w:spacing w:after="0"/>
              <w:rPr>
                <w:sz w:val="12"/>
                <w:szCs w:val="12"/>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Securities</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10/20/2038</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OAKC 2016-13A ER2 (a)</w:t>
            </w:r>
          </w:p>
        </w:tc>
        <w:tc>
          <w:tcPr>
            <w:tcW w:w="1240" w:type="dxa"/>
            <w:vAlign w:val="bottom"/>
            <w:vMerge w:val="continue"/>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SOFR+5.75%), 9.92%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4/10/2025</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976,250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1,008,200</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0.2%</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10/21/2037</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OAKC 2025-22A E (a)</w:t>
            </w:r>
          </w:p>
        </w:tc>
        <w:tc>
          <w:tcPr>
            <w:tcW w:w="1240" w:type="dxa"/>
            <w:vAlign w:val="bottom"/>
            <w:vMerge w:val="continue"/>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SOFR+5.55%), 9.72%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5/9/2025</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1,250,000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1,250,000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1,265,430</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0.3%</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80" w:type="dxa"/>
            <w:vAlign w:val="bottom"/>
            <w:gridSpan w:val="2"/>
            <w:vMerge w:val="continue"/>
          </w:tcPr>
          <w:p>
            <w:pPr>
              <w:spacing w:after="0"/>
              <w:rPr>
                <w:sz w:val="12"/>
                <w:szCs w:val="12"/>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Securities</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7/20/2038</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OAKC 2020-7A D2R2 (a)(d)</w:t>
            </w:r>
          </w:p>
        </w:tc>
        <w:tc>
          <w:tcPr>
            <w:tcW w:w="1240" w:type="dxa"/>
            <w:vAlign w:val="bottom"/>
            <w:vMerge w:val="continue"/>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SOFR+4.05%), 8.22%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6/18/2025</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3,250,000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3,250,000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3,264,225</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0.9%</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7/19/2038</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OCP 2025-43A E (a)</w:t>
            </w:r>
          </w:p>
        </w:tc>
        <w:tc>
          <w:tcPr>
            <w:tcW w:w="1240" w:type="dxa"/>
            <w:vAlign w:val="bottom"/>
            <w:vMerge w:val="continue"/>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SOFR+6.50%), 10.67%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4/23/2025</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1,000,000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1,000,000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1,022,005</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0.2%</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80" w:type="dxa"/>
            <w:vAlign w:val="bottom"/>
            <w:gridSpan w:val="2"/>
            <w:vMerge w:val="continue"/>
          </w:tcPr>
          <w:p>
            <w:pPr>
              <w:spacing w:after="0"/>
              <w:rPr>
                <w:sz w:val="12"/>
                <w:szCs w:val="12"/>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Securities</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7/20/2038</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OCP 2023-28A (a)(d)</w:t>
            </w:r>
          </w:p>
        </w:tc>
        <w:tc>
          <w:tcPr>
            <w:tcW w:w="1240" w:type="dxa"/>
            <w:vAlign w:val="bottom"/>
            <w:vMerge w:val="continue"/>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SOFR+5.25%), 9.42%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6/18/2025</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3,026,577</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0.7%</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7/16/2038</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OCP 2016-11A D2R3 (a)</w:t>
            </w:r>
          </w:p>
        </w:tc>
        <w:tc>
          <w:tcPr>
            <w:tcW w:w="1240" w:type="dxa"/>
            <w:vAlign w:val="bottom"/>
            <w:vMerge w:val="continue"/>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SOFR+4.10%), 8.27%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6/26/2025</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1,500,000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1,500,000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1,507,953</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0.4%</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80" w:type="dxa"/>
            <w:vAlign w:val="bottom"/>
            <w:gridSpan w:val="2"/>
            <w:vMerge w:val="continue"/>
          </w:tcPr>
          <w:p>
            <w:pPr>
              <w:spacing w:after="0"/>
              <w:rPr>
                <w:sz w:val="12"/>
                <w:szCs w:val="12"/>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Securities</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7/26/2038</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POST 2023-1A D2R (a)</w:t>
            </w:r>
          </w:p>
        </w:tc>
        <w:tc>
          <w:tcPr>
            <w:tcW w:w="1240" w:type="dxa"/>
            <w:vAlign w:val="bottom"/>
            <w:vMerge w:val="continue"/>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SOFR+3.95%), 7.74%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10/17/2025</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1,001,929</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0.2%</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10/20/2038</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REGT6 2016-1A ER3 (a)</w:t>
            </w:r>
          </w:p>
        </w:tc>
        <w:tc>
          <w:tcPr>
            <w:tcW w:w="1240" w:type="dxa"/>
            <w:vAlign w:val="bottom"/>
            <w:vMerge w:val="continue"/>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SOFR+5.45%), 9.24%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9/12/2025</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1,500,000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1,500,000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1,509,149</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0.4%</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80" w:type="dxa"/>
            <w:vAlign w:val="bottom"/>
            <w:gridSpan w:val="2"/>
            <w:vMerge w:val="continue"/>
          </w:tcPr>
          <w:p>
            <w:pPr>
              <w:spacing w:after="0"/>
              <w:rPr>
                <w:sz w:val="12"/>
                <w:szCs w:val="12"/>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Securities</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10/20/2038</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REGT23 2021-1A D2R (a)</w:t>
            </w:r>
          </w:p>
        </w:tc>
        <w:tc>
          <w:tcPr>
            <w:tcW w:w="1240" w:type="dxa"/>
            <w:vAlign w:val="bottom"/>
            <w:vMerge w:val="continue"/>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SOFR+4.00%), 7.79%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10/30/2025</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2,003,834</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0.5%</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10/15/2038</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TREST 2017-1A ERR (a)</w:t>
            </w:r>
          </w:p>
        </w:tc>
        <w:tc>
          <w:tcPr>
            <w:tcW w:w="1240" w:type="dxa"/>
            <w:vAlign w:val="bottom"/>
            <w:vMerge w:val="continue"/>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SOFR+5.95%), 10.12% Cash,</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3/7/2025</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1,250,000</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1,257,125</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1,268,026</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0.3%</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80" w:type="dxa"/>
            <w:vAlign w:val="bottom"/>
            <w:gridSpan w:val="2"/>
            <w:vMerge w:val="continue"/>
          </w:tcPr>
          <w:p>
            <w:pPr>
              <w:spacing w:after="0"/>
              <w:rPr>
                <w:sz w:val="12"/>
                <w:szCs w:val="12"/>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Securities</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7/25/2037</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68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WBOX 2023-4A ER (a)</w:t>
            </w:r>
          </w:p>
        </w:tc>
        <w:tc>
          <w:tcPr>
            <w:tcW w:w="1240" w:type="dxa"/>
            <w:vAlign w:val="bottom"/>
            <w:vMerge w:val="continue"/>
            <w:shd w:val="clear" w:color="auto" w:fill="CCEEFF"/>
          </w:tcPr>
          <w:p>
            <w:pPr>
              <w:spacing w:after="0"/>
              <w:rPr>
                <w:sz w:val="10"/>
                <w:szCs w:val="10"/>
                <w:color w:val="auto"/>
              </w:rPr>
            </w:pPr>
          </w:p>
        </w:tc>
        <w:tc>
          <w:tcPr>
            <w:tcW w:w="168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SOFR+6.48%), 10.65% Cash,</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4/10/2025</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2,000,000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1,970,000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2,022,000</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0.5%</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4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w:t>
            </w: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4/20/2036</w:t>
            </w:r>
          </w:p>
        </w:tc>
        <w:tc>
          <w:tcPr>
            <w:tcW w:w="10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8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Structured Finance</w:t>
            </w: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68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SOFR+4.10%), 8.27% Cash,</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WBOX 2025-5A D2 (a)(d)</w:t>
            </w: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Securities</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7/20/2038</w:t>
            </w: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6/24/2025</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2,000,000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2,000,000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2,003,200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0.5%</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680" w:type="dxa"/>
            <w:vAlign w:val="bottom"/>
            <w:tcBorders>
              <w:top w:val="single" w:sz="8" w:color="CCEEFF"/>
            </w:tcBorders>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Total Structured Finance</w:t>
            </w:r>
          </w:p>
        </w:tc>
        <w:tc>
          <w:tcPr>
            <w:tcW w:w="9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Securities</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45,233,375</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45,632,761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11.0%</w:t>
            </w: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38"/>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Investment</w:t>
            </w:r>
          </w:p>
        </w:tc>
        <w:tc>
          <w:tcPr>
            <w:tcW w:w="100" w:type="dxa"/>
            <w:vAlign w:val="bottom"/>
          </w:tcPr>
          <w:p>
            <w:pPr>
              <w:spacing w:after="0"/>
              <w:rPr>
                <w:sz w:val="12"/>
                <w:szCs w:val="12"/>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Original</w:t>
            </w:r>
          </w:p>
        </w:tc>
        <w:tc>
          <w:tcPr>
            <w:tcW w:w="6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Fair</w:t>
            </w:r>
          </w:p>
        </w:tc>
        <w:tc>
          <w:tcPr>
            <w:tcW w:w="8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 of</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3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Company(1)</w:t>
            </w:r>
          </w:p>
        </w:tc>
        <w:tc>
          <w:tcPr>
            <w:tcW w:w="120" w:type="dxa"/>
            <w:vAlign w:val="bottom"/>
          </w:tcPr>
          <w:p>
            <w:pPr>
              <w:spacing w:after="0"/>
              <w:rPr>
                <w:sz w:val="10"/>
                <w:szCs w:val="10"/>
                <w:color w:val="auto"/>
              </w:rPr>
            </w:pPr>
          </w:p>
        </w:tc>
        <w:tc>
          <w:tcPr>
            <w:tcW w:w="1240" w:type="dxa"/>
            <w:vAlign w:val="bottom"/>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100" w:type="dxa"/>
            <w:vAlign w:val="bottom"/>
          </w:tcPr>
          <w:p>
            <w:pPr>
              <w:spacing w:after="0"/>
              <w:rPr>
                <w:sz w:val="10"/>
                <w:szCs w:val="10"/>
                <w:color w:val="auto"/>
              </w:rPr>
            </w:pPr>
          </w:p>
        </w:tc>
        <w:tc>
          <w:tcPr>
            <w:tcW w:w="14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9"/>
              </w:rPr>
              <w:t>Interest Rate/</w:t>
            </w:r>
          </w:p>
        </w:tc>
        <w:tc>
          <w:tcPr>
            <w:tcW w:w="100" w:type="dxa"/>
            <w:vAlign w:val="bottom"/>
          </w:tcPr>
          <w:p>
            <w:pPr>
              <w:spacing w:after="0"/>
              <w:rPr>
                <w:sz w:val="10"/>
                <w:szCs w:val="10"/>
                <w:color w:val="auto"/>
              </w:rPr>
            </w:pPr>
          </w:p>
        </w:tc>
        <w:tc>
          <w:tcPr>
            <w:tcW w:w="102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Acquisition</w:t>
            </w:r>
          </w:p>
        </w:tc>
        <w:tc>
          <w:tcPr>
            <w:tcW w:w="60" w:type="dxa"/>
            <w:vAlign w:val="bottom"/>
          </w:tcPr>
          <w:p>
            <w:pPr>
              <w:spacing w:after="0"/>
              <w:rPr>
                <w:sz w:val="10"/>
                <w:szCs w:val="10"/>
                <w:color w:val="auto"/>
              </w:rPr>
            </w:pPr>
          </w:p>
        </w:tc>
        <w:tc>
          <w:tcPr>
            <w:tcW w:w="8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90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Company Address</w:t>
            </w:r>
          </w:p>
        </w:tc>
        <w:tc>
          <w:tcPr>
            <w:tcW w:w="0" w:type="dxa"/>
            <w:vAlign w:val="bottom"/>
          </w:tcPr>
          <w:p>
            <w:pPr>
              <w:spacing w:after="0"/>
              <w:rPr>
                <w:sz w:val="1"/>
                <w:szCs w:val="1"/>
                <w:color w:val="auto"/>
              </w:rPr>
            </w:pPr>
          </w:p>
        </w:tc>
      </w:tr>
      <w:tr>
        <w:trPr>
          <w:trHeight w:val="146"/>
        </w:trPr>
        <w:tc>
          <w:tcPr>
            <w:tcW w:w="2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00" w:type="dxa"/>
            <w:vAlign w:val="bottom"/>
          </w:tcPr>
          <w:p>
            <w:pPr>
              <w:spacing w:after="0"/>
              <w:rPr>
                <w:sz w:val="12"/>
                <w:szCs w:val="12"/>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6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920" w:type="dxa"/>
            <w:vAlign w:val="bottom"/>
            <w:gridSpan w:val="2"/>
            <w:vMerge w:val="continue"/>
          </w:tcPr>
          <w:p>
            <w:pPr>
              <w:spacing w:after="0"/>
              <w:rPr>
                <w:sz w:val="12"/>
                <w:szCs w:val="1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Value (c)</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Net Assets</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360" w:type="dxa"/>
            <w:vAlign w:val="bottom"/>
            <w:tcBorders>
              <w:top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StockIQ Technologies, LLC</w:t>
            </w:r>
          </w:p>
        </w:tc>
        <w:tc>
          <w:tcPr>
            <w:tcW w:w="12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Supply Chain Planning</w:t>
            </w:r>
          </w:p>
        </w:tc>
        <w:tc>
          <w:tcPr>
            <w:tcW w:w="100" w:type="dxa"/>
            <w:vAlign w:val="bottom"/>
            <w:tcBorders>
              <w:top w:val="single" w:sz="8" w:color="CCEEFF"/>
            </w:tcBorders>
            <w:shd w:val="clear" w:color="auto" w:fill="CCEEFF"/>
          </w:tcPr>
          <w:p>
            <w:pPr>
              <w:spacing w:after="0"/>
              <w:rPr>
                <w:sz w:val="8"/>
                <w:szCs w:val="8"/>
                <w:color w:val="auto"/>
              </w:rPr>
            </w:pPr>
          </w:p>
        </w:tc>
        <w:tc>
          <w:tcPr>
            <w:tcW w:w="1480" w:type="dxa"/>
            <w:vAlign w:val="bottom"/>
            <w:tcBorders>
              <w:top w:val="single" w:sz="8" w:color="auto"/>
            </w:tcBorders>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First Lien Term Loan</w:t>
            </w:r>
          </w:p>
        </w:tc>
        <w:tc>
          <w:tcPr>
            <w:tcW w:w="1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280 E. 1st Avenue, Suite</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58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58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SOFR+5.25%), 9.42%</w:t>
            </w:r>
          </w:p>
        </w:tc>
        <w:tc>
          <w:tcPr>
            <w:tcW w:w="10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3/25/2025</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10,000,000</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9,919,662</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9,977,000</w:t>
            </w:r>
          </w:p>
        </w:tc>
        <w:tc>
          <w:tcPr>
            <w:tcW w:w="2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w:t>
            </w: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1838, Broomfield, CO</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Cash,3/26/2030</w:t>
            </w: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80020</w:t>
            </w:r>
          </w:p>
        </w:tc>
        <w:tc>
          <w:tcPr>
            <w:tcW w:w="0" w:type="dxa"/>
            <w:vAlign w:val="bottom"/>
          </w:tcPr>
          <w:p>
            <w:pPr>
              <w:spacing w:after="0"/>
              <w:rPr>
                <w:sz w:val="1"/>
                <w:szCs w:val="1"/>
                <w:color w:val="auto"/>
              </w:rPr>
            </w:pPr>
          </w:p>
        </w:tc>
      </w:tr>
      <w:tr>
        <w:trPr>
          <w:trHeight w:val="106"/>
        </w:trPr>
        <w:tc>
          <w:tcPr>
            <w:tcW w:w="236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StockIQ Technologies, LLC (j)</w:t>
            </w:r>
          </w:p>
        </w:tc>
        <w:tc>
          <w:tcPr>
            <w:tcW w:w="120" w:type="dxa"/>
            <w:vAlign w:val="bottom"/>
          </w:tcPr>
          <w:p>
            <w:pPr>
              <w:spacing w:after="0"/>
              <w:rPr>
                <w:sz w:val="9"/>
                <w:szCs w:val="9"/>
                <w:color w:val="auto"/>
              </w:rPr>
            </w:pP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Supply Chain Planning</w:t>
            </w:r>
          </w:p>
        </w:tc>
        <w:tc>
          <w:tcPr>
            <w:tcW w:w="1580" w:type="dxa"/>
            <w:vAlign w:val="bottom"/>
            <w:gridSpan w:val="2"/>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58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8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SOFR+5.25%), 9.42% Cash,</w:t>
            </w: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auto"/>
              </w:rPr>
              <w:t>3/25/2025</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500,000</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495,798</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498,850</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3/26/2030</w:t>
            </w: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StockIQ Technologies, LLC (h)</w:t>
            </w: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Supply Chain Planning</w:t>
            </w:r>
          </w:p>
        </w:tc>
        <w:tc>
          <w:tcPr>
            <w:tcW w:w="1580" w:type="dxa"/>
            <w:vAlign w:val="bottom"/>
            <w:gridSpan w:val="2"/>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Class A Units</w:t>
            </w: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Software</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3/25/2025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200,000</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200,000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217,811</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580" w:type="dxa"/>
            <w:vAlign w:val="bottom"/>
            <w:gridSpan w:val="2"/>
          </w:tcPr>
          <w:p>
            <w:pPr>
              <w:ind w:left="100"/>
              <w:spacing w:after="0" w:line="87" w:lineRule="exact"/>
              <w:rPr>
                <w:sz w:val="20"/>
                <w:szCs w:val="20"/>
                <w:color w:val="auto"/>
              </w:rPr>
            </w:pPr>
            <w:r>
              <w:rPr>
                <w:rFonts w:ascii="Times New Roman" w:cs="Times New Roman" w:eastAsia="Times New Roman" w:hAnsi="Times New Roman"/>
                <w:sz w:val="10"/>
                <w:szCs w:val="10"/>
                <w:color w:val="auto"/>
              </w:rPr>
              <w:t>Total Supply Chain Planning</w:t>
            </w: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Software</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10,615,460</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10,693,661</w:t>
            </w:r>
          </w:p>
        </w:tc>
        <w:tc>
          <w:tcPr>
            <w:tcW w:w="20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2.6%</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60" w:type="dxa"/>
            <w:vAlign w:val="bottom"/>
            <w:tcBorders>
              <w:top w:val="single" w:sz="8" w:color="CCEEFF"/>
            </w:tcBorders>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JDXpert</w:t>
            </w:r>
          </w:p>
        </w:tc>
        <w:tc>
          <w:tcPr>
            <w:tcW w:w="1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Talent Acquisition</w:t>
            </w:r>
          </w:p>
        </w:tc>
        <w:tc>
          <w:tcPr>
            <w:tcW w:w="1580" w:type="dxa"/>
            <w:vAlign w:val="bottom"/>
            <w:tcBorders>
              <w:top w:val="single" w:sz="8" w:color="CCEEFF"/>
            </w:tcBorders>
            <w:gridSpan w:val="2"/>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First Lien Term Loan</w:t>
            </w:r>
          </w:p>
        </w:tc>
        <w:tc>
          <w:tcPr>
            <w:tcW w:w="10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801 Corporate Center</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58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58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SOFR+8.50%), 12.93% Cash,</w:t>
            </w:r>
          </w:p>
        </w:tc>
        <w:tc>
          <w:tcPr>
            <w:tcW w:w="10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5/2/2022</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6,000,000</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5,976,444</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6,000,000</w:t>
            </w:r>
          </w:p>
        </w:tc>
        <w:tc>
          <w:tcPr>
            <w:tcW w:w="2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w:t>
            </w: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Drive, Suite 130,</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5/2/2027</w:t>
            </w: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Raleigh, NC 27607</w:t>
            </w:r>
          </w:p>
        </w:tc>
        <w:tc>
          <w:tcPr>
            <w:tcW w:w="0" w:type="dxa"/>
            <w:vAlign w:val="bottom"/>
          </w:tcPr>
          <w:p>
            <w:pPr>
              <w:spacing w:after="0"/>
              <w:rPr>
                <w:sz w:val="1"/>
                <w:szCs w:val="1"/>
                <w:color w:val="auto"/>
              </w:rPr>
            </w:pPr>
          </w:p>
        </w:tc>
      </w:tr>
      <w:tr>
        <w:trPr>
          <w:trHeight w:val="106"/>
        </w:trPr>
        <w:tc>
          <w:tcPr>
            <w:tcW w:w="236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JDXpert (d)</w:t>
            </w:r>
          </w:p>
        </w:tc>
        <w:tc>
          <w:tcPr>
            <w:tcW w:w="120" w:type="dxa"/>
            <w:vAlign w:val="bottom"/>
          </w:tcPr>
          <w:p>
            <w:pPr>
              <w:spacing w:after="0"/>
              <w:rPr>
                <w:sz w:val="9"/>
                <w:szCs w:val="9"/>
                <w:color w:val="auto"/>
              </w:rPr>
            </w:pP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Talent Acquisition</w:t>
            </w:r>
          </w:p>
        </w:tc>
        <w:tc>
          <w:tcPr>
            <w:tcW w:w="1580" w:type="dxa"/>
            <w:vAlign w:val="bottom"/>
            <w:gridSpan w:val="2"/>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58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8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SOFR+8.50%), 12.93% Cash,</w:t>
            </w: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auto"/>
              </w:rPr>
              <w:t>5/2/2022</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1,000,000</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995,372</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20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0.2%</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5/2/2027</w:t>
            </w: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JDXpert (j)</w:t>
            </w: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Talent Acquisition</w:t>
            </w:r>
          </w:p>
        </w:tc>
        <w:tc>
          <w:tcPr>
            <w:tcW w:w="1580" w:type="dxa"/>
            <w:vAlign w:val="bottom"/>
            <w:gridSpan w:val="2"/>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58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58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SOFR+8.50%), 12.93% Cash,</w:t>
            </w:r>
          </w:p>
        </w:tc>
        <w:tc>
          <w:tcPr>
            <w:tcW w:w="10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5/2/2022</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500,000</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497,293</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500,000</w:t>
            </w: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5/2/2027</w:t>
            </w: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Jobvite, Inc.</w:t>
            </w:r>
          </w:p>
        </w:tc>
        <w:tc>
          <w:tcPr>
            <w:tcW w:w="120" w:type="dxa"/>
            <w:vAlign w:val="bottom"/>
          </w:tcPr>
          <w:p>
            <w:pPr>
              <w:spacing w:after="0"/>
              <w:rPr>
                <w:sz w:val="9"/>
                <w:szCs w:val="9"/>
                <w:color w:val="auto"/>
              </w:rPr>
            </w:pP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Talent Acquisition</w:t>
            </w:r>
          </w:p>
        </w:tc>
        <w:tc>
          <w:tcPr>
            <w:tcW w:w="1580" w:type="dxa"/>
            <w:vAlign w:val="bottom"/>
            <w:gridSpan w:val="2"/>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20N. Meridian St., Suite</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58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8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SOFR+7.50%), 11.67% Cash,</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#300, Indianapolis, IN</w:t>
            </w:r>
          </w:p>
        </w:tc>
        <w:tc>
          <w:tcPr>
            <w:tcW w:w="0" w:type="dxa"/>
            <w:vAlign w:val="bottom"/>
          </w:tcPr>
          <w:p>
            <w:pPr>
              <w:spacing w:after="0"/>
              <w:rPr>
                <w:sz w:val="1"/>
                <w:szCs w:val="1"/>
                <w:color w:val="auto"/>
              </w:rPr>
            </w:pPr>
          </w:p>
        </w:tc>
      </w:tr>
      <w:tr>
        <w:trPr>
          <w:trHeight w:val="153"/>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8/5/2028</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8/5/2022</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20,000,000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19,918,404</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19,830,000</w:t>
            </w:r>
          </w:p>
        </w:tc>
        <w:tc>
          <w:tcPr>
            <w:tcW w:w="20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4.8%</w:t>
            </w: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46204</w:t>
            </w:r>
          </w:p>
        </w:tc>
        <w:tc>
          <w:tcPr>
            <w:tcW w:w="0" w:type="dxa"/>
            <w:vAlign w:val="bottom"/>
          </w:tcPr>
          <w:p>
            <w:pPr>
              <w:spacing w:after="0"/>
              <w:rPr>
                <w:sz w:val="1"/>
                <w:szCs w:val="1"/>
                <w:color w:val="auto"/>
              </w:rPr>
            </w:pPr>
          </w:p>
        </w:tc>
      </w:tr>
      <w:tr>
        <w:trPr>
          <w:trHeight w:val="86"/>
        </w:trPr>
        <w:tc>
          <w:tcPr>
            <w:tcW w:w="23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CCEEFF"/>
            </w:tcBorders>
            <w:gridSpan w:val="2"/>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Total Talent Acquisition</w:t>
            </w:r>
          </w:p>
        </w:tc>
        <w:tc>
          <w:tcPr>
            <w:tcW w:w="10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2"/>
                <w:szCs w:val="12"/>
                <w:color w:val="auto"/>
              </w:rPr>
              <w:t>Software</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27,387,513</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27,330,000</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6.7%</w:t>
            </w: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6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1"/>
                <w:szCs w:val="11"/>
                <w:color w:val="auto"/>
              </w:rPr>
              <w:t>VetnCare MSO, LLC</w:t>
            </w:r>
          </w:p>
        </w:tc>
        <w:tc>
          <w:tcPr>
            <w:tcW w:w="12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1"/>
                <w:szCs w:val="11"/>
                <w:color w:val="auto"/>
              </w:rPr>
              <w:t>Veterinary Services</w:t>
            </w:r>
          </w:p>
        </w:tc>
        <w:tc>
          <w:tcPr>
            <w:tcW w:w="1580" w:type="dxa"/>
            <w:vAlign w:val="bottom"/>
            <w:tcBorders>
              <w:top w:val="single" w:sz="8" w:color="CCEEFF"/>
            </w:tcBorders>
            <w:gridSpan w:val="2"/>
            <w:shd w:val="clear" w:color="auto" w:fill="CCEEFF"/>
          </w:tcPr>
          <w:p>
            <w:pPr>
              <w:ind w:left="100"/>
              <w:spacing w:after="0" w:line="95" w:lineRule="exact"/>
              <w:rPr>
                <w:sz w:val="20"/>
                <w:szCs w:val="20"/>
                <w:color w:val="auto"/>
              </w:rPr>
            </w:pPr>
            <w:r>
              <w:rPr>
                <w:rFonts w:ascii="Times New Roman" w:cs="Times New Roman" w:eastAsia="Times New Roman" w:hAnsi="Times New Roman"/>
                <w:sz w:val="11"/>
                <w:szCs w:val="11"/>
                <w:color w:val="auto"/>
              </w:rPr>
              <w:t>Delayed Draw Term Loan</w:t>
            </w:r>
          </w:p>
        </w:tc>
        <w:tc>
          <w:tcPr>
            <w:tcW w:w="1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2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58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160 Franklin St #300,</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58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SOFR+5.75%), 9.92% Cash,</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5/12/2028</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5/12/2023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13,290,655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13,231,743</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13,361,095</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3.2%</w:t>
            </w: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Oakland, CA 94607</w:t>
            </w:r>
          </w:p>
        </w:tc>
        <w:tc>
          <w:tcPr>
            <w:tcW w:w="0" w:type="dxa"/>
            <w:vAlign w:val="bottom"/>
          </w:tcPr>
          <w:p>
            <w:pPr>
              <w:spacing w:after="0"/>
              <w:rPr>
                <w:sz w:val="1"/>
                <w:szCs w:val="1"/>
                <w:color w:val="auto"/>
              </w:rPr>
            </w:pPr>
          </w:p>
        </w:tc>
      </w:tr>
      <w:tr>
        <w:trPr>
          <w:trHeight w:val="115"/>
        </w:trPr>
        <w:tc>
          <w:tcPr>
            <w:tcW w:w="23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1580" w:type="dxa"/>
            <w:vAlign w:val="bottom"/>
            <w:tcBorders>
              <w:bottom w:val="single" w:sz="8" w:color="CCEEFF"/>
            </w:tcBorders>
            <w:gridSpan w:val="2"/>
          </w:tcPr>
          <w:p>
            <w:pPr>
              <w:ind w:left="100"/>
              <w:spacing w:after="0" w:line="115" w:lineRule="exact"/>
              <w:rPr>
                <w:sz w:val="20"/>
                <w:szCs w:val="20"/>
                <w:color w:val="auto"/>
              </w:rPr>
            </w:pPr>
            <w:r>
              <w:rPr>
                <w:rFonts w:ascii="Times New Roman" w:cs="Times New Roman" w:eastAsia="Times New Roman" w:hAnsi="Times New Roman"/>
                <w:sz w:val="12"/>
                <w:szCs w:val="12"/>
                <w:color w:val="auto"/>
              </w:rPr>
              <w:t>Total Veterinary Services</w:t>
            </w:r>
          </w:p>
        </w:tc>
        <w:tc>
          <w:tcPr>
            <w:tcW w:w="10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13,231,743</w:t>
            </w:r>
          </w:p>
        </w:tc>
        <w:tc>
          <w:tcPr>
            <w:tcW w:w="20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13,361,095</w:t>
            </w:r>
          </w:p>
        </w:tc>
        <w:tc>
          <w:tcPr>
            <w:tcW w:w="20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3.2</w:t>
            </w:r>
          </w:p>
        </w:tc>
        <w:tc>
          <w:tcPr>
            <w:tcW w:w="220" w:type="dxa"/>
            <w:vAlign w:val="bottom"/>
            <w:tcBorders>
              <w:bottom w:val="single" w:sz="8" w:color="CCEEFF"/>
            </w:tcBorders>
          </w:tcPr>
          <w:p>
            <w:pPr>
              <w:jc w:val="right"/>
              <w:ind w:right="60"/>
              <w:spacing w:after="0" w:line="115" w:lineRule="exact"/>
              <w:rPr>
                <w:sz w:val="20"/>
                <w:szCs w:val="20"/>
                <w:color w:val="auto"/>
              </w:rPr>
            </w:pPr>
            <w:r>
              <w:rPr>
                <w:rFonts w:ascii="Times New Roman" w:cs="Times New Roman" w:eastAsia="Times New Roman" w:hAnsi="Times New Roman"/>
                <w:sz w:val="12"/>
                <w:szCs w:val="12"/>
                <w:color w:val="auto"/>
                <w:w w:val="79"/>
              </w:rPr>
              <w:t>%</w:t>
            </w:r>
          </w:p>
        </w:tc>
        <w:tc>
          <w:tcPr>
            <w:tcW w:w="12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360" w:type="dxa"/>
            <w:vAlign w:val="bottom"/>
            <w:shd w:val="clear" w:color="auto" w:fill="CCEEFF"/>
          </w:tcPr>
          <w:p>
            <w:pPr>
              <w:spacing w:after="0" w:line="83" w:lineRule="exact"/>
              <w:rPr>
                <w:sz w:val="20"/>
                <w:szCs w:val="20"/>
                <w:color w:val="auto"/>
              </w:rPr>
            </w:pPr>
            <w:r>
              <w:rPr>
                <w:rFonts w:ascii="Times New Roman" w:cs="Times New Roman" w:eastAsia="Times New Roman" w:hAnsi="Times New Roman"/>
                <w:sz w:val="9"/>
                <w:szCs w:val="9"/>
                <w:b w:val="1"/>
                <w:bCs w:val="1"/>
                <w:color w:val="auto"/>
              </w:rPr>
              <w:t>Sub Total Non-control/Non-affiliate</w:t>
            </w: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223.7%</w:t>
            </w: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909,610,785</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921,123,120</w:t>
            </w:r>
          </w:p>
        </w:tc>
        <w:tc>
          <w:tcPr>
            <w:tcW w:w="2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360" w:type="dxa"/>
            <w:vAlign w:val="bottom"/>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Affiliate investments - 12.8% (b)</w:t>
            </w: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36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ETU Holdings, Inc. (f)</w:t>
            </w: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Corporate Education</w:t>
            </w:r>
          </w:p>
        </w:tc>
        <w:tc>
          <w:tcPr>
            <w:tcW w:w="1580" w:type="dxa"/>
            <w:vAlign w:val="bottom"/>
            <w:gridSpan w:val="2"/>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5th Floor, The Tower,</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58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Trinity Technology &amp;</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58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SOFR+9.00%), 13.32% Cash,</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Enterprise Campus,</w:t>
            </w: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58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8/18/2027</w:t>
            </w:r>
          </w:p>
        </w:tc>
        <w:tc>
          <w:tcPr>
            <w:tcW w:w="10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8/18/2022</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7,100,000</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7,069,574</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7,100,000</w:t>
            </w:r>
          </w:p>
        </w:tc>
        <w:tc>
          <w:tcPr>
            <w:tcW w:w="2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w:t>
            </w: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Pearse Street, Dublin</w:t>
            </w: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D02 K1W7</w:t>
            </w:r>
          </w:p>
        </w:tc>
        <w:tc>
          <w:tcPr>
            <w:tcW w:w="0" w:type="dxa"/>
            <w:vAlign w:val="bottom"/>
          </w:tcPr>
          <w:p>
            <w:pPr>
              <w:spacing w:after="0"/>
              <w:rPr>
                <w:sz w:val="1"/>
                <w:szCs w:val="1"/>
                <w:color w:val="auto"/>
              </w:rPr>
            </w:pPr>
          </w:p>
        </w:tc>
      </w:tr>
      <w:tr>
        <w:trPr>
          <w:trHeight w:val="106"/>
        </w:trPr>
        <w:tc>
          <w:tcPr>
            <w:tcW w:w="236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ETU Holdings, Inc. (f)</w:t>
            </w:r>
          </w:p>
        </w:tc>
        <w:tc>
          <w:tcPr>
            <w:tcW w:w="120" w:type="dxa"/>
            <w:vAlign w:val="bottom"/>
          </w:tcPr>
          <w:p>
            <w:pPr>
              <w:spacing w:after="0"/>
              <w:rPr>
                <w:sz w:val="9"/>
                <w:szCs w:val="9"/>
                <w:color w:val="auto"/>
              </w:rPr>
            </w:pP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Corporate Education</w:t>
            </w:r>
          </w:p>
        </w:tc>
        <w:tc>
          <w:tcPr>
            <w:tcW w:w="1580" w:type="dxa"/>
            <w:vAlign w:val="bottom"/>
            <w:gridSpan w:val="2"/>
          </w:tcPr>
          <w:p>
            <w:pPr>
              <w:ind w:left="100"/>
              <w:spacing w:after="0" w:line="107" w:lineRule="exact"/>
              <w:rPr>
                <w:sz w:val="20"/>
                <w:szCs w:val="20"/>
                <w:color w:val="auto"/>
              </w:rPr>
            </w:pPr>
            <w:r>
              <w:rPr>
                <w:rFonts w:ascii="Times New Roman" w:cs="Times New Roman" w:eastAsia="Times New Roman" w:hAnsi="Times New Roman"/>
                <w:sz w:val="12"/>
                <w:szCs w:val="12"/>
                <w:color w:val="auto"/>
              </w:rPr>
              <w:t>Second Lien Term Loan</w:t>
            </w: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auto"/>
              </w:rPr>
              <w:t>8/18/2022</w:t>
            </w:r>
          </w:p>
        </w:tc>
        <w:tc>
          <w:tcPr>
            <w:tcW w:w="120" w:type="dxa"/>
            <w:vAlign w:val="bottom"/>
          </w:tcPr>
          <w:p>
            <w:pPr>
              <w:spacing w:after="0"/>
              <w:rPr>
                <w:sz w:val="9"/>
                <w:szCs w:val="9"/>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7,967,627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7,942,170</w:t>
            </w:r>
          </w:p>
        </w:tc>
        <w:tc>
          <w:tcPr>
            <w:tcW w:w="2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7,637,768</w:t>
            </w:r>
          </w:p>
        </w:tc>
        <w:tc>
          <w:tcPr>
            <w:tcW w:w="200" w:type="dxa"/>
            <w:vAlign w:val="bottom"/>
          </w:tcPr>
          <w:p>
            <w:pPr>
              <w:spacing w:after="0"/>
              <w:rPr>
                <w:sz w:val="9"/>
                <w:szCs w:val="9"/>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1.8%</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Software</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15.00% PIK, 2/18/2028</w:t>
            </w: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ETU Holdings, Inc. (f)(h)</w:t>
            </w: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Corporate Education</w:t>
            </w:r>
          </w:p>
        </w:tc>
        <w:tc>
          <w:tcPr>
            <w:tcW w:w="1580" w:type="dxa"/>
            <w:vAlign w:val="bottom"/>
            <w:gridSpan w:val="2"/>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Series B Preferred Units</w:t>
            </w:r>
          </w:p>
        </w:tc>
        <w:tc>
          <w:tcPr>
            <w:tcW w:w="10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11/21/2025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854,300</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3,000,000</w:t>
            </w:r>
          </w:p>
        </w:tc>
        <w:tc>
          <w:tcPr>
            <w:tcW w:w="20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0.0%</w:t>
            </w: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Software</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ETU Holdings, Inc. (f)(h)</w:t>
            </w:r>
          </w:p>
        </w:tc>
        <w:tc>
          <w:tcPr>
            <w:tcW w:w="120" w:type="dxa"/>
            <w:vAlign w:val="bottom"/>
          </w:tcPr>
          <w:p>
            <w:pPr>
              <w:spacing w:after="0"/>
              <w:rPr>
                <w:sz w:val="9"/>
                <w:szCs w:val="9"/>
                <w:color w:val="auto"/>
              </w:rPr>
            </w:pP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Corporate Education</w:t>
            </w:r>
          </w:p>
        </w:tc>
        <w:tc>
          <w:tcPr>
            <w:tcW w:w="1580" w:type="dxa"/>
            <w:vAlign w:val="bottom"/>
            <w:gridSpan w:val="2"/>
          </w:tcPr>
          <w:p>
            <w:pPr>
              <w:ind w:left="100"/>
              <w:spacing w:after="0" w:line="107" w:lineRule="exact"/>
              <w:rPr>
                <w:sz w:val="20"/>
                <w:szCs w:val="20"/>
                <w:color w:val="auto"/>
              </w:rPr>
            </w:pPr>
            <w:r>
              <w:rPr>
                <w:rFonts w:ascii="Times New Roman" w:cs="Times New Roman" w:eastAsia="Times New Roman" w:hAnsi="Times New Roman"/>
                <w:sz w:val="12"/>
                <w:szCs w:val="12"/>
                <w:color w:val="auto"/>
              </w:rPr>
              <w:t>Series C Preferred Units</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Software</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11/21/2025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730,280</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730,280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730,280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0.2%</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580" w:type="dxa"/>
            <w:vAlign w:val="bottom"/>
            <w:tcBorders>
              <w:top w:val="single" w:sz="8" w:color="CCEEFF"/>
            </w:tcBorders>
            <w:gridSpan w:val="2"/>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Total Corporate Education</w:t>
            </w:r>
          </w:p>
        </w:tc>
        <w:tc>
          <w:tcPr>
            <w:tcW w:w="10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Software</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18,742,024</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15,468,048</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3.7%</w:t>
            </w: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60" w:type="dxa"/>
            <w:vAlign w:val="bottom"/>
          </w:tcPr>
          <w:p>
            <w:pPr>
              <w:spacing w:after="0" w:line="87" w:lineRule="exact"/>
              <w:rPr>
                <w:sz w:val="20"/>
                <w:szCs w:val="20"/>
                <w:color w:val="auto"/>
              </w:rPr>
            </w:pPr>
            <w:r>
              <w:rPr>
                <w:rFonts w:ascii="Times New Roman" w:cs="Times New Roman" w:eastAsia="Times New Roman" w:hAnsi="Times New Roman"/>
                <w:sz w:val="10"/>
                <w:szCs w:val="10"/>
                <w:color w:val="auto"/>
              </w:rPr>
              <w:t>Axero Holdings, LLC (f)</w:t>
            </w:r>
          </w:p>
        </w:tc>
        <w:tc>
          <w:tcPr>
            <w:tcW w:w="120" w:type="dxa"/>
            <w:vAlign w:val="bottom"/>
          </w:tcPr>
          <w:p>
            <w:pPr>
              <w:spacing w:after="0"/>
              <w:rPr>
                <w:sz w:val="7"/>
                <w:szCs w:val="7"/>
                <w:color w:val="auto"/>
              </w:rPr>
            </w:pPr>
          </w:p>
        </w:tc>
        <w:tc>
          <w:tcPr>
            <w:tcW w:w="1240" w:type="dxa"/>
            <w:vAlign w:val="bottom"/>
          </w:tcPr>
          <w:p>
            <w:pPr>
              <w:spacing w:after="0" w:line="87" w:lineRule="exact"/>
              <w:rPr>
                <w:sz w:val="20"/>
                <w:szCs w:val="20"/>
                <w:color w:val="auto"/>
              </w:rPr>
            </w:pPr>
            <w:r>
              <w:rPr>
                <w:rFonts w:ascii="Times New Roman" w:cs="Times New Roman" w:eastAsia="Times New Roman" w:hAnsi="Times New Roman"/>
                <w:sz w:val="10"/>
                <w:szCs w:val="10"/>
                <w:color w:val="auto"/>
              </w:rPr>
              <w:t>Employee Collaboration</w:t>
            </w:r>
          </w:p>
        </w:tc>
        <w:tc>
          <w:tcPr>
            <w:tcW w:w="1580" w:type="dxa"/>
            <w:vAlign w:val="bottom"/>
            <w:gridSpan w:val="2"/>
          </w:tcPr>
          <w:p>
            <w:pPr>
              <w:ind w:left="100"/>
              <w:spacing w:after="0" w:line="87" w:lineRule="exact"/>
              <w:rPr>
                <w:sz w:val="20"/>
                <w:szCs w:val="20"/>
                <w:color w:val="auto"/>
              </w:rPr>
            </w:pPr>
            <w:r>
              <w:rPr>
                <w:rFonts w:ascii="Times New Roman" w:cs="Times New Roman" w:eastAsia="Times New Roman" w:hAnsi="Times New Roman"/>
                <w:sz w:val="10"/>
                <w:szCs w:val="10"/>
                <w:color w:val="auto"/>
              </w:rPr>
              <w:t>First Lien Term Loan</w:t>
            </w: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401 Park Avenue South,</w:t>
            </w: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58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4.50% Cash, (3M USD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8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TERM SOFR + 2.50%) PIK,</w:t>
            </w: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auto"/>
              </w:rPr>
              <w:t>6/30/2021</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16,781,389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16,766,466</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16,840,124</w:t>
            </w:r>
          </w:p>
        </w:tc>
        <w:tc>
          <w:tcPr>
            <w:tcW w:w="20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4.2%</w:t>
            </w: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10th Floor, New York,</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12/31/2027</w:t>
            </w: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NY 10016</w:t>
            </w:r>
          </w:p>
        </w:tc>
        <w:tc>
          <w:tcPr>
            <w:tcW w:w="0" w:type="dxa"/>
            <w:vAlign w:val="bottom"/>
          </w:tcPr>
          <w:p>
            <w:pPr>
              <w:spacing w:after="0"/>
              <w:rPr>
                <w:sz w:val="1"/>
                <w:szCs w:val="1"/>
                <w:color w:val="auto"/>
              </w:rPr>
            </w:pPr>
          </w:p>
        </w:tc>
      </w:tr>
      <w:tr>
        <w:trPr>
          <w:trHeight w:val="106"/>
        </w:trPr>
        <w:tc>
          <w:tcPr>
            <w:tcW w:w="236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Axero Holdings, LLC (f)</w:t>
            </w: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Employee Collaboration</w:t>
            </w:r>
          </w:p>
        </w:tc>
        <w:tc>
          <w:tcPr>
            <w:tcW w:w="1580" w:type="dxa"/>
            <w:vAlign w:val="bottom"/>
            <w:gridSpan w:val="2"/>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58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4.50% Cash, (3M USD</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58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TERM SOFR + 2.50%) PIK,</w:t>
            </w:r>
          </w:p>
        </w:tc>
        <w:tc>
          <w:tcPr>
            <w:tcW w:w="10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6/30/2021</w:t>
            </w:r>
          </w:p>
        </w:tc>
        <w:tc>
          <w:tcPr>
            <w:tcW w:w="12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1,190,937</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1,187,366</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1,195,105</w:t>
            </w:r>
          </w:p>
        </w:tc>
        <w:tc>
          <w:tcPr>
            <w:tcW w:w="2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0.3%</w:t>
            </w: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12/31/2027</w:t>
            </w: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Axero Holdings, LLC (f)(j)</w:t>
            </w:r>
          </w:p>
        </w:tc>
        <w:tc>
          <w:tcPr>
            <w:tcW w:w="120" w:type="dxa"/>
            <w:vAlign w:val="bottom"/>
          </w:tcPr>
          <w:p>
            <w:pPr>
              <w:spacing w:after="0"/>
              <w:rPr>
                <w:sz w:val="9"/>
                <w:szCs w:val="9"/>
                <w:color w:val="auto"/>
              </w:rPr>
            </w:pPr>
          </w:p>
        </w:tc>
        <w:tc>
          <w:tcPr>
            <w:tcW w:w="124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Employee Collaboration</w:t>
            </w:r>
          </w:p>
        </w:tc>
        <w:tc>
          <w:tcPr>
            <w:tcW w:w="1580" w:type="dxa"/>
            <w:vAlign w:val="bottom"/>
            <w:gridSpan w:val="2"/>
          </w:tcPr>
          <w:p>
            <w:pPr>
              <w:ind w:left="100"/>
              <w:spacing w:after="0" w:line="107" w:lineRule="exact"/>
              <w:rPr>
                <w:sz w:val="20"/>
                <w:szCs w:val="20"/>
                <w:color w:val="auto"/>
              </w:rPr>
            </w:pPr>
            <w:r>
              <w:rPr>
                <w:rFonts w:ascii="Times New Roman" w:cs="Times New Roman" w:eastAsia="Times New Roman" w:hAnsi="Times New Roman"/>
                <w:sz w:val="12"/>
                <w:szCs w:val="12"/>
                <w:color w:val="auto"/>
              </w:rPr>
              <w:t>Revolving Credit Facility</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Software</w:t>
            </w:r>
          </w:p>
        </w:tc>
        <w:tc>
          <w:tcPr>
            <w:tcW w:w="158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4.50% Cash, (3M USD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8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TERM SOFR + 2.50%) PIK,</w:t>
            </w: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auto"/>
              </w:rPr>
              <w:t>2/3/2022</w:t>
            </w:r>
          </w:p>
        </w:tc>
        <w:tc>
          <w:tcPr>
            <w:tcW w:w="12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0.0%</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12/31/2027</w:t>
            </w: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38"/>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Investment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Original</w:t>
            </w:r>
          </w:p>
        </w:tc>
        <w:tc>
          <w:tcPr>
            <w:tcW w:w="8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Fair</w:t>
            </w:r>
          </w:p>
        </w:tc>
        <w:tc>
          <w:tcPr>
            <w:tcW w:w="82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 of</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3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Company(1)</w:t>
            </w:r>
          </w:p>
        </w:tc>
        <w:tc>
          <w:tcPr>
            <w:tcW w:w="100" w:type="dxa"/>
            <w:vAlign w:val="bottom"/>
          </w:tcPr>
          <w:p>
            <w:pPr>
              <w:spacing w:after="0"/>
              <w:rPr>
                <w:sz w:val="10"/>
                <w:szCs w:val="10"/>
                <w:color w:val="auto"/>
              </w:rPr>
            </w:pP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100" w:type="dxa"/>
            <w:vAlign w:val="bottom"/>
          </w:tcPr>
          <w:p>
            <w:pPr>
              <w:spacing w:after="0"/>
              <w:rPr>
                <w:sz w:val="10"/>
                <w:szCs w:val="10"/>
                <w:color w:val="auto"/>
              </w:rPr>
            </w:pPr>
          </w:p>
        </w:tc>
        <w:tc>
          <w:tcPr>
            <w:tcW w:w="154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Interest Rate/</w:t>
            </w:r>
          </w:p>
        </w:tc>
        <w:tc>
          <w:tcPr>
            <w:tcW w:w="98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80" w:type="dxa"/>
            <w:vAlign w:val="bottom"/>
          </w:tcPr>
          <w:p>
            <w:pPr>
              <w:spacing w:after="0"/>
              <w:rPr>
                <w:sz w:val="10"/>
                <w:szCs w:val="10"/>
                <w:color w:val="auto"/>
              </w:rPr>
            </w:pPr>
          </w:p>
        </w:tc>
        <w:tc>
          <w:tcPr>
            <w:tcW w:w="74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00" w:type="dxa"/>
            <w:vAlign w:val="bottom"/>
          </w:tcPr>
          <w:p>
            <w:pPr>
              <w:spacing w:after="0"/>
              <w:rPr>
                <w:sz w:val="10"/>
                <w:szCs w:val="10"/>
                <w:color w:val="auto"/>
              </w:rPr>
            </w:pPr>
          </w:p>
        </w:tc>
        <w:tc>
          <w:tcPr>
            <w:tcW w:w="800" w:type="dxa"/>
            <w:vAlign w:val="bottom"/>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Company Address</w:t>
            </w:r>
          </w:p>
        </w:tc>
        <w:tc>
          <w:tcPr>
            <w:tcW w:w="0" w:type="dxa"/>
            <w:vAlign w:val="bottom"/>
          </w:tcPr>
          <w:p>
            <w:pPr>
              <w:spacing w:after="0"/>
              <w:rPr>
                <w:sz w:val="1"/>
                <w:szCs w:val="1"/>
                <w:color w:val="auto"/>
              </w:rPr>
            </w:pPr>
          </w:p>
        </w:tc>
      </w:tr>
      <w:tr>
        <w:trPr>
          <w:trHeight w:val="146"/>
        </w:trPr>
        <w:tc>
          <w:tcPr>
            <w:tcW w:w="23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Maturity</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Value (c)</w:t>
            </w:r>
          </w:p>
        </w:tc>
        <w:tc>
          <w:tcPr>
            <w:tcW w:w="2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Net Assets</w:t>
            </w:r>
          </w:p>
        </w:tc>
        <w:tc>
          <w:tcPr>
            <w:tcW w:w="160" w:type="dxa"/>
            <w:vAlign w:val="bottom"/>
            <w:tcBorders>
              <w:bottom w:val="single" w:sz="8" w:color="CCEEFF"/>
            </w:tcBorders>
            <w:gridSpan w:val="2"/>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3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Axero Holdings, LLC (f)(h)</w:t>
            </w:r>
          </w:p>
        </w:tc>
        <w:tc>
          <w:tcPr>
            <w:tcW w:w="1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Employee Collaboration</w:t>
            </w:r>
          </w:p>
        </w:tc>
        <w:tc>
          <w:tcPr>
            <w:tcW w:w="100" w:type="dxa"/>
            <w:vAlign w:val="bottom"/>
            <w:shd w:val="clear" w:color="auto" w:fill="CCEEFF"/>
          </w:tcPr>
          <w:p>
            <w:pPr>
              <w:spacing w:after="0"/>
              <w:rPr>
                <w:sz w:val="8"/>
                <w:szCs w:val="8"/>
                <w:color w:val="auto"/>
              </w:rPr>
            </w:pPr>
          </w:p>
        </w:tc>
        <w:tc>
          <w:tcPr>
            <w:tcW w:w="14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Series A Preferred Units</w:t>
            </w:r>
          </w:p>
        </w:tc>
        <w:tc>
          <w:tcPr>
            <w:tcW w:w="10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6/30/2021</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2,055,609</w:t>
            </w:r>
          </w:p>
        </w:tc>
        <w:tc>
          <w:tcPr>
            <w:tcW w:w="12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2,055,609</w:t>
            </w:r>
          </w:p>
        </w:tc>
        <w:tc>
          <w:tcPr>
            <w:tcW w:w="100" w:type="dxa"/>
            <w:vAlign w:val="bottom"/>
            <w:shd w:val="clear" w:color="auto" w:fill="CCEEFF"/>
          </w:tcPr>
          <w:p>
            <w:pPr>
              <w:spacing w:after="0"/>
              <w:rPr>
                <w:sz w:val="8"/>
                <w:szCs w:val="8"/>
                <w:color w:val="auto"/>
              </w:rPr>
            </w:pPr>
          </w:p>
        </w:tc>
        <w:tc>
          <w:tcPr>
            <w:tcW w:w="11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3,987,881</w:t>
            </w:r>
          </w:p>
        </w:tc>
        <w:tc>
          <w:tcPr>
            <w:tcW w:w="8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w:t>
            </w:r>
          </w:p>
        </w:tc>
        <w:tc>
          <w:tcPr>
            <w:tcW w:w="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Software</w:t>
            </w: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3"/>
            <w:vMerge w:val="continue"/>
            <w:shd w:val="clear" w:color="auto" w:fill="CCEEFF"/>
          </w:tcPr>
          <w:p>
            <w:pPr>
              <w:spacing w:after="0"/>
              <w:rPr>
                <w:sz w:val="12"/>
                <w:szCs w:val="12"/>
                <w:color w:val="auto"/>
              </w:rPr>
            </w:pPr>
          </w:p>
        </w:tc>
        <w:tc>
          <w:tcPr>
            <w:tcW w:w="820" w:type="dxa"/>
            <w:vAlign w:val="bottom"/>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0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Axero Holdings, LLC (f)(h)</w:t>
            </w:r>
          </w:p>
        </w:tc>
        <w:tc>
          <w:tcPr>
            <w:tcW w:w="1320" w:type="dxa"/>
            <w:vAlign w:val="bottom"/>
            <w:gridSpan w:val="2"/>
          </w:tcPr>
          <w:p>
            <w:pPr>
              <w:ind w:left="100"/>
              <w:spacing w:after="0" w:line="107" w:lineRule="exact"/>
              <w:rPr>
                <w:sz w:val="20"/>
                <w:szCs w:val="20"/>
                <w:color w:val="auto"/>
              </w:rPr>
            </w:pPr>
            <w:r>
              <w:rPr>
                <w:rFonts w:ascii="Times New Roman" w:cs="Times New Roman" w:eastAsia="Times New Roman" w:hAnsi="Times New Roman"/>
                <w:sz w:val="12"/>
                <w:szCs w:val="12"/>
                <w:color w:val="auto"/>
              </w:rPr>
              <w:t>Employee Collaboration</w:t>
            </w:r>
          </w:p>
        </w:tc>
        <w:tc>
          <w:tcPr>
            <w:tcW w:w="164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Series B Preferred Units</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Software</w:t>
            </w: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6/30/2021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2,055,609</w:t>
            </w:r>
          </w:p>
        </w:tc>
        <w:tc>
          <w:tcPr>
            <w:tcW w:w="1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2,055,609</w:t>
            </w:r>
          </w:p>
        </w:tc>
        <w:tc>
          <w:tcPr>
            <w:tcW w:w="100" w:type="dxa"/>
            <w:vAlign w:val="bottom"/>
          </w:tcPr>
          <w:p>
            <w:pPr>
              <w:spacing w:after="0"/>
              <w:rPr>
                <w:sz w:val="13"/>
                <w:szCs w:val="13"/>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6,318,879</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1.5%</w:t>
            </w: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CCEEFF"/>
            </w:tcBorders>
            <w:shd w:val="clear" w:color="auto" w:fill="CCEEFF"/>
          </w:tcPr>
          <w:p>
            <w:pPr>
              <w:spacing w:after="0"/>
              <w:rPr>
                <w:sz w:val="7"/>
                <w:szCs w:val="7"/>
                <w:color w:val="auto"/>
              </w:rPr>
            </w:pPr>
          </w:p>
        </w:tc>
        <w:tc>
          <w:tcPr>
            <w:tcW w:w="1640" w:type="dxa"/>
            <w:vAlign w:val="bottom"/>
            <w:tcBorders>
              <w:top w:val="single" w:sz="8" w:color="CCEEFF"/>
            </w:tcBorders>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Total Employee</w:t>
            </w:r>
          </w:p>
        </w:tc>
        <w:tc>
          <w:tcPr>
            <w:tcW w:w="8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Collaboration Software</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22,065,050</w:t>
            </w:r>
          </w:p>
        </w:tc>
        <w:tc>
          <w:tcPr>
            <w:tcW w:w="10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28,341,989</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7.0%</w:t>
            </w: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00" w:type="dxa"/>
            <w:vAlign w:val="bottom"/>
          </w:tcPr>
          <w:p>
            <w:pPr>
              <w:spacing w:after="0" w:line="87" w:lineRule="exact"/>
              <w:rPr>
                <w:sz w:val="20"/>
                <w:szCs w:val="20"/>
                <w:color w:val="auto"/>
              </w:rPr>
            </w:pPr>
            <w:r>
              <w:rPr>
                <w:rFonts w:ascii="Times New Roman" w:cs="Times New Roman" w:eastAsia="Times New Roman" w:hAnsi="Times New Roman"/>
                <w:sz w:val="10"/>
                <w:szCs w:val="10"/>
                <w:color w:val="auto"/>
              </w:rPr>
              <w:t>SmartAC.com, LLC (f)</w:t>
            </w:r>
          </w:p>
        </w:tc>
        <w:tc>
          <w:tcPr>
            <w:tcW w:w="1320" w:type="dxa"/>
            <w:vAlign w:val="bottom"/>
            <w:gridSpan w:val="2"/>
          </w:tcPr>
          <w:p>
            <w:pPr>
              <w:ind w:left="100"/>
              <w:spacing w:after="0" w:line="87" w:lineRule="exact"/>
              <w:rPr>
                <w:sz w:val="20"/>
                <w:szCs w:val="20"/>
                <w:color w:val="auto"/>
              </w:rPr>
            </w:pPr>
            <w:r>
              <w:rPr>
                <w:rFonts w:ascii="Times New Roman" w:cs="Times New Roman" w:eastAsia="Times New Roman" w:hAnsi="Times New Roman"/>
                <w:sz w:val="10"/>
                <w:szCs w:val="10"/>
                <w:color w:val="auto"/>
              </w:rPr>
              <w:t>HVAC Monitoring</w:t>
            </w:r>
          </w:p>
        </w:tc>
        <w:tc>
          <w:tcPr>
            <w:tcW w:w="1640" w:type="dxa"/>
            <w:vAlign w:val="bottom"/>
            <w:gridSpan w:val="3"/>
          </w:tcPr>
          <w:p>
            <w:pPr>
              <w:ind w:left="100"/>
              <w:spacing w:after="0" w:line="87" w:lineRule="exact"/>
              <w:rPr>
                <w:sz w:val="20"/>
                <w:szCs w:val="20"/>
                <w:color w:val="auto"/>
              </w:rPr>
            </w:pPr>
            <w:r>
              <w:rPr>
                <w:rFonts w:ascii="Times New Roman" w:cs="Times New Roman" w:eastAsia="Times New Roman" w:hAnsi="Times New Roman"/>
                <w:sz w:val="10"/>
                <w:szCs w:val="10"/>
                <w:color w:val="auto"/>
              </w:rPr>
              <w:t>First Lien Term Loan</w:t>
            </w: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132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Devices</w:t>
            </w:r>
          </w:p>
        </w:tc>
        <w:tc>
          <w:tcPr>
            <w:tcW w:w="164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5302 Egbert Street,</w:t>
            </w: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4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SOFR+7.50%), 11.67%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4/7/2025</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5,397,087</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5,358,979</w:t>
            </w:r>
          </w:p>
        </w:tc>
        <w:tc>
          <w:tcPr>
            <w:tcW w:w="100" w:type="dxa"/>
            <w:vAlign w:val="bottom"/>
          </w:tcPr>
          <w:p>
            <w:pPr>
              <w:spacing w:after="0"/>
              <w:rPr>
                <w:sz w:val="10"/>
                <w:szCs w:val="10"/>
                <w:color w:val="auto"/>
              </w:rPr>
            </w:pPr>
          </w:p>
        </w:tc>
        <w:tc>
          <w:tcPr>
            <w:tcW w:w="11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5,378,737</w:t>
            </w:r>
          </w:p>
        </w:tc>
        <w:tc>
          <w:tcPr>
            <w:tcW w:w="8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1.3%</w:t>
            </w: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Cash, 4/7/2030</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Houston, TX 77007</w:t>
            </w:r>
          </w:p>
        </w:tc>
        <w:tc>
          <w:tcPr>
            <w:tcW w:w="0" w:type="dxa"/>
            <w:vAlign w:val="bottom"/>
          </w:tcPr>
          <w:p>
            <w:pPr>
              <w:spacing w:after="0"/>
              <w:rPr>
                <w:sz w:val="1"/>
                <w:szCs w:val="1"/>
                <w:color w:val="auto"/>
              </w:rPr>
            </w:pPr>
          </w:p>
        </w:tc>
      </w:tr>
      <w:tr>
        <w:trPr>
          <w:trHeight w:val="106"/>
        </w:trPr>
        <w:tc>
          <w:tcPr>
            <w:tcW w:w="230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SmartAC.com, LLC (f)(j)</w:t>
            </w:r>
          </w:p>
        </w:tc>
        <w:tc>
          <w:tcPr>
            <w:tcW w:w="1320" w:type="dxa"/>
            <w:vAlign w:val="bottom"/>
            <w:gridSpan w:val="2"/>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HVAC Monitoring</w:t>
            </w:r>
          </w:p>
        </w:tc>
        <w:tc>
          <w:tcPr>
            <w:tcW w:w="164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Devices</w:t>
            </w:r>
          </w:p>
        </w:tc>
        <w:tc>
          <w:tcPr>
            <w:tcW w:w="164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SOFR+7.50%), 11.67%</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4/7/2025</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0.0%</w:t>
            </w:r>
          </w:p>
        </w:tc>
        <w:tc>
          <w:tcPr>
            <w:tcW w:w="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4/7/2030</w:t>
            </w: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3"/>
            <w:vMerge w:val="continue"/>
            <w:shd w:val="clear" w:color="auto" w:fill="CCEEFF"/>
          </w:tcPr>
          <w:p>
            <w:pPr>
              <w:spacing w:after="0"/>
              <w:rPr>
                <w:sz w:val="12"/>
                <w:szCs w:val="12"/>
                <w:color w:val="auto"/>
              </w:rPr>
            </w:pPr>
          </w:p>
        </w:tc>
        <w:tc>
          <w:tcPr>
            <w:tcW w:w="1100" w:type="dxa"/>
            <w:vAlign w:val="bottom"/>
            <w:gridSpan w:val="3"/>
            <w:vMerge w:val="continue"/>
            <w:shd w:val="clear" w:color="auto" w:fill="CCEEFF"/>
          </w:tcPr>
          <w:p>
            <w:pPr>
              <w:spacing w:after="0"/>
              <w:rPr>
                <w:sz w:val="12"/>
                <w:szCs w:val="12"/>
                <w:color w:val="auto"/>
              </w:rPr>
            </w:pPr>
          </w:p>
        </w:tc>
        <w:tc>
          <w:tcPr>
            <w:tcW w:w="820" w:type="dxa"/>
            <w:vAlign w:val="bottom"/>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0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SmartAC.com, LLC (f)(j)</w:t>
            </w:r>
          </w:p>
        </w:tc>
        <w:tc>
          <w:tcPr>
            <w:tcW w:w="1320" w:type="dxa"/>
            <w:vAlign w:val="bottom"/>
            <w:gridSpan w:val="2"/>
          </w:tcPr>
          <w:p>
            <w:pPr>
              <w:ind w:left="100"/>
              <w:spacing w:after="0" w:line="107" w:lineRule="exact"/>
              <w:rPr>
                <w:sz w:val="20"/>
                <w:szCs w:val="20"/>
                <w:color w:val="auto"/>
              </w:rPr>
            </w:pPr>
            <w:r>
              <w:rPr>
                <w:rFonts w:ascii="Times New Roman" w:cs="Times New Roman" w:eastAsia="Times New Roman" w:hAnsi="Times New Roman"/>
                <w:sz w:val="12"/>
                <w:szCs w:val="12"/>
                <w:color w:val="auto"/>
              </w:rPr>
              <w:t>HVAC Monitoring</w:t>
            </w:r>
          </w:p>
        </w:tc>
        <w:tc>
          <w:tcPr>
            <w:tcW w:w="164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Series A Preferred Units</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Devices</w:t>
            </w: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4/7/2025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1,262,201</w:t>
            </w:r>
          </w:p>
        </w:tc>
        <w:tc>
          <w:tcPr>
            <w:tcW w:w="1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2,999,999</w:t>
            </w:r>
          </w:p>
        </w:tc>
        <w:tc>
          <w:tcPr>
            <w:tcW w:w="100" w:type="dxa"/>
            <w:vAlign w:val="bottom"/>
          </w:tcPr>
          <w:p>
            <w:pPr>
              <w:spacing w:after="0"/>
              <w:rPr>
                <w:sz w:val="13"/>
                <w:szCs w:val="13"/>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3,110,015</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0.8%</w:t>
            </w: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3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CCEEFF"/>
            </w:tcBorders>
            <w:shd w:val="clear" w:color="auto" w:fill="CCEEFF"/>
          </w:tcPr>
          <w:p>
            <w:pPr>
              <w:spacing w:after="0"/>
              <w:rPr>
                <w:sz w:val="7"/>
                <w:szCs w:val="7"/>
                <w:color w:val="auto"/>
              </w:rPr>
            </w:pPr>
          </w:p>
        </w:tc>
        <w:tc>
          <w:tcPr>
            <w:tcW w:w="1640" w:type="dxa"/>
            <w:vAlign w:val="bottom"/>
            <w:tcBorders>
              <w:top w:val="single" w:sz="8" w:color="CCEEFF"/>
            </w:tcBorders>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Total HVAC Monitoring</w:t>
            </w:r>
          </w:p>
        </w:tc>
        <w:tc>
          <w:tcPr>
            <w:tcW w:w="8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Devices</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8,358,978</w:t>
            </w:r>
          </w:p>
        </w:tc>
        <w:tc>
          <w:tcPr>
            <w:tcW w:w="10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8,488,752</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CCEEFF"/>
            </w:tcBorders>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Sub Total Affiliate investments</w:t>
            </w:r>
          </w:p>
        </w:tc>
        <w:tc>
          <w:tcPr>
            <w:tcW w:w="100" w:type="dxa"/>
            <w:vAlign w:val="bottom"/>
            <w:tcBorders>
              <w:bottom w:val="single" w:sz="8" w:color="CCEEFF"/>
            </w:tcBorders>
          </w:tcPr>
          <w:p>
            <w:pPr>
              <w:spacing w:after="0"/>
              <w:rPr>
                <w:sz w:val="10"/>
                <w:szCs w:val="10"/>
                <w:color w:val="auto"/>
              </w:rPr>
            </w:pPr>
          </w:p>
        </w:tc>
        <w:tc>
          <w:tcPr>
            <w:tcW w:w="12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49,166,052</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52,298,789</w:t>
            </w:r>
          </w:p>
        </w:tc>
        <w:tc>
          <w:tcPr>
            <w:tcW w:w="20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12.8</w:t>
            </w:r>
          </w:p>
        </w:tc>
        <w:tc>
          <w:tcPr>
            <w:tcW w:w="160" w:type="dxa"/>
            <w:vAlign w:val="bottom"/>
            <w:tcBorders>
              <w:bottom w:val="single" w:sz="8" w:color="CCEEFF"/>
            </w:tcBorders>
            <w:gridSpan w:val="2"/>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Borders>
              <w:bottom w:val="single" w:sz="8" w:color="CCEEFF"/>
            </w:tcBorders>
          </w:tcPr>
          <w:p>
            <w:pPr>
              <w:spacing w:after="0"/>
              <w:rPr>
                <w:sz w:val="10"/>
                <w:szCs w:val="10"/>
                <w:color w:val="auto"/>
              </w:rPr>
            </w:pPr>
          </w:p>
        </w:tc>
        <w:tc>
          <w:tcPr>
            <w:tcW w:w="12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30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Control investments - 10.3% (b)</w:t>
            </w: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30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Zollege PBC (g)</w:t>
            </w:r>
          </w:p>
        </w:tc>
        <w:tc>
          <w:tcPr>
            <w:tcW w:w="1320" w:type="dxa"/>
            <w:vAlign w:val="bottom"/>
            <w:gridSpan w:val="2"/>
          </w:tcPr>
          <w:p>
            <w:pPr>
              <w:ind w:left="100"/>
              <w:spacing w:after="0" w:line="107" w:lineRule="exact"/>
              <w:rPr>
                <w:sz w:val="20"/>
                <w:szCs w:val="20"/>
                <w:color w:val="auto"/>
              </w:rPr>
            </w:pPr>
            <w:r>
              <w:rPr>
                <w:rFonts w:ascii="Times New Roman" w:cs="Times New Roman" w:eastAsia="Times New Roman" w:hAnsi="Times New Roman"/>
                <w:sz w:val="12"/>
                <w:szCs w:val="12"/>
                <w:color w:val="auto"/>
              </w:rPr>
              <w:t>Education Services</w:t>
            </w:r>
          </w:p>
        </w:tc>
        <w:tc>
          <w:tcPr>
            <w:tcW w:w="164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First Lien Term Loan</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2"/>
                <w:szCs w:val="12"/>
                <w:color w:val="auto"/>
              </w:rPr>
              <w:t>1335 E. Whitestone</w:t>
            </w: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4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4.84% PIK, 8/9/2027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5/11/2021</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1,558,038</w:t>
            </w:r>
          </w:p>
        </w:tc>
        <w:tc>
          <w:tcPr>
            <w:tcW w:w="12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1,558,037</w:t>
            </w:r>
          </w:p>
        </w:tc>
        <w:tc>
          <w:tcPr>
            <w:tcW w:w="100" w:type="dxa"/>
            <w:vAlign w:val="bottom"/>
          </w:tcPr>
          <w:p>
            <w:pPr>
              <w:spacing w:after="0"/>
              <w:rPr>
                <w:sz w:val="10"/>
                <w:szCs w:val="10"/>
                <w:color w:val="auto"/>
              </w:rPr>
            </w:pPr>
          </w:p>
        </w:tc>
        <w:tc>
          <w:tcPr>
            <w:tcW w:w="11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1,216,827</w:t>
            </w:r>
          </w:p>
        </w:tc>
        <w:tc>
          <w:tcPr>
            <w:tcW w:w="8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0.3%</w:t>
            </w:r>
          </w:p>
        </w:tc>
        <w:tc>
          <w:tcPr>
            <w:tcW w:w="128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auto"/>
              </w:rPr>
              <w:t>Blvd., Cedar Park, TX</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78613</w:t>
            </w:r>
          </w:p>
        </w:tc>
        <w:tc>
          <w:tcPr>
            <w:tcW w:w="0" w:type="dxa"/>
            <w:vAlign w:val="bottom"/>
          </w:tcPr>
          <w:p>
            <w:pPr>
              <w:spacing w:after="0"/>
              <w:rPr>
                <w:sz w:val="1"/>
                <w:szCs w:val="1"/>
                <w:color w:val="auto"/>
              </w:rPr>
            </w:pPr>
          </w:p>
        </w:tc>
      </w:tr>
      <w:tr>
        <w:trPr>
          <w:trHeight w:val="135"/>
        </w:trPr>
        <w:tc>
          <w:tcPr>
            <w:tcW w:w="23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Zollege PBC (h)(g)</w:t>
            </w:r>
          </w:p>
        </w:tc>
        <w:tc>
          <w:tcPr>
            <w:tcW w:w="1320" w:type="dxa"/>
            <w:vAlign w:val="bottom"/>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2"/>
                <w:szCs w:val="12"/>
                <w:color w:val="auto"/>
              </w:rPr>
              <w:t>Education Services</w:t>
            </w:r>
          </w:p>
        </w:tc>
        <w:tc>
          <w:tcPr>
            <w:tcW w:w="1640" w:type="dxa"/>
            <w:vAlign w:val="bottom"/>
            <w:gridSpan w:val="3"/>
            <w:shd w:val="clear" w:color="auto" w:fill="CCEEFF"/>
          </w:tcPr>
          <w:p>
            <w:pPr>
              <w:ind w:left="100"/>
              <w:spacing w:after="0" w:line="136" w:lineRule="exact"/>
              <w:rPr>
                <w:sz w:val="20"/>
                <w:szCs w:val="20"/>
                <w:color w:val="auto"/>
              </w:rPr>
            </w:pPr>
            <w:r>
              <w:rPr>
                <w:rFonts w:ascii="Times New Roman" w:cs="Times New Roman" w:eastAsia="Times New Roman" w:hAnsi="Times New Roman"/>
                <w:sz w:val="12"/>
                <w:szCs w:val="12"/>
                <w:color w:val="auto"/>
              </w:rPr>
              <w:t>Common Stock</w:t>
            </w:r>
          </w:p>
        </w:tc>
        <w:tc>
          <w:tcPr>
            <w:tcW w:w="8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2"/>
                <w:szCs w:val="12"/>
                <w:color w:val="auto"/>
                <w:w w:val="98"/>
              </w:rPr>
              <w:t>5/11/2021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7,731,294</w:t>
            </w:r>
          </w:p>
        </w:tc>
        <w:tc>
          <w:tcPr>
            <w:tcW w:w="12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2"/>
                <w:szCs w:val="12"/>
                <w:color w:val="auto"/>
              </w:rPr>
              <w:t>558,799</w:t>
            </w:r>
          </w:p>
        </w:tc>
        <w:tc>
          <w:tcPr>
            <w:tcW w:w="1100" w:type="dxa"/>
            <w:vAlign w:val="bottom"/>
            <w:gridSpan w:val="3"/>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2"/>
                <w:szCs w:val="12"/>
                <w:color w:val="auto"/>
              </w:rPr>
              <w:t>7,672,251</w:t>
            </w:r>
          </w:p>
        </w:tc>
        <w:tc>
          <w:tcPr>
            <w:tcW w:w="820" w:type="dxa"/>
            <w:vAlign w:val="bottom"/>
            <w:gridSpan w:val="3"/>
            <w:shd w:val="clear" w:color="auto" w:fill="CCEEFF"/>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1.9%</w:t>
            </w:r>
          </w:p>
        </w:tc>
        <w:tc>
          <w:tcPr>
            <w:tcW w:w="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20" w:type="dxa"/>
            <w:vAlign w:val="bottom"/>
            <w:tcBorders>
              <w:bottom w:val="single" w:sz="8" w:color="CCEEFF"/>
            </w:tcBorders>
          </w:tcPr>
          <w:p>
            <w:pPr>
              <w:spacing w:after="0"/>
              <w:rPr>
                <w:sz w:val="10"/>
                <w:szCs w:val="10"/>
                <w:color w:val="auto"/>
              </w:rPr>
            </w:pPr>
          </w:p>
        </w:tc>
        <w:tc>
          <w:tcPr>
            <w:tcW w:w="1640" w:type="dxa"/>
            <w:vAlign w:val="bottom"/>
            <w:tcBorders>
              <w:bottom w:val="single" w:sz="8" w:color="CCEEFF"/>
            </w:tcBorders>
            <w:gridSpan w:val="3"/>
          </w:tcPr>
          <w:p>
            <w:pPr>
              <w:ind w:left="100"/>
              <w:spacing w:after="0" w:line="115" w:lineRule="exact"/>
              <w:rPr>
                <w:sz w:val="20"/>
                <w:szCs w:val="20"/>
                <w:color w:val="auto"/>
              </w:rPr>
            </w:pPr>
            <w:r>
              <w:rPr>
                <w:rFonts w:ascii="Times New Roman" w:cs="Times New Roman" w:eastAsia="Times New Roman" w:hAnsi="Times New Roman"/>
                <w:sz w:val="12"/>
                <w:szCs w:val="12"/>
                <w:color w:val="auto"/>
              </w:rPr>
              <w:t>Total Education Services</w:t>
            </w:r>
          </w:p>
        </w:tc>
        <w:tc>
          <w:tcPr>
            <w:tcW w:w="8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2,116,836</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8,889,078</w:t>
            </w:r>
          </w:p>
        </w:tc>
        <w:tc>
          <w:tcPr>
            <w:tcW w:w="20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2.2</w:t>
            </w:r>
          </w:p>
        </w:tc>
        <w:tc>
          <w:tcPr>
            <w:tcW w:w="160" w:type="dxa"/>
            <w:vAlign w:val="bottom"/>
            <w:tcBorders>
              <w:bottom w:val="single" w:sz="8" w:color="CCEEFF"/>
            </w:tcBorders>
            <w:gridSpan w:val="2"/>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0"/>
                <w:szCs w:val="10"/>
                <w:color w:val="auto"/>
              </w:rPr>
            </w:pPr>
          </w:p>
        </w:tc>
        <w:tc>
          <w:tcPr>
            <w:tcW w:w="12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300" w:type="dxa"/>
            <w:vAlign w:val="bottom"/>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Pepper Palace, Inc. (k)(g)</w:t>
            </w:r>
          </w:p>
        </w:tc>
        <w:tc>
          <w:tcPr>
            <w:tcW w:w="1320" w:type="dxa"/>
            <w:vAlign w:val="bottom"/>
            <w:gridSpan w:val="2"/>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Specialty Food Retailer</w:t>
            </w:r>
          </w:p>
        </w:tc>
        <w:tc>
          <w:tcPr>
            <w:tcW w:w="1640" w:type="dxa"/>
            <w:vAlign w:val="bottom"/>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First Lien Term Loan</w:t>
            </w: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80" w:type="dxa"/>
            <w:vAlign w:val="bottom"/>
            <w:gridSpan w:val="2"/>
            <w:shd w:val="clear" w:color="auto" w:fill="CCEEFF"/>
          </w:tcPr>
          <w:p>
            <w:pPr>
              <w:ind w:left="60"/>
              <w:spacing w:after="0" w:line="87" w:lineRule="exact"/>
              <w:rPr>
                <w:sz w:val="20"/>
                <w:szCs w:val="20"/>
                <w:color w:val="auto"/>
              </w:rPr>
            </w:pPr>
            <w:r>
              <w:rPr>
                <w:rFonts w:ascii="Times New Roman" w:cs="Times New Roman" w:eastAsia="Times New Roman" w:hAnsi="Times New Roman"/>
                <w:sz w:val="10"/>
                <w:szCs w:val="10"/>
                <w:color w:val="auto"/>
              </w:rPr>
              <w:t>3275 Newport Highway,</w:t>
            </w:r>
          </w:p>
        </w:tc>
        <w:tc>
          <w:tcPr>
            <w:tcW w:w="0" w:type="dxa"/>
            <w:vAlign w:val="bottom"/>
          </w:tcPr>
          <w:p>
            <w:pPr>
              <w:spacing w:after="0"/>
              <w:rPr>
                <w:sz w:val="1"/>
                <w:szCs w:val="1"/>
                <w:color w:val="auto"/>
              </w:rPr>
            </w:pPr>
          </w:p>
        </w:tc>
      </w:tr>
      <w:tr>
        <w:trPr>
          <w:trHeight w:val="124"/>
        </w:trPr>
        <w:tc>
          <w:tcPr>
            <w:tcW w:w="2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4.42% PIK, 12/31/2028</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6/30/2021</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2,400,000</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2,400,000</w:t>
            </w:r>
          </w:p>
        </w:tc>
        <w:tc>
          <w:tcPr>
            <w:tcW w:w="10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1,278,720</w:t>
            </w:r>
          </w:p>
        </w:tc>
        <w:tc>
          <w:tcPr>
            <w:tcW w:w="8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0.3%</w:t>
            </w:r>
          </w:p>
        </w:tc>
        <w:tc>
          <w:tcPr>
            <w:tcW w:w="1280" w:type="dxa"/>
            <w:vAlign w:val="bottom"/>
            <w:gridSpan w:val="2"/>
            <w:shd w:val="clear" w:color="auto" w:fill="CCEEFF"/>
          </w:tcPr>
          <w:p>
            <w:pPr>
              <w:ind w:left="60"/>
              <w:spacing w:after="0" w:line="124" w:lineRule="exact"/>
              <w:rPr>
                <w:sz w:val="20"/>
                <w:szCs w:val="20"/>
                <w:color w:val="auto"/>
              </w:rPr>
            </w:pPr>
            <w:r>
              <w:rPr>
                <w:rFonts w:ascii="Times New Roman" w:cs="Times New Roman" w:eastAsia="Times New Roman" w:hAnsi="Times New Roman"/>
                <w:sz w:val="12"/>
                <w:szCs w:val="12"/>
                <w:color w:val="auto"/>
              </w:rPr>
              <w:t>Suite 5, Sevierville, TN</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3"/>
            <w:vMerge w:val="continue"/>
            <w:shd w:val="clear" w:color="auto" w:fill="CCEEFF"/>
          </w:tcPr>
          <w:p>
            <w:pPr>
              <w:spacing w:after="0"/>
              <w:rPr>
                <w:sz w:val="12"/>
                <w:szCs w:val="12"/>
                <w:color w:val="auto"/>
              </w:rPr>
            </w:pPr>
          </w:p>
        </w:tc>
        <w:tc>
          <w:tcPr>
            <w:tcW w:w="820" w:type="dxa"/>
            <w:vAlign w:val="bottom"/>
            <w:gridSpan w:val="3"/>
            <w:vMerge w:val="continue"/>
            <w:shd w:val="clear" w:color="auto" w:fill="CCEEFF"/>
          </w:tcPr>
          <w:p>
            <w:pPr>
              <w:spacing w:after="0"/>
              <w:rPr>
                <w:sz w:val="12"/>
                <w:szCs w:val="12"/>
                <w:color w:val="auto"/>
              </w:rPr>
            </w:pPr>
          </w:p>
        </w:tc>
        <w:tc>
          <w:tcPr>
            <w:tcW w:w="1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37876</w:t>
            </w:r>
          </w:p>
        </w:tc>
        <w:tc>
          <w:tcPr>
            <w:tcW w:w="0" w:type="dxa"/>
            <w:vAlign w:val="bottom"/>
          </w:tcPr>
          <w:p>
            <w:pPr>
              <w:spacing w:after="0"/>
              <w:rPr>
                <w:sz w:val="1"/>
                <w:szCs w:val="1"/>
                <w:color w:val="auto"/>
              </w:rPr>
            </w:pPr>
          </w:p>
        </w:tc>
      </w:tr>
      <w:tr>
        <w:trPr>
          <w:trHeight w:val="106"/>
        </w:trPr>
        <w:tc>
          <w:tcPr>
            <w:tcW w:w="230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Pepper Palace, Inc. (j)(k)(g)</w:t>
            </w:r>
          </w:p>
        </w:tc>
        <w:tc>
          <w:tcPr>
            <w:tcW w:w="1320" w:type="dxa"/>
            <w:vAlign w:val="bottom"/>
            <w:gridSpan w:val="2"/>
          </w:tcPr>
          <w:p>
            <w:pPr>
              <w:ind w:left="100"/>
              <w:spacing w:after="0" w:line="107" w:lineRule="exact"/>
              <w:rPr>
                <w:sz w:val="20"/>
                <w:szCs w:val="20"/>
                <w:color w:val="auto"/>
              </w:rPr>
            </w:pPr>
            <w:r>
              <w:rPr>
                <w:rFonts w:ascii="Times New Roman" w:cs="Times New Roman" w:eastAsia="Times New Roman" w:hAnsi="Times New Roman"/>
                <w:sz w:val="12"/>
                <w:szCs w:val="12"/>
                <w:color w:val="auto"/>
              </w:rPr>
              <w:t>Specialty Food Retailer</w:t>
            </w:r>
          </w:p>
        </w:tc>
        <w:tc>
          <w:tcPr>
            <w:tcW w:w="164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Delayed Draw Term Loan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6/30/2021</w:t>
            </w:r>
          </w:p>
        </w:tc>
        <w:tc>
          <w:tcPr>
            <w:tcW w:w="10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400,000</w:t>
            </w:r>
          </w:p>
        </w:tc>
        <w:tc>
          <w:tcPr>
            <w:tcW w:w="10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400,000</w:t>
            </w:r>
          </w:p>
        </w:tc>
        <w:tc>
          <w:tcPr>
            <w:tcW w:w="11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213,120</w:t>
            </w:r>
          </w:p>
        </w:tc>
        <w:tc>
          <w:tcPr>
            <w:tcW w:w="8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c>
          <w:tcPr>
            <w:tcW w:w="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4.42% PIK, 12/31/2028</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0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Pepper Palace, Inc. (j)(k)(g)</w:t>
            </w:r>
          </w:p>
        </w:tc>
        <w:tc>
          <w:tcPr>
            <w:tcW w:w="1320" w:type="dxa"/>
            <w:vAlign w:val="bottom"/>
            <w:gridSpan w:val="2"/>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Specialty Food Retailer</w:t>
            </w:r>
          </w:p>
        </w:tc>
        <w:tc>
          <w:tcPr>
            <w:tcW w:w="164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Revolving Credit Facility</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6/30/2021</w:t>
            </w:r>
          </w:p>
        </w:tc>
        <w:tc>
          <w:tcPr>
            <w:tcW w:w="10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12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100" w:type="dxa"/>
            <w:vAlign w:val="bottom"/>
            <w:shd w:val="clear" w:color="auto" w:fill="CCEEFF"/>
          </w:tcPr>
          <w:p>
            <w:pPr>
              <w:spacing w:after="0"/>
              <w:rPr>
                <w:sz w:val="9"/>
                <w:szCs w:val="9"/>
                <w:color w:val="auto"/>
              </w:rPr>
            </w:pPr>
          </w:p>
        </w:tc>
        <w:tc>
          <w:tcPr>
            <w:tcW w:w="11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532,800</w:t>
            </w:r>
          </w:p>
        </w:tc>
        <w:tc>
          <w:tcPr>
            <w:tcW w:w="8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c>
          <w:tcPr>
            <w:tcW w:w="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4.42% PIK, 12/31/2028</w:t>
            </w: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3"/>
            <w:vMerge w:val="continue"/>
            <w:shd w:val="clear" w:color="auto" w:fill="CCEEFF"/>
          </w:tcPr>
          <w:p>
            <w:pPr>
              <w:spacing w:after="0"/>
              <w:rPr>
                <w:sz w:val="12"/>
                <w:szCs w:val="12"/>
                <w:color w:val="auto"/>
              </w:rPr>
            </w:pPr>
          </w:p>
        </w:tc>
        <w:tc>
          <w:tcPr>
            <w:tcW w:w="820" w:type="dxa"/>
            <w:vAlign w:val="bottom"/>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Pepper Palace, Inc. (h)(g)</w:t>
            </w:r>
          </w:p>
        </w:tc>
        <w:tc>
          <w:tcPr>
            <w:tcW w:w="132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2"/>
                <w:szCs w:val="12"/>
                <w:color w:val="auto"/>
              </w:rPr>
              <w:t>Specialty Food Retailer</w:t>
            </w:r>
          </w:p>
        </w:tc>
        <w:tc>
          <w:tcPr>
            <w:tcW w:w="1640" w:type="dxa"/>
            <w:vAlign w:val="bottom"/>
            <w:gridSpan w:val="3"/>
          </w:tcPr>
          <w:p>
            <w:pPr>
              <w:ind w:left="100"/>
              <w:spacing w:after="0" w:line="136" w:lineRule="exact"/>
              <w:rPr>
                <w:sz w:val="20"/>
                <w:szCs w:val="20"/>
                <w:color w:val="auto"/>
              </w:rPr>
            </w:pPr>
            <w:r>
              <w:rPr>
                <w:rFonts w:ascii="Times New Roman" w:cs="Times New Roman" w:eastAsia="Times New Roman" w:hAnsi="Times New Roman"/>
                <w:sz w:val="12"/>
                <w:szCs w:val="12"/>
                <w:color w:val="auto"/>
              </w:rPr>
              <w:t>Class A Units</w:t>
            </w:r>
          </w:p>
        </w:tc>
        <w:tc>
          <w:tcPr>
            <w:tcW w:w="8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auto"/>
                <w:w w:val="98"/>
              </w:rPr>
              <w:t>6/30/2021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2"/>
                <w:szCs w:val="12"/>
                <w:color w:val="auto"/>
              </w:rPr>
              <w:t>100,000</w:t>
            </w:r>
          </w:p>
        </w:tc>
        <w:tc>
          <w:tcPr>
            <w:tcW w:w="1000" w:type="dxa"/>
            <w:vAlign w:val="bottom"/>
            <w:gridSpan w:val="3"/>
          </w:tcPr>
          <w:p>
            <w:pPr>
              <w:jc w:val="right"/>
              <w:ind w:right="100"/>
              <w:spacing w:after="0" w:line="136" w:lineRule="exact"/>
              <w:rPr>
                <w:sz w:val="20"/>
                <w:szCs w:val="20"/>
                <w:color w:val="auto"/>
              </w:rPr>
            </w:pPr>
            <w:r>
              <w:rPr>
                <w:rFonts w:ascii="Times New Roman" w:cs="Times New Roman" w:eastAsia="Times New Roman" w:hAnsi="Times New Roman"/>
                <w:sz w:val="12"/>
                <w:szCs w:val="12"/>
                <w:color w:val="auto"/>
              </w:rPr>
              <w:t>138,561</w:t>
            </w:r>
          </w:p>
        </w:tc>
        <w:tc>
          <w:tcPr>
            <w:tcW w:w="1100" w:type="dxa"/>
            <w:vAlign w:val="bottom"/>
            <w:gridSpan w:val="3"/>
          </w:tcPr>
          <w:p>
            <w:pPr>
              <w:jc w:val="right"/>
              <w:ind w:right="200"/>
              <w:spacing w:after="0" w:line="136"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0.0%</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3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CCEEFF"/>
            </w:tcBorders>
            <w:shd w:val="clear" w:color="auto" w:fill="CCEEFF"/>
          </w:tcPr>
          <w:p>
            <w:pPr>
              <w:spacing w:after="0"/>
              <w:rPr>
                <w:sz w:val="10"/>
                <w:szCs w:val="10"/>
                <w:color w:val="auto"/>
              </w:rPr>
            </w:pPr>
          </w:p>
        </w:tc>
        <w:tc>
          <w:tcPr>
            <w:tcW w:w="1640" w:type="dxa"/>
            <w:vAlign w:val="bottom"/>
            <w:tcBorders>
              <w:top w:val="single" w:sz="8" w:color="CCEEFF"/>
            </w:tcBorders>
            <w:gridSpan w:val="3"/>
            <w:shd w:val="clear" w:color="auto" w:fill="CCEEFF"/>
          </w:tcPr>
          <w:p>
            <w:pPr>
              <w:ind w:left="100"/>
              <w:spacing w:after="0" w:line="115" w:lineRule="exact"/>
              <w:rPr>
                <w:sz w:val="20"/>
                <w:szCs w:val="20"/>
                <w:color w:val="auto"/>
              </w:rPr>
            </w:pPr>
            <w:r>
              <w:rPr>
                <w:rFonts w:ascii="Times New Roman" w:cs="Times New Roman" w:eastAsia="Times New Roman" w:hAnsi="Times New Roman"/>
                <w:sz w:val="12"/>
                <w:szCs w:val="12"/>
                <w:color w:val="auto"/>
              </w:rPr>
              <w:t>Total Specialty Food Retailer</w:t>
            </w:r>
          </w:p>
        </w:tc>
        <w:tc>
          <w:tcPr>
            <w:tcW w:w="8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3,938,561</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2,024,640</w:t>
            </w: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0.5</w:t>
            </w:r>
          </w:p>
        </w:tc>
        <w:tc>
          <w:tcPr>
            <w:tcW w:w="16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300" w:type="dxa"/>
            <w:vAlign w:val="bottom"/>
          </w:tcPr>
          <w:p>
            <w:pPr>
              <w:spacing w:after="0" w:line="87" w:lineRule="exact"/>
              <w:rPr>
                <w:sz w:val="20"/>
                <w:szCs w:val="20"/>
                <w:color w:val="auto"/>
              </w:rPr>
            </w:pPr>
            <w:r>
              <w:rPr>
                <w:rFonts w:ascii="Times New Roman" w:cs="Times New Roman" w:eastAsia="Times New Roman" w:hAnsi="Times New Roman"/>
                <w:sz w:val="10"/>
                <w:szCs w:val="10"/>
                <w:color w:val="auto"/>
              </w:rPr>
              <w:t>Saratoga Investment Corp. CLO 2013-1, Ltd.</w:t>
            </w:r>
          </w:p>
        </w:tc>
        <w:tc>
          <w:tcPr>
            <w:tcW w:w="1320" w:type="dxa"/>
            <w:vAlign w:val="bottom"/>
            <w:gridSpan w:val="2"/>
          </w:tcPr>
          <w:p>
            <w:pPr>
              <w:ind w:left="100"/>
              <w:spacing w:after="0" w:line="87" w:lineRule="exact"/>
              <w:rPr>
                <w:sz w:val="20"/>
                <w:szCs w:val="20"/>
                <w:color w:val="auto"/>
              </w:rPr>
            </w:pPr>
            <w:r>
              <w:rPr>
                <w:rFonts w:ascii="Times New Roman" w:cs="Times New Roman" w:eastAsia="Times New Roman" w:hAnsi="Times New Roman"/>
                <w:sz w:val="10"/>
                <w:szCs w:val="10"/>
                <w:color w:val="auto"/>
              </w:rPr>
              <w:t>Structured Finance</w:t>
            </w:r>
          </w:p>
        </w:tc>
        <w:tc>
          <w:tcPr>
            <w:tcW w:w="1640" w:type="dxa"/>
            <w:vAlign w:val="bottom"/>
            <w:gridSpan w:val="3"/>
          </w:tcPr>
          <w:p>
            <w:pPr>
              <w:ind w:left="100"/>
              <w:spacing w:after="0" w:line="87" w:lineRule="exact"/>
              <w:rPr>
                <w:sz w:val="20"/>
                <w:szCs w:val="20"/>
                <w:color w:val="auto"/>
              </w:rPr>
            </w:pPr>
            <w:r>
              <w:rPr>
                <w:rFonts w:ascii="Times New Roman" w:cs="Times New Roman" w:eastAsia="Times New Roman" w:hAnsi="Times New Roman"/>
                <w:sz w:val="10"/>
                <w:szCs w:val="10"/>
                <w:color w:val="auto"/>
              </w:rPr>
              <w:t>Other/Structured Finance</w:t>
            </w: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535 Madison Avenue,</w:t>
            </w:r>
          </w:p>
        </w:tc>
        <w:tc>
          <w:tcPr>
            <w:tcW w:w="0" w:type="dxa"/>
            <w:vAlign w:val="bottom"/>
          </w:tcPr>
          <w:p>
            <w:pPr>
              <w:spacing w:after="0"/>
              <w:rPr>
                <w:sz w:val="1"/>
                <w:szCs w:val="1"/>
                <w:color w:val="auto"/>
              </w:rPr>
            </w:pPr>
          </w:p>
        </w:tc>
      </w:tr>
      <w:tr>
        <w:trPr>
          <w:trHeight w:val="124"/>
        </w:trPr>
        <w:tc>
          <w:tcPr>
            <w:tcW w:w="230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(a)(e)(g)</w:t>
            </w:r>
          </w:p>
        </w:tc>
        <w:tc>
          <w:tcPr>
            <w:tcW w:w="132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Securities</w:t>
            </w:r>
          </w:p>
        </w:tc>
        <w:tc>
          <w:tcPr>
            <w:tcW w:w="164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Securities</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1/22/2008</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w w:val="99"/>
              </w:rPr>
              <w:t>111,000,000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14,410,095</w:t>
            </w:r>
          </w:p>
        </w:tc>
        <w:tc>
          <w:tcPr>
            <w:tcW w:w="100" w:type="dxa"/>
            <w:vAlign w:val="bottom"/>
          </w:tcPr>
          <w:p>
            <w:pPr>
              <w:spacing w:after="0"/>
              <w:rPr>
                <w:sz w:val="10"/>
                <w:szCs w:val="10"/>
                <w:color w:val="auto"/>
              </w:rPr>
            </w:pPr>
          </w:p>
        </w:tc>
        <w:tc>
          <w:tcPr>
            <w:tcW w:w="11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0.0%</w:t>
            </w: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0.00%, 4/20/2033</w:t>
            </w: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New York, NY, 10022</w:t>
            </w:r>
          </w:p>
        </w:tc>
        <w:tc>
          <w:tcPr>
            <w:tcW w:w="0" w:type="dxa"/>
            <w:vAlign w:val="bottom"/>
          </w:tcPr>
          <w:p>
            <w:pPr>
              <w:spacing w:after="0"/>
              <w:rPr>
                <w:sz w:val="1"/>
                <w:szCs w:val="1"/>
                <w:color w:val="auto"/>
              </w:rPr>
            </w:pPr>
          </w:p>
        </w:tc>
      </w:tr>
      <w:tr>
        <w:trPr>
          <w:trHeight w:val="106"/>
        </w:trPr>
        <w:tc>
          <w:tcPr>
            <w:tcW w:w="230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Saratoga Investment Corp. CLO 2013-1, Ltd.</w:t>
            </w:r>
          </w:p>
        </w:tc>
        <w:tc>
          <w:tcPr>
            <w:tcW w:w="1320" w:type="dxa"/>
            <w:vAlign w:val="bottom"/>
            <w:gridSpan w:val="2"/>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Structured Finance</w:t>
            </w:r>
          </w:p>
        </w:tc>
        <w:tc>
          <w:tcPr>
            <w:tcW w:w="164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Other/Structured Finance</w:t>
            </w: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00" w:type="dxa"/>
            <w:vAlign w:val="bottom"/>
            <w:shd w:val="clear" w:color="auto" w:fill="CCEEFF"/>
          </w:tcPr>
          <w:p>
            <w:pPr>
              <w:ind w:left="120"/>
              <w:spacing w:after="0" w:line="124" w:lineRule="exact"/>
              <w:rPr>
                <w:sz w:val="20"/>
                <w:szCs w:val="20"/>
                <w:color w:val="auto"/>
              </w:rPr>
            </w:pPr>
            <w:r>
              <w:rPr>
                <w:rFonts w:ascii="Times New Roman" w:cs="Times New Roman" w:eastAsia="Times New Roman" w:hAnsi="Times New Roman"/>
                <w:sz w:val="12"/>
                <w:szCs w:val="12"/>
                <w:color w:val="auto"/>
              </w:rPr>
              <w:t>Class F-2-R-3 Note (a)(g)</w:t>
            </w:r>
          </w:p>
        </w:tc>
        <w:tc>
          <w:tcPr>
            <w:tcW w:w="1320" w:type="dxa"/>
            <w:vAlign w:val="bottom"/>
            <w:gridSpan w:val="2"/>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Securities</w:t>
            </w:r>
          </w:p>
        </w:tc>
        <w:tc>
          <w:tcPr>
            <w:tcW w:w="164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Securities</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535 Madison Avenue,</w:t>
            </w:r>
          </w:p>
        </w:tc>
        <w:tc>
          <w:tcPr>
            <w:tcW w:w="0" w:type="dxa"/>
            <w:vAlign w:val="bottom"/>
          </w:tcPr>
          <w:p>
            <w:pPr>
              <w:spacing w:after="0"/>
              <w:rPr>
                <w:sz w:val="1"/>
                <w:szCs w:val="1"/>
                <w:color w:val="auto"/>
              </w:rPr>
            </w:pPr>
          </w:p>
        </w:tc>
      </w:tr>
      <w:tr>
        <w:trPr>
          <w:trHeight w:val="124"/>
        </w:trPr>
        <w:tc>
          <w:tcPr>
            <w:tcW w:w="2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SOFR+10.00%), 14.05%,</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8/9/2021</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9,375,000</w:t>
            </w: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9,375,000</w:t>
            </w:r>
          </w:p>
        </w:tc>
        <w:tc>
          <w:tcPr>
            <w:tcW w:w="10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120,938</w:t>
            </w:r>
          </w:p>
        </w:tc>
        <w:tc>
          <w:tcPr>
            <w:tcW w:w="8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0.0%</w:t>
            </w:r>
          </w:p>
        </w:tc>
        <w:tc>
          <w:tcPr>
            <w:tcW w:w="12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4/20/2033</w:t>
            </w:r>
          </w:p>
        </w:tc>
        <w:tc>
          <w:tcPr>
            <w:tcW w:w="10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3"/>
            <w:vMerge w:val="continue"/>
            <w:shd w:val="clear" w:color="auto" w:fill="CCEEFF"/>
          </w:tcPr>
          <w:p>
            <w:pPr>
              <w:spacing w:after="0"/>
              <w:rPr>
                <w:sz w:val="12"/>
                <w:szCs w:val="12"/>
                <w:color w:val="auto"/>
              </w:rPr>
            </w:pPr>
          </w:p>
        </w:tc>
        <w:tc>
          <w:tcPr>
            <w:tcW w:w="820" w:type="dxa"/>
            <w:vAlign w:val="bottom"/>
            <w:gridSpan w:val="3"/>
            <w:vMerge w:val="continue"/>
            <w:shd w:val="clear" w:color="auto" w:fill="CCEEFF"/>
          </w:tcPr>
          <w:p>
            <w:pPr>
              <w:spacing w:after="0"/>
              <w:rPr>
                <w:sz w:val="12"/>
                <w:szCs w:val="12"/>
                <w:color w:val="auto"/>
              </w:rPr>
            </w:pPr>
          </w:p>
        </w:tc>
        <w:tc>
          <w:tcPr>
            <w:tcW w:w="1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New York, NY, 10022</w:t>
            </w:r>
          </w:p>
        </w:tc>
        <w:tc>
          <w:tcPr>
            <w:tcW w:w="0" w:type="dxa"/>
            <w:vAlign w:val="bottom"/>
          </w:tcPr>
          <w:p>
            <w:pPr>
              <w:spacing w:after="0"/>
              <w:rPr>
                <w:sz w:val="1"/>
                <w:szCs w:val="1"/>
                <w:color w:val="auto"/>
              </w:rPr>
            </w:pPr>
          </w:p>
        </w:tc>
      </w:tr>
      <w:tr>
        <w:trPr>
          <w:trHeight w:val="106"/>
        </w:trPr>
        <w:tc>
          <w:tcPr>
            <w:tcW w:w="230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Saratoga Investment Corp. Senior Loan Fund</w:t>
            </w:r>
          </w:p>
        </w:tc>
        <w:tc>
          <w:tcPr>
            <w:tcW w:w="1320" w:type="dxa"/>
            <w:vAlign w:val="bottom"/>
            <w:gridSpan w:val="2"/>
          </w:tcPr>
          <w:p>
            <w:pPr>
              <w:ind w:left="100"/>
              <w:spacing w:after="0" w:line="107" w:lineRule="exact"/>
              <w:rPr>
                <w:sz w:val="20"/>
                <w:szCs w:val="20"/>
                <w:color w:val="auto"/>
              </w:rPr>
            </w:pPr>
            <w:r>
              <w:rPr>
                <w:rFonts w:ascii="Times New Roman" w:cs="Times New Roman" w:eastAsia="Times New Roman" w:hAnsi="Times New Roman"/>
                <w:sz w:val="12"/>
                <w:szCs w:val="12"/>
                <w:color w:val="auto"/>
              </w:rPr>
              <w:t>Structured Finance</w:t>
            </w:r>
          </w:p>
        </w:tc>
        <w:tc>
          <w:tcPr>
            <w:tcW w:w="1640" w:type="dxa"/>
            <w:vAlign w:val="bottom"/>
            <w:gridSpan w:val="3"/>
          </w:tcPr>
          <w:p>
            <w:pPr>
              <w:ind w:left="100"/>
              <w:spacing w:after="0" w:line="107" w:lineRule="exact"/>
              <w:rPr>
                <w:sz w:val="20"/>
                <w:szCs w:val="20"/>
                <w:color w:val="auto"/>
              </w:rPr>
            </w:pPr>
            <w:r>
              <w:rPr>
                <w:rFonts w:ascii="Times New Roman" w:cs="Times New Roman" w:eastAsia="Times New Roman" w:hAnsi="Times New Roman"/>
                <w:sz w:val="12"/>
                <w:szCs w:val="12"/>
                <w:color w:val="auto"/>
              </w:rPr>
              <w:t>Other/Structured Finance</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0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2022-1, Ltd. Class E-R Note (a)(g)</w:t>
            </w:r>
          </w:p>
        </w:tc>
        <w:tc>
          <w:tcPr>
            <w:tcW w:w="132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color w:val="auto"/>
              </w:rPr>
              <w:t>Securities</w:t>
            </w:r>
          </w:p>
        </w:tc>
        <w:tc>
          <w:tcPr>
            <w:tcW w:w="164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Securities</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4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(3M USD TERM</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535 Madison Avenue,</w:t>
            </w: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40" w:type="dxa"/>
            <w:vAlign w:val="bottom"/>
            <w:gridSpan w:val="3"/>
          </w:tcPr>
          <w:p>
            <w:pPr>
              <w:ind w:left="100"/>
              <w:spacing w:after="0" w:line="124" w:lineRule="exact"/>
              <w:rPr>
                <w:sz w:val="20"/>
                <w:szCs w:val="20"/>
                <w:color w:val="auto"/>
              </w:rPr>
            </w:pPr>
            <w:r>
              <w:rPr>
                <w:rFonts w:ascii="Times New Roman" w:cs="Times New Roman" w:eastAsia="Times New Roman" w:hAnsi="Times New Roman"/>
                <w:sz w:val="12"/>
                <w:szCs w:val="12"/>
                <w:color w:val="auto"/>
              </w:rPr>
              <w:t>SOFR+7.35%), 11.14%,</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10/20/2037</w:t>
            </w: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9/24/2025</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8,750,000</w:t>
            </w:r>
          </w:p>
        </w:tc>
        <w:tc>
          <w:tcPr>
            <w:tcW w:w="1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8,443,750</w:t>
            </w:r>
          </w:p>
        </w:tc>
        <w:tc>
          <w:tcPr>
            <w:tcW w:w="100" w:type="dxa"/>
            <w:vAlign w:val="bottom"/>
          </w:tcPr>
          <w:p>
            <w:pPr>
              <w:spacing w:after="0"/>
              <w:rPr>
                <w:sz w:val="13"/>
                <w:szCs w:val="13"/>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8,728,701</w:t>
            </w:r>
          </w:p>
        </w:tc>
        <w:tc>
          <w:tcPr>
            <w:tcW w:w="2100" w:type="dxa"/>
            <w:vAlign w:val="bottom"/>
            <w:gridSpan w:val="5"/>
          </w:tcPr>
          <w:p>
            <w:pPr>
              <w:ind w:left="500"/>
              <w:spacing w:after="0"/>
              <w:rPr>
                <w:sz w:val="20"/>
                <w:szCs w:val="20"/>
                <w:color w:val="auto"/>
              </w:rPr>
            </w:pPr>
            <w:r>
              <w:rPr>
                <w:rFonts w:ascii="Times New Roman" w:cs="Times New Roman" w:eastAsia="Times New Roman" w:hAnsi="Times New Roman"/>
                <w:sz w:val="12"/>
                <w:szCs w:val="12"/>
                <w:color w:val="auto"/>
              </w:rPr>
              <w:t>2.1%  New York, NY, 10022</w:t>
            </w:r>
          </w:p>
        </w:tc>
        <w:tc>
          <w:tcPr>
            <w:tcW w:w="0" w:type="dxa"/>
            <w:vAlign w:val="bottom"/>
          </w:tcPr>
          <w:p>
            <w:pPr>
              <w:spacing w:after="0"/>
              <w:rPr>
                <w:sz w:val="1"/>
                <w:szCs w:val="1"/>
                <w:color w:val="auto"/>
              </w:rPr>
            </w:pPr>
          </w:p>
        </w:tc>
      </w:tr>
      <w:tr>
        <w:trPr>
          <w:trHeight w:val="86"/>
        </w:trPr>
        <w:tc>
          <w:tcPr>
            <w:tcW w:w="23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CCEEFF"/>
            </w:tcBorders>
            <w:shd w:val="clear" w:color="auto" w:fill="CCEEFF"/>
          </w:tcPr>
          <w:p>
            <w:pPr>
              <w:spacing w:after="0"/>
              <w:rPr>
                <w:sz w:val="7"/>
                <w:szCs w:val="7"/>
                <w:color w:val="auto"/>
              </w:rPr>
            </w:pPr>
          </w:p>
        </w:tc>
        <w:tc>
          <w:tcPr>
            <w:tcW w:w="1640" w:type="dxa"/>
            <w:vAlign w:val="bottom"/>
            <w:tcBorders>
              <w:top w:val="single" w:sz="8" w:color="CCEEFF"/>
            </w:tcBorders>
            <w:gridSpan w:val="3"/>
            <w:shd w:val="clear" w:color="auto" w:fill="CCEEFF"/>
          </w:tcPr>
          <w:p>
            <w:pPr>
              <w:ind w:left="100"/>
              <w:spacing w:after="0" w:line="87" w:lineRule="exact"/>
              <w:rPr>
                <w:sz w:val="20"/>
                <w:szCs w:val="20"/>
                <w:color w:val="auto"/>
              </w:rPr>
            </w:pPr>
            <w:r>
              <w:rPr>
                <w:rFonts w:ascii="Times New Roman" w:cs="Times New Roman" w:eastAsia="Times New Roman" w:hAnsi="Times New Roman"/>
                <w:sz w:val="10"/>
                <w:szCs w:val="10"/>
                <w:color w:val="auto"/>
              </w:rPr>
              <w:t>Total Structured Finance</w:t>
            </w:r>
          </w:p>
        </w:tc>
        <w:tc>
          <w:tcPr>
            <w:tcW w:w="8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Securities</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32,228,845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8,849,639</w:t>
            </w:r>
          </w:p>
        </w:tc>
        <w:tc>
          <w:tcPr>
            <w:tcW w:w="20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w:t>
            </w:r>
          </w:p>
        </w:tc>
        <w:tc>
          <w:tcPr>
            <w:tcW w:w="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107" w:lineRule="exact"/>
              <w:rPr>
                <w:sz w:val="20"/>
                <w:szCs w:val="20"/>
                <w:color w:val="auto"/>
              </w:rPr>
            </w:pPr>
            <w:r>
              <w:rPr>
                <w:rFonts w:ascii="Times New Roman" w:cs="Times New Roman" w:eastAsia="Times New Roman" w:hAnsi="Times New Roman"/>
                <w:sz w:val="12"/>
                <w:szCs w:val="12"/>
                <w:color w:val="auto"/>
              </w:rPr>
              <w:t>Saratoga Senior Loan Fund I JV, LLC (a)(g)(j)</w:t>
            </w:r>
          </w:p>
        </w:tc>
        <w:tc>
          <w:tcPr>
            <w:tcW w:w="1320" w:type="dxa"/>
            <w:vAlign w:val="bottom"/>
            <w:gridSpan w:val="2"/>
            <w:vMerge w:val="restart"/>
          </w:tcPr>
          <w:p>
            <w:pPr>
              <w:ind w:left="100"/>
              <w:spacing w:after="0" w:line="107" w:lineRule="exact"/>
              <w:rPr>
                <w:sz w:val="20"/>
                <w:szCs w:val="20"/>
                <w:color w:val="auto"/>
              </w:rPr>
            </w:pPr>
            <w:r>
              <w:rPr>
                <w:rFonts w:ascii="Times New Roman" w:cs="Times New Roman" w:eastAsia="Times New Roman" w:hAnsi="Times New Roman"/>
                <w:sz w:val="12"/>
                <w:szCs w:val="12"/>
                <w:color w:val="auto"/>
              </w:rPr>
              <w:t>Investment Fund</w:t>
            </w:r>
          </w:p>
        </w:tc>
        <w:tc>
          <w:tcPr>
            <w:tcW w:w="1640" w:type="dxa"/>
            <w:vAlign w:val="bottom"/>
            <w:gridSpan w:val="3"/>
            <w:vMerge w:val="restart"/>
          </w:tcPr>
          <w:p>
            <w:pPr>
              <w:ind w:left="100"/>
              <w:spacing w:after="0" w:line="107" w:lineRule="exact"/>
              <w:rPr>
                <w:sz w:val="20"/>
                <w:szCs w:val="20"/>
                <w:color w:val="auto"/>
              </w:rPr>
            </w:pPr>
            <w:r>
              <w:rPr>
                <w:rFonts w:ascii="Times New Roman" w:cs="Times New Roman" w:eastAsia="Times New Roman" w:hAnsi="Times New Roman"/>
                <w:sz w:val="12"/>
                <w:szCs w:val="12"/>
                <w:color w:val="auto"/>
              </w:rPr>
              <w:t>Unsecured Loan</w:t>
            </w: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vMerge w:val="restart"/>
          </w:tcPr>
          <w:p>
            <w:pPr>
              <w:ind w:left="60"/>
              <w:spacing w:after="0" w:line="107" w:lineRule="exact"/>
              <w:rPr>
                <w:sz w:val="20"/>
                <w:szCs w:val="20"/>
                <w:color w:val="auto"/>
              </w:rPr>
            </w:pPr>
            <w:r>
              <w:rPr>
                <w:rFonts w:ascii="Times New Roman" w:cs="Times New Roman" w:eastAsia="Times New Roman" w:hAnsi="Times New Roman"/>
                <w:sz w:val="12"/>
                <w:szCs w:val="12"/>
                <w:color w:val="auto"/>
              </w:rPr>
              <w:t>535 Madison Avenue,</w:t>
            </w:r>
          </w:p>
        </w:tc>
        <w:tc>
          <w:tcPr>
            <w:tcW w:w="0" w:type="dxa"/>
            <w:vAlign w:val="bottom"/>
          </w:tcPr>
          <w:p>
            <w:pPr>
              <w:spacing w:after="0" w:line="20" w:lineRule="exact"/>
              <w:rPr>
                <w:sz w:val="1"/>
                <w:szCs w:val="1"/>
                <w:color w:val="auto"/>
              </w:rPr>
            </w:pPr>
          </w:p>
        </w:tc>
      </w:tr>
      <w:tr>
        <w:trPr>
          <w:trHeight w:val="86"/>
        </w:trPr>
        <w:tc>
          <w:tcPr>
            <w:tcW w:w="2300" w:type="dxa"/>
            <w:vAlign w:val="bottom"/>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640" w:type="dxa"/>
            <w:vAlign w:val="bottom"/>
            <w:gridSpan w:val="3"/>
            <w:vMerge w:val="continue"/>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12/17/2021</w:t>
            </w:r>
          </w:p>
        </w:tc>
        <w:tc>
          <w:tcPr>
            <w:tcW w:w="10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17,618,954</w:t>
            </w:r>
          </w:p>
        </w:tc>
        <w:tc>
          <w:tcPr>
            <w:tcW w:w="12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17,618,954</w:t>
            </w:r>
          </w:p>
        </w:tc>
        <w:tc>
          <w:tcPr>
            <w:tcW w:w="10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16,183,009</w:t>
            </w:r>
          </w:p>
        </w:tc>
        <w:tc>
          <w:tcPr>
            <w:tcW w:w="200" w:type="dxa"/>
            <w:vAlign w:val="bottom"/>
            <w:vMerge w:val="restart"/>
          </w:tcPr>
          <w:p>
            <w:pPr>
              <w:spacing w:after="0"/>
              <w:rPr>
                <w:sz w:val="7"/>
                <w:szCs w:val="7"/>
                <w:color w:val="auto"/>
              </w:rPr>
            </w:pPr>
          </w:p>
        </w:tc>
        <w:tc>
          <w:tcPr>
            <w:tcW w:w="8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3.9%</w:t>
            </w:r>
          </w:p>
        </w:tc>
        <w:tc>
          <w:tcPr>
            <w:tcW w:w="1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10.00%, 10/20/2033</w:t>
            </w: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New York, NY, 10022</w:t>
            </w:r>
          </w:p>
        </w:tc>
        <w:tc>
          <w:tcPr>
            <w:tcW w:w="0" w:type="dxa"/>
            <w:vAlign w:val="bottom"/>
          </w:tcPr>
          <w:p>
            <w:pPr>
              <w:spacing w:after="0"/>
              <w:rPr>
                <w:sz w:val="1"/>
                <w:szCs w:val="1"/>
                <w:color w:val="auto"/>
              </w:rPr>
            </w:pPr>
          </w:p>
        </w:tc>
      </w:tr>
      <w:tr>
        <w:trPr>
          <w:trHeight w:val="106"/>
        </w:trPr>
        <w:tc>
          <w:tcPr>
            <w:tcW w:w="230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w w:val="99"/>
              </w:rPr>
              <w:t>Saratoga Senior Loan Fund I JV, LLC (a)(g)(n)</w:t>
            </w:r>
          </w:p>
        </w:tc>
        <w:tc>
          <w:tcPr>
            <w:tcW w:w="1320" w:type="dxa"/>
            <w:vAlign w:val="bottom"/>
            <w:gridSpan w:val="2"/>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Investment Fund</w:t>
            </w:r>
          </w:p>
        </w:tc>
        <w:tc>
          <w:tcPr>
            <w:tcW w:w="1640" w:type="dxa"/>
            <w:vAlign w:val="bottom"/>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2"/>
                <w:szCs w:val="12"/>
                <w:color w:val="auto"/>
              </w:rPr>
              <w:t>Membership Interest</w:t>
            </w: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80" w:type="dxa"/>
            <w:vAlign w:val="bottom"/>
            <w:gridSpan w:val="2"/>
            <w:shd w:val="clear" w:color="auto" w:fill="CCEEFF"/>
          </w:tcPr>
          <w:p>
            <w:pPr>
              <w:ind w:left="60"/>
              <w:spacing w:after="0" w:line="107" w:lineRule="exact"/>
              <w:rPr>
                <w:sz w:val="20"/>
                <w:szCs w:val="20"/>
                <w:color w:val="auto"/>
              </w:rPr>
            </w:pPr>
            <w:r>
              <w:rPr>
                <w:rFonts w:ascii="Times New Roman" w:cs="Times New Roman" w:eastAsia="Times New Roman" w:hAnsi="Times New Roman"/>
                <w:sz w:val="12"/>
                <w:szCs w:val="12"/>
                <w:color w:val="auto"/>
              </w:rPr>
              <w:t>535 Madison Avenue,</w:t>
            </w:r>
          </w:p>
        </w:tc>
        <w:tc>
          <w:tcPr>
            <w:tcW w:w="0" w:type="dxa"/>
            <w:vAlign w:val="bottom"/>
          </w:tcPr>
          <w:p>
            <w:pPr>
              <w:spacing w:after="0"/>
              <w:rPr>
                <w:sz w:val="1"/>
                <w:szCs w:val="1"/>
                <w:color w:val="auto"/>
              </w:rPr>
            </w:pPr>
          </w:p>
        </w:tc>
      </w:tr>
      <w:tr>
        <w:trPr>
          <w:trHeight w:val="153"/>
        </w:trPr>
        <w:tc>
          <w:tcPr>
            <w:tcW w:w="2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12/17/2021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19,197,861</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19,197,861</w:t>
            </w:r>
          </w:p>
        </w:tc>
        <w:tc>
          <w:tcPr>
            <w:tcW w:w="10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6,582,069</w:t>
            </w:r>
          </w:p>
        </w:tc>
        <w:tc>
          <w:tcPr>
            <w:tcW w:w="2100" w:type="dxa"/>
            <w:vAlign w:val="bottom"/>
            <w:gridSpan w:val="5"/>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1.6%  New York, NY, 10022</w:t>
            </w:r>
          </w:p>
        </w:tc>
        <w:tc>
          <w:tcPr>
            <w:tcW w:w="0" w:type="dxa"/>
            <w:vAlign w:val="bottom"/>
          </w:tcPr>
          <w:p>
            <w:pPr>
              <w:spacing w:after="0"/>
              <w:rPr>
                <w:sz w:val="1"/>
                <w:szCs w:val="1"/>
                <w:color w:val="auto"/>
              </w:rPr>
            </w:pPr>
          </w:p>
        </w:tc>
      </w:tr>
      <w:tr>
        <w:trPr>
          <w:trHeight w:val="115"/>
        </w:trPr>
        <w:tc>
          <w:tcPr>
            <w:tcW w:w="23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20" w:type="dxa"/>
            <w:vAlign w:val="bottom"/>
            <w:tcBorders>
              <w:bottom w:val="single" w:sz="8" w:color="CCEEFF"/>
            </w:tcBorders>
          </w:tcPr>
          <w:p>
            <w:pPr>
              <w:spacing w:after="0"/>
              <w:rPr>
                <w:sz w:val="10"/>
                <w:szCs w:val="10"/>
                <w:color w:val="auto"/>
              </w:rPr>
            </w:pPr>
          </w:p>
        </w:tc>
        <w:tc>
          <w:tcPr>
            <w:tcW w:w="1640" w:type="dxa"/>
            <w:vAlign w:val="bottom"/>
            <w:tcBorders>
              <w:bottom w:val="single" w:sz="8" w:color="CCEEFF"/>
            </w:tcBorders>
            <w:gridSpan w:val="3"/>
          </w:tcPr>
          <w:p>
            <w:pPr>
              <w:ind w:left="100"/>
              <w:spacing w:after="0" w:line="115" w:lineRule="exact"/>
              <w:rPr>
                <w:sz w:val="20"/>
                <w:szCs w:val="20"/>
                <w:color w:val="auto"/>
              </w:rPr>
            </w:pPr>
            <w:r>
              <w:rPr>
                <w:rFonts w:ascii="Times New Roman" w:cs="Times New Roman" w:eastAsia="Times New Roman" w:hAnsi="Times New Roman"/>
                <w:sz w:val="12"/>
                <w:szCs w:val="12"/>
                <w:color w:val="auto"/>
              </w:rPr>
              <w:t>Total Investment Fund</w:t>
            </w:r>
          </w:p>
        </w:tc>
        <w:tc>
          <w:tcPr>
            <w:tcW w:w="8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36,816,815</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22,765,078</w:t>
            </w:r>
          </w:p>
        </w:tc>
        <w:tc>
          <w:tcPr>
            <w:tcW w:w="20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5.5</w:t>
            </w:r>
          </w:p>
        </w:tc>
        <w:tc>
          <w:tcPr>
            <w:tcW w:w="160" w:type="dxa"/>
            <w:vAlign w:val="bottom"/>
            <w:tcBorders>
              <w:bottom w:val="single" w:sz="8" w:color="CCEEFF"/>
            </w:tcBorders>
            <w:gridSpan w:val="2"/>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0"/>
                <w:szCs w:val="10"/>
                <w:color w:val="auto"/>
              </w:rPr>
            </w:pPr>
          </w:p>
        </w:tc>
        <w:tc>
          <w:tcPr>
            <w:tcW w:w="12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30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Sub Total Control investments</w:t>
            </w: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75,101,057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42,528,435</w:t>
            </w:r>
          </w:p>
        </w:tc>
        <w:tc>
          <w:tcPr>
            <w:tcW w:w="20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b w:val="1"/>
                <w:bCs w:val="1"/>
                <w:color w:val="auto"/>
              </w:rPr>
              <w:t>10.3</w:t>
            </w:r>
          </w:p>
        </w:tc>
        <w:tc>
          <w:tcPr>
            <w:tcW w:w="1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300" w:type="dxa"/>
            <w:vAlign w:val="bottom"/>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TOTAL INVESTMENTS - 245.9% (b)</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w w:val="99"/>
              </w:rPr>
              <w:t>$ 1,033,877,894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w w:val="99"/>
              </w:rPr>
              <w:t>$ 1,015,950,344</w:t>
            </w:r>
          </w:p>
        </w:tc>
        <w:tc>
          <w:tcPr>
            <w:tcW w:w="200" w:type="dxa"/>
            <w:vAlign w:val="bottom"/>
          </w:tcPr>
          <w:p>
            <w:pPr>
              <w:spacing w:after="0"/>
              <w:rPr>
                <w:sz w:val="11"/>
                <w:szCs w:val="11"/>
                <w:color w:val="auto"/>
              </w:rPr>
            </w:pPr>
          </w:p>
        </w:tc>
        <w:tc>
          <w:tcPr>
            <w:tcW w:w="66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245.9</w:t>
            </w:r>
          </w:p>
        </w:tc>
        <w:tc>
          <w:tcPr>
            <w:tcW w:w="160" w:type="dxa"/>
            <w:vAlign w:val="bottom"/>
            <w:gridSpan w:val="2"/>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679" w:right="319" w:bottom="1440" w:gutter="0" w:footer="0" w:header="0"/>
        </w:sectPr>
      </w:pPr>
    </w:p>
    <w:bookmarkStart w:id="35" w:name="page36"/>
    <w:bookmarkEnd w:id="35"/>
    <w:p>
      <w:pPr>
        <w:spacing w:after="0" w:line="200" w:lineRule="exact"/>
        <w:rPr>
          <w:sz w:val="20"/>
          <w:szCs w:val="20"/>
          <w:color w:val="auto"/>
        </w:rPr>
      </w:pPr>
    </w:p>
    <w:p>
      <w:pPr>
        <w:spacing w:after="0" w:line="3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Cash and cash equivalents and cash and cash equivalents, reserve accounts - 41.0%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55180" cy="114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U.S. Bank Money Market (l)</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Valley National Bank Money Market (1)</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Total cash and cash equivalents and cash and cash equivalents, reserve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55180" cy="135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55180"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right"/>
              <w:ind w:right="485"/>
              <w:spacing w:after="0"/>
              <w:rPr>
                <w:sz w:val="20"/>
                <w:szCs w:val="20"/>
                <w:color w:val="auto"/>
              </w:rPr>
            </w:pPr>
            <w:r>
              <w:rPr>
                <w:rFonts w:ascii="Times New Roman" w:cs="Times New Roman" w:eastAsia="Times New Roman" w:hAnsi="Times New Roman"/>
                <w:sz w:val="15"/>
                <w:szCs w:val="15"/>
                <w:b w:val="1"/>
                <w:bCs w:val="1"/>
                <w:color w:val="auto"/>
              </w:rPr>
              <w:t>% of</w:t>
            </w:r>
          </w:p>
        </w:tc>
        <w:tc>
          <w:tcPr>
            <w:tcW w:w="0" w:type="dxa"/>
            <w:vAlign w:val="bottom"/>
          </w:tcPr>
          <w:p>
            <w:pPr>
              <w:spacing w:after="0"/>
              <w:rPr>
                <w:sz w:val="1"/>
                <w:szCs w:val="1"/>
                <w:color w:val="auto"/>
              </w:rPr>
            </w:pPr>
          </w:p>
        </w:tc>
      </w:tr>
      <w:tr>
        <w:trPr>
          <w:trHeight w:val="180"/>
        </w:trPr>
        <w:tc>
          <w:tcPr>
            <w:tcW w:w="114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right"/>
              <w:ind w:right="545"/>
              <w:spacing w:after="0"/>
              <w:rPr>
                <w:sz w:val="20"/>
                <w:szCs w:val="20"/>
                <w:color w:val="auto"/>
              </w:rPr>
            </w:pPr>
            <w:r>
              <w:rPr>
                <w:rFonts w:ascii="Times New Roman" w:cs="Times New Roman" w:eastAsia="Times New Roman" w:hAnsi="Times New Roman"/>
                <w:sz w:val="15"/>
                <w:szCs w:val="15"/>
                <w:b w:val="1"/>
                <w:bCs w:val="1"/>
                <w:color w:val="auto"/>
              </w:rPr>
              <w:t>Net</w:t>
            </w:r>
          </w:p>
        </w:tc>
        <w:tc>
          <w:tcPr>
            <w:tcW w:w="0" w:type="dxa"/>
            <w:vAlign w:val="bottom"/>
          </w:tcPr>
          <w:p>
            <w:pPr>
              <w:spacing w:after="0"/>
              <w:rPr>
                <w:sz w:val="1"/>
                <w:szCs w:val="1"/>
                <w:color w:val="auto"/>
              </w:rPr>
            </w:pPr>
          </w:p>
        </w:tc>
      </w:tr>
      <w:tr>
        <w:trPr>
          <w:trHeight w:val="199"/>
        </w:trPr>
        <w:tc>
          <w:tcPr>
            <w:tcW w:w="11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Cost</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00" w:type="dxa"/>
            <w:vAlign w:val="bottom"/>
          </w:tcPr>
          <w:p>
            <w:pPr>
              <w:spacing w:after="0"/>
              <w:rPr>
                <w:sz w:val="17"/>
                <w:szCs w:val="17"/>
                <w:color w:val="auto"/>
              </w:rPr>
            </w:pPr>
          </w:p>
        </w:tc>
        <w:tc>
          <w:tcPr>
            <w:tcW w:w="110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167,058,210</w:t>
            </w:r>
          </w:p>
        </w:tc>
        <w:tc>
          <w:tcPr>
            <w:tcW w:w="44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167,058,210</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167,058,210</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40.4%</w:t>
            </w:r>
          </w:p>
        </w:tc>
        <w:tc>
          <w:tcPr>
            <w:tcW w:w="0" w:type="dxa"/>
            <w:vAlign w:val="bottom"/>
          </w:tcPr>
          <w:p>
            <w:pPr>
              <w:spacing w:after="0"/>
              <w:rPr>
                <w:sz w:val="1"/>
                <w:szCs w:val="1"/>
                <w:color w:val="auto"/>
              </w:rPr>
            </w:pPr>
          </w:p>
        </w:tc>
      </w:tr>
      <w:tr>
        <w:trPr>
          <w:trHeight w:val="195"/>
        </w:trPr>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2,500,000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2,500,000</w:t>
            </w:r>
          </w:p>
        </w:tc>
        <w:tc>
          <w:tcPr>
            <w:tcW w:w="14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2,500,000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0" w:type="dxa"/>
            <w:vAlign w:val="bottom"/>
          </w:tcPr>
          <w:p>
            <w:pPr>
              <w:spacing w:after="0"/>
              <w:rPr>
                <w:sz w:val="1"/>
                <w:szCs w:val="1"/>
                <w:color w:val="auto"/>
              </w:rPr>
            </w:pPr>
          </w:p>
        </w:tc>
      </w:tr>
      <w:tr>
        <w:trPr>
          <w:trHeight w:val="18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169,558,210</w:t>
            </w:r>
          </w:p>
        </w:tc>
        <w:tc>
          <w:tcPr>
            <w:tcW w:w="2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169,558,210</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169,558,210</w:t>
            </w:r>
          </w:p>
        </w:tc>
        <w:tc>
          <w:tcPr>
            <w:tcW w:w="200" w:type="dxa"/>
            <w:vAlign w:val="bottom"/>
          </w:tcPr>
          <w:p>
            <w:pPr>
              <w:spacing w:after="0"/>
              <w:rPr>
                <w:sz w:val="15"/>
                <w:szCs w:val="15"/>
                <w:color w:val="auto"/>
              </w:rPr>
            </w:pP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41.0</w:t>
            </w: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2">
            <w:col w:w="5550" w:space="420"/>
            <w:col w:w="5300"/>
          </w:cols>
          <w:pgMar w:left="310" w:top="741" w:right="319" w:bottom="1440" w:gutter="0" w:footer="0" w:header="0"/>
        </w:sectPr>
      </w:pPr>
    </w:p>
    <w:p>
      <w:pPr>
        <w:ind w:left="270" w:right="100" w:hanging="270"/>
        <w:spacing w:after="0" w:line="261" w:lineRule="auto"/>
        <w:tabs>
          <w:tab w:leader="none" w:pos="27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are exempt from registration under Rule 144A of the Securities Act and are restricted securities. Money market funds are valued at net asset value and are considered level 1 investments within the fair value hierarchy.</w:t>
      </w:r>
    </w:p>
    <w:p>
      <w:pPr>
        <w:spacing w:after="0" w:line="1" w:lineRule="exact"/>
        <w:rPr>
          <w:sz w:val="20"/>
          <w:szCs w:val="20"/>
          <w:color w:val="auto"/>
        </w:rPr>
      </w:pPr>
    </w:p>
    <w:p>
      <w:pPr>
        <w:ind w:left="270" w:right="360" w:hanging="270"/>
        <w:spacing w:after="0" w:line="251" w:lineRule="auto"/>
        <w:tabs>
          <w:tab w:leader="none" w:pos="27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investment that is not a “qualifying asset” under Section 55(a) of the 1940 Act. As of November 30, 2025, non-qualifying assets represent 8.2% of the Company’s portfolio at fair value. As a BDC, the Company generally has to invest at least 70% of its total assets in qualifying assets.</w:t>
      </w:r>
    </w:p>
    <w:p>
      <w:pPr>
        <w:ind w:left="270" w:hanging="270"/>
        <w:spacing w:after="0"/>
        <w:tabs>
          <w:tab w:leader="none" w:pos="27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Percentages are based on net assets of $413,206,912 as of November 30, 2025.</w:t>
      </w:r>
    </w:p>
    <w:p>
      <w:pPr>
        <w:spacing w:after="0" w:line="7" w:lineRule="exact"/>
        <w:rPr>
          <w:rFonts w:ascii="Times New Roman" w:cs="Times New Roman" w:eastAsia="Times New Roman" w:hAnsi="Times New Roman"/>
          <w:sz w:val="15"/>
          <w:szCs w:val="15"/>
          <w:color w:val="auto"/>
        </w:rPr>
      </w:pPr>
    </w:p>
    <w:p>
      <w:pPr>
        <w:ind w:left="270" w:right="160" w:hanging="270"/>
        <w:spacing w:after="0" w:line="251" w:lineRule="auto"/>
        <w:tabs>
          <w:tab w:leader="none" w:pos="27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Because there is no “readily available market quotations” (as defined in the 1940 Act) for these investments, the fair values of these investments were determined using significant unobservable inputs and approved in good faith by our board of directors. These investments have been included as Level 3 in the Fair Value Hierarchy, except for the CLO BB and BBB debt which are level 2 investments (see Note 3 to the consolidated financial statements in the Quarterly Report on Form 10-Q for the quarter ended November 30, 2025).</w:t>
      </w:r>
    </w:p>
    <w:p>
      <w:pPr>
        <w:ind w:left="270" w:right="180" w:hanging="270"/>
        <w:spacing w:after="0" w:line="251" w:lineRule="auto"/>
        <w:tabs>
          <w:tab w:leader="none" w:pos="27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securities are either fully or partially pledged as collateral under the Company’s senior secured revolving credit facility (see Note 8 to the consolidated financial statements in the Quarterly Report on Form 10-Q for the quarter ended November 30, 2025).</w:t>
      </w:r>
    </w:p>
    <w:p>
      <w:pPr>
        <w:ind w:left="270" w:right="100" w:hanging="270"/>
        <w:spacing w:after="0" w:line="251" w:lineRule="auto"/>
        <w:tabs>
          <w:tab w:leader="none" w:pos="27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investment does not have a stated interest rate that is payable thereon. As a result, the 0.00% interest rate in the table above represents the effective interest rate currently earned on the investment cost and is based on the current cash interest and other income generated by the investment.</w:t>
      </w:r>
    </w:p>
    <w:p>
      <w:pPr>
        <w:ind w:left="270" w:right="320" w:hanging="270"/>
        <w:spacing w:after="0" w:line="262" w:lineRule="auto"/>
        <w:tabs>
          <w:tab w:leader="none" w:pos="27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defined in the 1940 Act, this portfolio company is an “affiliate” as we own between 5.0% and 25.0% of the outstanding voting securities. Transactions during the nine months ended November 30, 2025 in which the issuer was an affiliate are as follows: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Net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Fair</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Realized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Net Change</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Value at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Gain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in</w:t>
            </w:r>
          </w:p>
        </w:tc>
        <w:tc>
          <w:tcPr>
            <w:tcW w:w="10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4"/>
              </w:rPr>
              <w:t>Fair</w:t>
            </w:r>
          </w:p>
        </w:tc>
      </w:tr>
      <w:tr>
        <w:trPr>
          <w:trHeight w:val="180"/>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the</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9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Management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(Loss)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Unrealized</w:t>
            </w:r>
          </w:p>
        </w:tc>
        <w:tc>
          <w:tcPr>
            <w:tcW w:w="100" w:type="dxa"/>
            <w:vAlign w:val="bottom"/>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5"/>
              </w:rPr>
              <w:t>Value</w:t>
            </w:r>
          </w:p>
        </w:tc>
      </w:tr>
      <w:tr>
        <w:trPr>
          <w:trHeight w:val="180"/>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Beginning</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Purchases/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Sales/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4"/>
              </w:rPr>
              <w:t>from</w:t>
            </w:r>
          </w:p>
        </w:tc>
        <w:tc>
          <w:tcPr>
            <w:tcW w:w="12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Fee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from</w:t>
            </w:r>
          </w:p>
        </w:tc>
        <w:tc>
          <w:tcPr>
            <w:tcW w:w="100" w:type="dxa"/>
            <w:vAlign w:val="bottom"/>
          </w:tcPr>
          <w:p>
            <w:pPr>
              <w:spacing w:after="0"/>
              <w:rPr>
                <w:sz w:val="15"/>
                <w:szCs w:val="15"/>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Appreciation</w:t>
            </w:r>
          </w:p>
        </w:tc>
        <w:tc>
          <w:tcPr>
            <w:tcW w:w="10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at End of</w:t>
            </w:r>
          </w:p>
        </w:tc>
      </w:tr>
      <w:tr>
        <w:trPr>
          <w:trHeight w:val="199"/>
        </w:trPr>
        <w:tc>
          <w:tcPr>
            <w:tcW w:w="3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Company</w:t>
            </w:r>
          </w:p>
        </w:tc>
        <w:tc>
          <w:tcPr>
            <w:tcW w:w="12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5"/>
              </w:rPr>
              <w:t>of Year</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Add-ons</w:t>
            </w:r>
          </w:p>
        </w:tc>
        <w:tc>
          <w:tcPr>
            <w:tcW w:w="120" w:type="dxa"/>
            <w:vAlign w:val="bottom"/>
          </w:tcPr>
          <w:p>
            <w:pPr>
              <w:spacing w:after="0"/>
              <w:rPr>
                <w:sz w:val="17"/>
                <w:szCs w:val="17"/>
                <w:color w:val="auto"/>
              </w:rPr>
            </w:pPr>
          </w:p>
        </w:tc>
        <w:tc>
          <w:tcPr>
            <w:tcW w:w="880" w:type="dxa"/>
            <w:vAlign w:val="bottom"/>
            <w:gridSpan w:val="3"/>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Paydowns</w:t>
            </w:r>
          </w:p>
        </w:tc>
        <w:tc>
          <w:tcPr>
            <w:tcW w:w="1060" w:type="dxa"/>
            <w:vAlign w:val="bottom"/>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1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Income</w:t>
            </w:r>
          </w:p>
        </w:tc>
        <w:tc>
          <w:tcPr>
            <w:tcW w:w="960" w:type="dxa"/>
            <w:vAlign w:val="bottom"/>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(Depreciation)</w:t>
            </w:r>
          </w:p>
        </w:tc>
        <w:tc>
          <w:tcPr>
            <w:tcW w:w="10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Period</w:t>
            </w:r>
          </w:p>
        </w:tc>
      </w:tr>
      <w:tr>
        <w:trPr>
          <w:trHeight w:val="172"/>
        </w:trPr>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Axero Holdings, LLC</w:t>
            </w:r>
          </w:p>
        </w:tc>
        <w:tc>
          <w:tcPr>
            <w:tcW w:w="1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$ 27,179,347</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1,521,172</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248,579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$ 28,341,989</w:t>
            </w:r>
          </w:p>
        </w:tc>
        <w:tc>
          <w:tcPr>
            <w:tcW w:w="100" w:type="dxa"/>
            <w:vAlign w:val="bottom"/>
            <w:tcBorders>
              <w:top w:val="single" w:sz="8" w:color="CCEEFF"/>
            </w:tcBorders>
            <w:shd w:val="clear" w:color="auto" w:fill="CCEEFF"/>
          </w:tcPr>
          <w:p>
            <w:pPr>
              <w:spacing w:after="0"/>
              <w:rPr>
                <w:sz w:val="14"/>
                <w:szCs w:val="14"/>
                <w:color w:val="auto"/>
              </w:rPr>
            </w:pPr>
          </w:p>
        </w:tc>
      </w:tr>
      <w:tr>
        <w:trPr>
          <w:trHeight w:val="180"/>
        </w:trPr>
        <w:tc>
          <w:tcPr>
            <w:tcW w:w="3140" w:type="dxa"/>
            <w:vAlign w:val="bottom"/>
          </w:tcPr>
          <w:p>
            <w:pPr>
              <w:spacing w:after="0"/>
              <w:rPr>
                <w:sz w:val="20"/>
                <w:szCs w:val="20"/>
                <w:color w:val="auto"/>
              </w:rPr>
            </w:pPr>
            <w:r>
              <w:rPr>
                <w:rFonts w:ascii="Times New Roman" w:cs="Times New Roman" w:eastAsia="Times New Roman" w:hAnsi="Times New Roman"/>
                <w:sz w:val="15"/>
                <w:szCs w:val="15"/>
                <w:color w:val="auto"/>
              </w:rPr>
              <w:t>ETU Holdings, Inc.</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13,368,085</w:t>
            </w: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730,280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1,601,122</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410,764</w:t>
            </w:r>
          </w:p>
        </w:tc>
        <w:tc>
          <w:tcPr>
            <w:tcW w:w="100" w:type="dxa"/>
            <w:vAlign w:val="bottom"/>
          </w:tcPr>
          <w:p>
            <w:pPr>
              <w:spacing w:after="0"/>
              <w:rPr>
                <w:sz w:val="15"/>
                <w:szCs w:val="15"/>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15,468,048</w:t>
            </w:r>
          </w:p>
        </w:tc>
      </w:tr>
      <w:tr>
        <w:trPr>
          <w:trHeight w:val="19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SmartAC.com,LLC</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10,939,999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(2,602,913)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639,362</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129,773</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8,488,752</w:t>
            </w:r>
          </w:p>
        </w:tc>
        <w:tc>
          <w:tcPr>
            <w:tcW w:w="100" w:type="dxa"/>
            <w:vAlign w:val="bottom"/>
            <w:shd w:val="clear" w:color="auto" w:fill="CCEEFF"/>
          </w:tcPr>
          <w:p>
            <w:pPr>
              <w:spacing w:after="0"/>
              <w:rPr>
                <w:sz w:val="16"/>
                <w:szCs w:val="16"/>
                <w:color w:val="auto"/>
              </w:rPr>
            </w:pPr>
          </w:p>
        </w:tc>
      </w:tr>
      <w:tr>
        <w:trPr>
          <w:trHeight w:val="172"/>
        </w:trPr>
        <w:tc>
          <w:tcPr>
            <w:tcW w:w="3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8"/>
              </w:rPr>
              <w:t>$ 40,547,432</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11,670,279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(2,602,913</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3,761,656</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789,116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$ 52,298,789</w:t>
            </w:r>
          </w:p>
        </w:tc>
        <w:tc>
          <w:tcPr>
            <w:tcW w:w="100" w:type="dxa"/>
            <w:vAlign w:val="bottom"/>
          </w:tcPr>
          <w:p>
            <w:pPr>
              <w:spacing w:after="0"/>
              <w:rPr>
                <w:sz w:val="14"/>
                <w:szCs w:val="14"/>
                <w:color w:val="auto"/>
              </w:rPr>
            </w:pPr>
          </w:p>
        </w:tc>
      </w:tr>
      <w:tr>
        <w:trPr>
          <w:trHeight w:val="535"/>
        </w:trPr>
        <w:tc>
          <w:tcPr>
            <w:tcW w:w="3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70"/>
          </w:cols>
          <w:pgMar w:left="310" w:top="741" w:right="319" w:bottom="1440" w:gutter="0" w:footer="0" w:header="0"/>
          <w:type w:val="continuous"/>
        </w:sectPr>
      </w:pPr>
    </w:p>
    <w:bookmarkStart w:id="36" w:name="page37"/>
    <w:bookmarkEnd w:id="36"/>
    <w:p>
      <w:pPr>
        <w:ind w:left="270" w:right="260" w:hanging="270"/>
        <w:spacing w:after="0" w:line="283" w:lineRule="auto"/>
        <w:tabs>
          <w:tab w:leader="none" w:pos="27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defined in the 1940 Act, we “control” this portfolio company because we own more than 25% of the portfolio company’s outstanding voting securities. Transactions during the nine months ended November 30, 2025 in which the issuer was both an affiliate and a portfolio company that we control are as follows:</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Net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Realized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Net</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Fair</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Gain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Change in</w:t>
            </w:r>
          </w:p>
        </w:tc>
        <w:tc>
          <w:tcPr>
            <w:tcW w:w="14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Fair</w:t>
            </w:r>
          </w:p>
        </w:tc>
      </w:tr>
      <w:tr>
        <w:trPr>
          <w:trHeight w:val="180"/>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Value at</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Dividends</w:t>
            </w:r>
          </w:p>
        </w:tc>
        <w:tc>
          <w:tcPr>
            <w:tcW w:w="80" w:type="dxa"/>
            <w:vAlign w:val="bottom"/>
          </w:tcPr>
          <w:p>
            <w:pPr>
              <w:spacing w:after="0"/>
              <w:rPr>
                <w:sz w:val="15"/>
                <w:szCs w:val="15"/>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Management</w:t>
            </w:r>
          </w:p>
        </w:tc>
        <w:tc>
          <w:tcPr>
            <w:tcW w:w="10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6"/>
              </w:rPr>
              <w:t>(Loss)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Unrealized</w:t>
            </w:r>
          </w:p>
        </w:tc>
        <w:tc>
          <w:tcPr>
            <w:tcW w:w="140" w:type="dxa"/>
            <w:vAlign w:val="bottom"/>
          </w:tcPr>
          <w:p>
            <w:pPr>
              <w:spacing w:after="0"/>
              <w:rPr>
                <w:sz w:val="15"/>
                <w:szCs w:val="15"/>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6"/>
              </w:rPr>
              <w:t>Value at</w:t>
            </w:r>
          </w:p>
        </w:tc>
      </w:tr>
      <w:tr>
        <w:trPr>
          <w:trHeight w:val="180"/>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the Beginning</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Purchases/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ind w:left="200"/>
              <w:spacing w:after="0"/>
              <w:rPr>
                <w:sz w:val="20"/>
                <w:szCs w:val="20"/>
                <w:color w:val="auto"/>
              </w:rPr>
            </w:pPr>
            <w:r>
              <w:rPr>
                <w:rFonts w:ascii="Times New Roman" w:cs="Times New Roman" w:eastAsia="Times New Roman" w:hAnsi="Times New Roman"/>
                <w:sz w:val="15"/>
                <w:szCs w:val="15"/>
                <w:b w:val="1"/>
                <w:bCs w:val="1"/>
                <w:color w:val="auto"/>
              </w:rPr>
              <w:t>Sales/</w:t>
            </w:r>
          </w:p>
        </w:tc>
        <w:tc>
          <w:tcPr>
            <w:tcW w:w="10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from</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4"/>
              </w:rPr>
              <w:t>from</w:t>
            </w:r>
          </w:p>
        </w:tc>
        <w:tc>
          <w:tcPr>
            <w:tcW w:w="80" w:type="dxa"/>
            <w:vAlign w:val="bottom"/>
          </w:tcPr>
          <w:p>
            <w:pPr>
              <w:spacing w:after="0"/>
              <w:rPr>
                <w:sz w:val="15"/>
                <w:szCs w:val="15"/>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Fee</w:t>
            </w:r>
          </w:p>
        </w:tc>
        <w:tc>
          <w:tcPr>
            <w:tcW w:w="10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from</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Appreciation</w:t>
            </w:r>
          </w:p>
        </w:tc>
        <w:tc>
          <w:tcPr>
            <w:tcW w:w="140" w:type="dxa"/>
            <w:vAlign w:val="bottom"/>
          </w:tcPr>
          <w:p>
            <w:pPr>
              <w:spacing w:after="0"/>
              <w:rPr>
                <w:sz w:val="15"/>
                <w:szCs w:val="15"/>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End of</w:t>
            </w:r>
          </w:p>
        </w:tc>
      </w:tr>
      <w:tr>
        <w:trPr>
          <w:trHeight w:val="199"/>
        </w:trPr>
        <w:tc>
          <w:tcPr>
            <w:tcW w:w="1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Company</w:t>
            </w:r>
          </w:p>
        </w:tc>
        <w:tc>
          <w:tcPr>
            <w:tcW w:w="140" w:type="dxa"/>
            <w:vAlign w:val="bottom"/>
          </w:tcPr>
          <w:p>
            <w:pPr>
              <w:spacing w:after="0"/>
              <w:rPr>
                <w:sz w:val="17"/>
                <w:szCs w:val="17"/>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of Year</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Add-ons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Paydowns</w:t>
            </w:r>
          </w:p>
        </w:tc>
        <w:tc>
          <w:tcPr>
            <w:tcW w:w="100" w:type="dxa"/>
            <w:vAlign w:val="bottom"/>
          </w:tcPr>
          <w:p>
            <w:pPr>
              <w:spacing w:after="0"/>
              <w:rPr>
                <w:sz w:val="17"/>
                <w:szCs w:val="17"/>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80" w:type="dxa"/>
            <w:vAlign w:val="bottom"/>
          </w:tcPr>
          <w:p>
            <w:pPr>
              <w:spacing w:after="0"/>
              <w:rPr>
                <w:sz w:val="17"/>
                <w:szCs w:val="17"/>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100" w:type="dxa"/>
            <w:vAlign w:val="bottom"/>
          </w:tcPr>
          <w:p>
            <w:pPr>
              <w:spacing w:after="0"/>
              <w:rPr>
                <w:sz w:val="17"/>
                <w:szCs w:val="17"/>
                <w:color w:val="auto"/>
              </w:rPr>
            </w:pPr>
          </w:p>
        </w:tc>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(Depreciation)</w:t>
            </w:r>
          </w:p>
        </w:tc>
        <w:tc>
          <w:tcPr>
            <w:tcW w:w="140" w:type="dxa"/>
            <w:vAlign w:val="bottom"/>
          </w:tcPr>
          <w:p>
            <w:pPr>
              <w:spacing w:after="0"/>
              <w:rPr>
                <w:sz w:val="17"/>
                <w:szCs w:val="17"/>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8"/>
              </w:rPr>
              <w:t>Period</w:t>
            </w:r>
          </w:p>
        </w:tc>
      </w:tr>
      <w:tr>
        <w:trPr>
          <w:trHeight w:val="157"/>
        </w:trPr>
        <w:tc>
          <w:tcPr>
            <w:tcW w:w="1120" w:type="dxa"/>
            <w:vAlign w:val="bottom"/>
            <w:tcBorders>
              <w:top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Netreo Holdings,</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r>
      <w:tr>
        <w:trPr>
          <w:trHeight w:val="195"/>
        </w:trPr>
        <w:tc>
          <w:tcPr>
            <w:tcW w:w="1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LLC</w:t>
            </w:r>
          </w:p>
        </w:tc>
        <w:tc>
          <w:tcPr>
            <w:tcW w:w="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(638,355)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638,355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66"/>
        </w:trPr>
        <w:tc>
          <w:tcPr>
            <w:tcW w:w="124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color w:val="auto"/>
              </w:rPr>
              <w:t>Pepper Palace,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5"/>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Inc.</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1,547,000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(522,360)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2,024,640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Zollege PBC</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3,937,150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96,997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4,855,141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8,889,078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6"/>
        </w:trPr>
        <w:tc>
          <w:tcPr>
            <w:tcW w:w="124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color w:val="auto"/>
              </w:rPr>
              <w:t>Saratoga</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Investment</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Corp. CLO</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5"/>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2013-1, Ltd.</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240,578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628,774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238,365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6"/>
        </w:trPr>
        <w:tc>
          <w:tcPr>
            <w:tcW w:w="124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Saratoga</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0"/>
        </w:trPr>
        <w:tc>
          <w:tcPr>
            <w:tcW w:w="1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Investment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0"/>
        </w:trPr>
        <w:tc>
          <w:tcPr>
            <w:tcW w:w="1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Corp. Senior</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0"/>
        </w:trPr>
        <w:tc>
          <w:tcPr>
            <w:tcW w:w="1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Loan Fund</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0"/>
        </w:trPr>
        <w:tc>
          <w:tcPr>
            <w:tcW w:w="1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2022-1, Ltd.</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5"/>
        </w:trPr>
        <w:tc>
          <w:tcPr>
            <w:tcW w:w="1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Class E Note</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12,250,000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(12,250,000)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1,762,122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(857,500)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66"/>
        </w:trPr>
        <w:tc>
          <w:tcPr>
            <w:tcW w:w="124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color w:val="auto"/>
              </w:rPr>
              <w:t>Saratoga</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Investment</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Corp. CLO</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2013-1, Ltd.</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Class F-2-R-3</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5"/>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Note</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2,280,938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1,038,068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(2,160,000)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120,938</w:t>
            </w:r>
          </w:p>
        </w:tc>
        <w:tc>
          <w:tcPr>
            <w:tcW w:w="80" w:type="dxa"/>
            <w:vAlign w:val="bottom"/>
          </w:tcPr>
          <w:p>
            <w:pPr>
              <w:spacing w:after="0"/>
              <w:rPr>
                <w:sz w:val="16"/>
                <w:szCs w:val="16"/>
                <w:color w:val="auto"/>
              </w:rPr>
            </w:pPr>
          </w:p>
        </w:tc>
      </w:tr>
      <w:tr>
        <w:trPr>
          <w:trHeight w:val="166"/>
        </w:trPr>
        <w:tc>
          <w:tcPr>
            <w:tcW w:w="124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Saratoga Senior</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0"/>
        </w:trPr>
        <w:tc>
          <w:tcPr>
            <w:tcW w:w="1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Loan Fund I JV,</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5"/>
        </w:trPr>
        <w:tc>
          <w:tcPr>
            <w:tcW w:w="1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LLC</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16,533,626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1,321,422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(350,617)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16,183,009</w:t>
            </w:r>
          </w:p>
        </w:tc>
        <w:tc>
          <w:tcPr>
            <w:tcW w:w="80" w:type="dxa"/>
            <w:vAlign w:val="bottom"/>
            <w:shd w:val="clear" w:color="auto" w:fill="CCEEFF"/>
          </w:tcPr>
          <w:p>
            <w:pPr>
              <w:spacing w:after="0"/>
              <w:rPr>
                <w:sz w:val="16"/>
                <w:szCs w:val="16"/>
                <w:color w:val="auto"/>
              </w:rPr>
            </w:pPr>
          </w:p>
        </w:tc>
      </w:tr>
      <w:tr>
        <w:trPr>
          <w:trHeight w:val="166"/>
        </w:trPr>
        <w:tc>
          <w:tcPr>
            <w:tcW w:w="124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color w:val="auto"/>
              </w:rPr>
              <w:t>Saratoga</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Investment</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Corp. Senior</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Loan Fund</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2022-1, Ltd.</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5"/>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Class E-R Note</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8,443,750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187,645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284,951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8,728,701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6"/>
        </w:trPr>
        <w:tc>
          <w:tcPr>
            <w:tcW w:w="124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Saratoga Senior</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0"/>
        </w:trPr>
        <w:tc>
          <w:tcPr>
            <w:tcW w:w="1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Loan Fund I JV,</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6"/>
        </w:trPr>
        <w:tc>
          <w:tcPr>
            <w:tcW w:w="1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LLC</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3,080,916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1,614,375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2,404,864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1,886,777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6,582,069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2"/>
        </w:trPr>
        <w:tc>
          <w:tcPr>
            <w:tcW w:w="1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39,870,208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11,058,125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6"/>
              </w:rPr>
              <w:t>(12,888,355</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4,406,254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2,404,864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628,774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638,355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3,375,207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42,528,435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166" w:lineRule="exact"/>
        <w:rPr>
          <w:sz w:val="20"/>
          <w:szCs w:val="20"/>
          <w:color w:val="auto"/>
        </w:rPr>
      </w:pPr>
    </w:p>
    <w:p>
      <w:pPr>
        <w:ind w:left="270" w:hanging="270"/>
        <w:spacing w:after="0"/>
        <w:tabs>
          <w:tab w:leader="none" w:pos="27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Non-income producing at November 30, 2025.</w:t>
      </w:r>
    </w:p>
    <w:p>
      <w:pPr>
        <w:spacing w:after="0" w:line="23"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securities issued by an affiliate of the company.</w:t>
      </w:r>
    </w:p>
    <w:p>
      <w:pPr>
        <w:spacing w:after="0" w:line="7" w:lineRule="exact"/>
        <w:rPr>
          <w:rFonts w:ascii="Times New Roman" w:cs="Times New Roman" w:eastAsia="Times New Roman" w:hAnsi="Times New Roman"/>
          <w:sz w:val="15"/>
          <w:szCs w:val="15"/>
          <w:color w:val="auto"/>
        </w:rPr>
      </w:pPr>
    </w:p>
    <w:p>
      <w:pPr>
        <w:ind w:left="270" w:right="40" w:hanging="270"/>
        <w:spacing w:after="0" w:line="262" w:lineRule="auto"/>
        <w:tabs>
          <w:tab w:leader="none" w:pos="27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or a portion of this investment has an unfunded commitment as of November 30, 2025. (See Note 9 to the consolidated financial statements in the Quarterly Report on Form 10-Q for the quarter ended November 30, 2025).</w:t>
      </w:r>
    </w:p>
    <w:p>
      <w:pPr>
        <w:spacing w:after="0" w:line="33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56" w:right="319" w:bottom="1440" w:gutter="0" w:footer="0" w:header="0"/>
        </w:sectPr>
      </w:pPr>
    </w:p>
    <w:bookmarkStart w:id="37" w:name="page38"/>
    <w:bookmarkEnd w:id="37"/>
    <w:p>
      <w:pPr>
        <w:ind w:left="270" w:right="20" w:hanging="270"/>
        <w:spacing w:after="0" w:line="261" w:lineRule="auto"/>
        <w:tabs>
          <w:tab w:leader="none" w:pos="27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November 30, 2025, the investment was on non-accrual status. The fair value of these investments was approximately $2.0 million, which represented 0.2% of the Company’s portfolio (see Note 2 to the consolidated financial statements in the Quarterly Report on Form 10-Q for the quarter ended November 30, 2025).</w:t>
      </w:r>
    </w:p>
    <w:p>
      <w:pPr>
        <w:spacing w:after="0" w:line="1" w:lineRule="exact"/>
        <w:rPr>
          <w:rFonts w:ascii="Times New Roman" w:cs="Times New Roman" w:eastAsia="Times New Roman" w:hAnsi="Times New Roman"/>
          <w:sz w:val="15"/>
          <w:szCs w:val="15"/>
          <w:color w:val="auto"/>
        </w:rPr>
      </w:pPr>
    </w:p>
    <w:p>
      <w:pPr>
        <w:ind w:left="270" w:right="260" w:hanging="270"/>
        <w:spacing w:after="0" w:line="251" w:lineRule="auto"/>
        <w:tabs>
          <w:tab w:leader="none" w:pos="27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Included within cash and cash equivalents and cash and cash equivalents, reserve accounts in the Company’s consolidated statements of assets and liabilities as of November 30, 2025.</w:t>
      </w:r>
    </w:p>
    <w:p>
      <w:pPr>
        <w:ind w:left="270" w:hanging="270"/>
        <w:spacing w:after="0"/>
        <w:tabs>
          <w:tab w:leader="none" w:pos="27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investment elected to PIK 20% of accrued interest, with 80% of accrued interest payable in cash.</w:t>
      </w:r>
    </w:p>
    <w:p>
      <w:pPr>
        <w:spacing w:after="0" w:line="7" w:lineRule="exact"/>
        <w:rPr>
          <w:rFonts w:ascii="Times New Roman" w:cs="Times New Roman" w:eastAsia="Times New Roman" w:hAnsi="Times New Roman"/>
          <w:sz w:val="15"/>
          <w:szCs w:val="15"/>
          <w:color w:val="auto"/>
        </w:rPr>
      </w:pPr>
    </w:p>
    <w:p>
      <w:pPr>
        <w:ind w:left="270" w:hanging="270"/>
        <w:spacing w:after="0" w:line="254" w:lineRule="auto"/>
        <w:tabs>
          <w:tab w:leader="none" w:pos="27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September 24, 2025, the Company completed the first refinancing of SLF 2022. This refinancing, among other things, extended the SLF 2022’s investment period to October 2028. As part of this refinancing, the Company purchased $8.8 million of the SLF 2022-1 Class E-R Notes tranche at par. Concurrently, the existing $12.3 million of the SLF 2022-1 Class E Notes were repaid. The Company also paid $1.6 million of additional equity investment related to the refinancing to SLF JV. (See Note 5 to the consolidated financial statements in the Quarterly Report on Form 10-Q for the quarter ended November 30, 2025).</w:t>
      </w:r>
    </w:p>
    <w:p>
      <w:pPr>
        <w:spacing w:after="0" w:line="1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SOFR - Secured Overnight Financing Rate</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1M USD TERM SOFR - The 1 month USD TERM SOFR rate as of November 30, 2025 was 3.86%.</w:t>
      </w:r>
    </w:p>
    <w:p>
      <w:pPr>
        <w:spacing w:after="0" w:line="2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3M USD TERM SOFR - The 3 month USD TERM SOFR rate as of November 30, 2025 was 3.79%.</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6M USD TERM SOFR – The 6 month USD TERM SOFR rate as of November 30, 2025 was 3.70%.</w:t>
      </w:r>
    </w:p>
    <w:p>
      <w:pPr>
        <w:spacing w:after="0" w:line="353"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170"/>
          </w:cols>
          <w:pgMar w:left="310" w:top="756" w:right="419" w:bottom="1440" w:gutter="0" w:footer="0" w:header="0"/>
        </w:sectPr>
      </w:pPr>
    </w:p>
    <w:bookmarkStart w:id="38" w:name="page39"/>
    <w:bookmarkEnd w:id="38"/>
    <w:p>
      <w:pPr>
        <w:spacing w:after="0" w:line="28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a brief description of the portfolio company in which the fair value of our investment represents greater than 5% of our total assets as of November 30, 2025, excluding Saratoga CLO, SLF JV and SLF 2022, see Note 3 to our unaudited consolidated financial statements in our most recent Quarterly Report on </w:t>
      </w:r>
      <w:hyperlink r:id="rId43">
        <w:r>
          <w:rPr>
            <w:rFonts w:ascii="Times New Roman" w:cs="Times New Roman" w:eastAsia="Times New Roman" w:hAnsi="Times New Roman"/>
            <w:sz w:val="15"/>
            <w:szCs w:val="15"/>
            <w:u w:val="single" w:color="auto"/>
            <w:color w:val="0000EE"/>
          </w:rPr>
          <w:t>Form 10-Q</w:t>
        </w:r>
      </w:hyperlink>
      <w:r>
        <w:rPr>
          <w:rFonts w:ascii="Times New Roman" w:cs="Times New Roman" w:eastAsia="Times New Roman" w:hAnsi="Times New Roman"/>
          <w:sz w:val="15"/>
          <w:szCs w:val="15"/>
          <w:color w:val="auto"/>
        </w:rPr>
        <w:t>, which is incorporated by reference herein.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6"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5"/>
          <w:szCs w:val="15"/>
          <w:b w:val="1"/>
          <w:bCs w:val="1"/>
          <w:color w:val="auto"/>
        </w:rPr>
        <w:t>MANAGEMENT</w:t>
      </w:r>
    </w:p>
    <w:p>
      <w:pPr>
        <w:spacing w:after="0" w:line="192" w:lineRule="exact"/>
        <w:rPr>
          <w:sz w:val="20"/>
          <w:szCs w:val="20"/>
          <w:color w:val="auto"/>
        </w:rPr>
      </w:pPr>
    </w:p>
    <w:p>
      <w:pPr>
        <w:ind w:firstLine="271"/>
        <w:spacing w:after="0" w:line="28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information in the section entitled “Directors, Executive Officers and Corporate Governance” in Part III, Item 10 of our most recent Annual Report on </w:t>
      </w:r>
      <w:hyperlink r:id="rId24">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is incorporated herein by reference.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5"/>
          <w:szCs w:val="15"/>
          <w:b w:val="1"/>
          <w:bCs w:val="1"/>
          <w:color w:val="auto"/>
        </w:rPr>
        <w:t>MANAGEMENT AND OTHER AGREEMENTS</w:t>
      </w:r>
    </w:p>
    <w:p>
      <w:pPr>
        <w:spacing w:after="0" w:line="192" w:lineRule="exact"/>
        <w:rPr>
          <w:sz w:val="20"/>
          <w:szCs w:val="20"/>
          <w:color w:val="auto"/>
        </w:rPr>
      </w:pPr>
    </w:p>
    <w:p>
      <w:pPr>
        <w:jc w:val="both"/>
        <w:ind w:firstLine="271"/>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information in the sections entitled “Investment Advisory and Management Agreement,” “Administration Agreement” and “License Agreement” in the “Business” section of Part I, Item 1 of our most recent Annual Report on </w:t>
      </w:r>
      <w:hyperlink r:id="rId24">
        <w:r>
          <w:rPr>
            <w:rFonts w:ascii="Times New Roman" w:cs="Times New Roman" w:eastAsia="Times New Roman" w:hAnsi="Times New Roman"/>
            <w:sz w:val="15"/>
            <w:szCs w:val="15"/>
            <w:u w:val="single" w:color="auto"/>
            <w:color w:val="0000EE"/>
          </w:rPr>
          <w:t>Form 10-K</w:t>
        </w:r>
      </w:hyperlink>
      <w:r>
        <w:rPr>
          <w:rFonts w:ascii="Times New Roman" w:cs="Times New Roman" w:eastAsia="Times New Roman" w:hAnsi="Times New Roman"/>
          <w:sz w:val="15"/>
          <w:szCs w:val="15"/>
          <w:color w:val="auto"/>
        </w:rPr>
        <w:t xml:space="preserve">, in the notes to our audited consolidated financial statements under the caption “Note 7. Agreements and Related Party Transactions” in our most recent Annual Report on </w:t>
      </w:r>
      <w:hyperlink r:id="rId24">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and in the notes to our unaudited consolidated financial statements under the caption “Note 7. Agreements and Related Party Transactions” in our most recent Quarterly Report on </w:t>
      </w:r>
      <w:hyperlink r:id="rId34">
        <w:r>
          <w:rPr>
            <w:rFonts w:ascii="Times New Roman" w:cs="Times New Roman" w:eastAsia="Times New Roman" w:hAnsi="Times New Roman"/>
            <w:sz w:val="15"/>
            <w:szCs w:val="15"/>
            <w:u w:val="single" w:color="auto"/>
            <w:color w:val="0000EE"/>
          </w:rPr>
          <w:t>Form 10-Q</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is incorporated herein by reference.</w:t>
      </w:r>
    </w:p>
    <w:p>
      <w:pPr>
        <w:spacing w:after="0" w:line="332"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41" w:name="page42"/>
    <w:bookmarkEnd w:id="41"/>
    <w:p>
      <w:pPr>
        <w:ind w:left="4320"/>
        <w:spacing w:after="0"/>
        <w:rPr>
          <w:sz w:val="20"/>
          <w:szCs w:val="20"/>
          <w:color w:val="auto"/>
        </w:rPr>
      </w:pPr>
      <w:r>
        <w:rPr>
          <w:rFonts w:ascii="Times New Roman" w:cs="Times New Roman" w:eastAsia="Times New Roman" w:hAnsi="Times New Roman"/>
          <w:sz w:val="15"/>
          <w:szCs w:val="15"/>
          <w:b w:val="1"/>
          <w:bCs w:val="1"/>
          <w:color w:val="auto"/>
        </w:rPr>
        <w:t>PORTFOLIO MANAGEMENT</w:t>
      </w:r>
    </w:p>
    <w:p>
      <w:pPr>
        <w:spacing w:after="0" w:line="192" w:lineRule="exact"/>
        <w:rPr>
          <w:sz w:val="20"/>
          <w:szCs w:val="20"/>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information in the section entitled “Portfolio Management” in our most recent Definitive Proxy Statement on </w:t>
      </w:r>
      <w:hyperlink r:id="rId83">
        <w:r>
          <w:rPr>
            <w:rFonts w:ascii="Times New Roman" w:cs="Times New Roman" w:eastAsia="Times New Roman" w:hAnsi="Times New Roman"/>
            <w:sz w:val="15"/>
            <w:szCs w:val="15"/>
            <w:u w:val="single" w:color="auto"/>
            <w:color w:val="0000EE"/>
          </w:rPr>
          <w:t>Schedule 14A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is incorporated herein by reference.</w:t>
      </w:r>
    </w:p>
    <w:p>
      <w:pPr>
        <w:spacing w:after="0" w:line="36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14605</wp:posOffset>
            </wp:positionV>
            <wp:extent cx="7155180"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9900"/>
          </w:cols>
          <w:pgMar w:left="580" w:top="753" w:right="14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5"/>
          <w:szCs w:val="15"/>
          <w:b w:val="1"/>
          <w:bCs w:val="1"/>
          <w:color w:val="auto"/>
        </w:rPr>
        <w:t>CERTAIN RELATIONSHIPS AND RELATED TRANSACTIONS</w:t>
      </w:r>
    </w:p>
    <w:p>
      <w:pPr>
        <w:spacing w:after="0" w:line="192" w:lineRule="exact"/>
        <w:rPr>
          <w:sz w:val="20"/>
          <w:szCs w:val="20"/>
          <w:color w:val="auto"/>
        </w:rPr>
      </w:pPr>
    </w:p>
    <w:p>
      <w:pPr>
        <w:ind w:firstLine="271"/>
        <w:spacing w:after="0" w:line="283" w:lineRule="auto"/>
        <w:rPr>
          <w:rFonts w:ascii="Times New Roman" w:cs="Times New Roman" w:eastAsia="Times New Roman" w:hAnsi="Times New Roman"/>
          <w:sz w:val="15"/>
          <w:szCs w:val="15"/>
          <w:color w:val="0000EE"/>
        </w:rPr>
      </w:pPr>
      <w:hyperlink r:id="rId24">
        <w:r>
          <w:rPr>
            <w:rFonts w:ascii="Times New Roman" w:cs="Times New Roman" w:eastAsia="Times New Roman" w:hAnsi="Times New Roman"/>
            <w:sz w:val="15"/>
            <w:szCs w:val="15"/>
            <w:color w:val="auto"/>
          </w:rPr>
          <w:t xml:space="preserve">The information in the section entitled “Certain Relationships and Related Transactions, and Director Independence” in Part III, Item 13 of our most recent Annual Report on </w:t>
        </w:r>
        <w:r>
          <w:rPr>
            <w:rFonts w:ascii="Times New Roman" w:cs="Times New Roman" w:eastAsia="Times New Roman" w:hAnsi="Times New Roman"/>
            <w:sz w:val="15"/>
            <w:szCs w:val="15"/>
            <w:u w:val="single" w:color="auto"/>
            <w:color w:val="0000EE"/>
          </w:rPr>
          <w:t>Form</w:t>
        </w:r>
      </w:hyperlink>
      <w:r>
        <w:rPr>
          <w:rFonts w:ascii="Times New Roman" w:cs="Times New Roman" w:eastAsia="Times New Roman" w:hAnsi="Times New Roman"/>
          <w:sz w:val="15"/>
          <w:szCs w:val="15"/>
          <w:color w:val="auto"/>
        </w:rPr>
        <w:t xml:space="preserve"> </w:t>
      </w:r>
      <w:hyperlink r:id="rId24">
        <w:r>
          <w:rPr>
            <w:rFonts w:ascii="Times New Roman" w:cs="Times New Roman" w:eastAsia="Times New Roman" w:hAnsi="Times New Roman"/>
            <w:sz w:val="15"/>
            <w:szCs w:val="15"/>
            <w:u w:val="single" w:color="auto"/>
            <w:color w:val="0000EE"/>
          </w:rPr>
          <w:t>10-K</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is incorporated herein by reference.</w:t>
        </w:r>
      </w:hyperlink>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5"/>
          <w:szCs w:val="15"/>
          <w:b w:val="1"/>
          <w:bCs w:val="1"/>
          <w:color w:val="auto"/>
        </w:rPr>
        <w:t>CONTROL PERSONS AND PRINCIPAL STOCKHOLDERS</w:t>
      </w:r>
    </w:p>
    <w:p>
      <w:pPr>
        <w:spacing w:after="0" w:line="192" w:lineRule="exact"/>
        <w:rPr>
          <w:sz w:val="20"/>
          <w:szCs w:val="20"/>
          <w:color w:val="auto"/>
        </w:rPr>
      </w:pPr>
    </w:p>
    <w:p>
      <w:pPr>
        <w:ind w:firstLine="271"/>
        <w:spacing w:after="0" w:line="28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information in the section entitled “Security Ownership of Certain Beneficial Owners and Management and Related Stockholder Matters” in Part III, Item 12 of our most recent Annual Report on </w:t>
      </w:r>
      <w:hyperlink r:id="rId24">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is incorporated herein by reference.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5"/>
          <w:szCs w:val="15"/>
          <w:b w:val="1"/>
          <w:bCs w:val="1"/>
          <w:color w:val="auto"/>
        </w:rPr>
        <w:t>REGULATION</w:t>
      </w:r>
    </w:p>
    <w:p>
      <w:pPr>
        <w:spacing w:after="0" w:line="192" w:lineRule="exact"/>
        <w:rPr>
          <w:sz w:val="20"/>
          <w:szCs w:val="20"/>
          <w:color w:val="auto"/>
        </w:rPr>
      </w:pPr>
    </w:p>
    <w:p>
      <w:pPr>
        <w:ind w:firstLine="271"/>
        <w:spacing w:after="0" w:line="28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information in the sections entitled “Business Development Company Regulations” and “Small Business Investment Company Regulations” in the “Business” section of Part I, Item 1 of our most recent Annual Report on </w:t>
      </w:r>
      <w:hyperlink r:id="rId24">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is incorporated herein by reference.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5"/>
          <w:szCs w:val="15"/>
          <w:b w:val="1"/>
          <w:bCs w:val="1"/>
          <w:color w:val="auto"/>
        </w:rPr>
        <w:t>CERTAIN U.S. FEDERAL INCOME TAX CONSIDERATIONS</w:t>
      </w:r>
    </w:p>
    <w:p>
      <w:pPr>
        <w:spacing w:after="0" w:line="192"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The following discussion is a general summary of certain U.S. federal income tax considerations applicable to us and to an investment in shares of our common stock which is based on the provisions of the Code and the Treasury regulations in effect as they directly govern our U.S. federal income tax treatment and the U.S. federal income taxation of our stockholders. These provisions are subject to differing interpretations and change by legislative or administrative action, and any change may be retroactive, which could affect the continuing validity of this discussion. The discussion does not purport to deal with all of the U.S. federal income tax consequences applicable to us, or which may be important to particular stockholders in light of their individual investment circumstances or to some types of stockholders subject to special tax rules, such as financial institutions, broker-dealers, insurance companies, tax-exempt organizations, partnerships or other pass-through entities, persons holding our common shares in connection with a hedging, straddle, conversion or other integrated transaction, persons engaged in a trade or business in the United States certain former citizens and long-term residents of the United States, persons subject to the alternative minimum tax, pension plans and trusts, persons whose functional currency is not the U.S. dollar, regulated investment companies, real estate investment trusts, personal holding companies, persons who acquire an interest in the fund in connection with the performance of services, persons required to accelerate the recognition of any item of gross income as a result of such income being taken into account on an applicable financial statement. Such persons should consult with their own tax advisors as to the U.S. federal income tax consequences of an investment in our common stock, which may differ substantially from those described herein.</w:t>
      </w:r>
    </w:p>
    <w:p>
      <w:pPr>
        <w:spacing w:after="0" w:line="157"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This discussion assumes that the stockholders hold their common shares as capital assets for U.S. federal income tax purposes (generally, assets held for investment). No attempt is made to present a detailed explanation of all U.S. federal income tax aspects affecting us and our stockholders, and the discussion set forth herein does not constitute tax advice. This summary also does not discuss any aspects of U.S. estate or gift tax or non-U.S. state or local tax. It does not discuss the special treatment under U.S. federal income tax laws that could result if we invested in tax-exempt securities or certain other investment assets. No ruling has been or will be sought from the Internal Revenue Service, which we refer to as the IRS, regarding any matter discussed herein. Prospective investors should be aware that, although we intend to adopt positions we believe are in accord with current interpretations of the U.S. federal income tax laws, the IRS may not agree with the tax positions taken by us and that, if challenged by the IRS, our tax positions might not be sustained by the courts. Tax counsel has not rendered any legal opinion regarding any tax consequences relating to us or our stockholders. Stockholders are urged to consult their own tax advisors to determine the U.S. federal, state, local and foreign tax consequences to them of investing in our shares.</w:t>
      </w:r>
    </w:p>
    <w:p>
      <w:pPr>
        <w:spacing w:after="0" w:line="15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This summary does not discuss the consequences of an investment in shares of our preferred stock, debt securities or warrants representing rights to purchase shares of our common stock, preferred stock, debt or securities. The tax consequences of such an investment will be discussed in a relevant prospectus supplement.</w:t>
      </w:r>
    </w:p>
    <w:p>
      <w:pPr>
        <w:spacing w:after="0" w:line="135"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For purposes of this discussion, a “U.S. stockholder” is a holder or a beneficial holder of shares of our common stock which is for U.S. federal income tax purposes (1) a citizen or individual resident of the United States (2) a corporation (or other entity taxable as a corporation) created or organized in or under the laws of the United States or any state thereof or the District of Columbia, (3) an estate whose income is subject to U.S. federal income tax regardless of its source, or (4) a trust if (a) a U.S. court is able to exercise primary supervision over the trust’s administration and one or more U.S. persons are authorized to control all substantial decisions of the trust or (b) the trust has in effect a valid election to be treated as a domestic trust for U.S. federal income tax purposes. A “non-U.S. stockholder” is a holder that is neither a U.S. stockholder nor a partnership (including an entity or arrangement treated as a partnership for U.S. federal income tax purposes). If a partnership or other entity classified as a partnership for U.S. federal income tax purposes holds the shares, the tax treatment of the partnership and each partner generally will depend on the activities of the partnership and the activities of the partner. Partnerships acquiring shares, and partners in such partnerships, should consult their own tax advisors. Prospective investors that are not U.S. stockholders should refer to “Non-U.S. Stockholders” below.</w:t>
      </w:r>
    </w:p>
    <w:p>
      <w:pPr>
        <w:spacing w:after="0" w:line="15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Tax matters are complicated and prospective investors in our shares are urged to consult their own tax advisors with respect to the U.S. federal income tax and state, local and non-U.S. tax consequences of an investment in our shares, including the potential application of U.S. withholding taxes.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Taxation of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Election to Be Taxed as a RIC</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We have elected and qualified to be treated as a RIC under subchapter M of the Code, and we intend to continue to qualify each year as a RIC. However, no assurance can be given that we will be able to maintain our RIC tax treatment. As a RIC, we generally will not be subject to U.S. federal income tax on any net ordinary income or capital gain net income that we timely distribute to our stockholders as dividends. To qualify as a RIC, we must, among other things, meet certain source-of-income and asset diversification requirements (as described below). In addition, we generally must timely distribute to our stockholders, for each taxable year, at least 90% of our “investment company taxable income,” which is generally our net ordinary income plus the excess of realized net short-term capital gains over realized net long-term capital losses (the “Annual Distribution Requirement”). Our SBIC subsidiary may be limited by the Small Business Investment Act of 1958, and SBA regulations governing SBICs, from making certain distributions to us that may be necessary to enable us to maintain our status as a RIC. We may have to request a waiver of the SBA’s restrictions for our SBIC subsidiary to make certain distributions to maintain our RIC status. We cannot assure you that the SBA will grant such a waiver.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46" w:name="page47"/>
    <w:bookmarkEnd w:id="46"/>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Taxation as a RIC</w:t>
      </w:r>
    </w:p>
    <w:p>
      <w:pPr>
        <w:spacing w:after="0" w:line="192" w:lineRule="exact"/>
        <w:rPr>
          <w:sz w:val="20"/>
          <w:szCs w:val="20"/>
          <w:color w:val="auto"/>
        </w:rPr>
      </w:pPr>
    </w:p>
    <w:p>
      <w:pPr>
        <w:jc w:val="both"/>
        <w:ind w:left="10" w:right="20" w:firstLine="271"/>
        <w:spacing w:after="0" w:line="267" w:lineRule="auto"/>
        <w:rPr>
          <w:sz w:val="20"/>
          <w:szCs w:val="20"/>
          <w:color w:val="auto"/>
        </w:rPr>
      </w:pPr>
      <w:r>
        <w:rPr>
          <w:rFonts w:ascii="Times New Roman" w:cs="Times New Roman" w:eastAsia="Times New Roman" w:hAnsi="Times New Roman"/>
          <w:sz w:val="15"/>
          <w:szCs w:val="15"/>
          <w:color w:val="auto"/>
        </w:rPr>
        <w:t>As a RIC, we will not be subject to U.S. federal income tax on the portion of our investment company taxable income (“ICTI”) and net capital gain, defined as net long-term capital gains in excess of net short-term capital losses, that we distribute (or are deemed to distribute) to stockholders. We will be subject to U.S. federal income tax imposed at corporate rates on any net income or net capital gain not distributed (or deemed distributed) to our stockholders.</w:t>
      </w:r>
    </w:p>
    <w:p>
      <w:pPr>
        <w:spacing w:after="0" w:line="146"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We will be subject to a nondeductible U.S. federal excise tax of 4% on certain undistributed income if we do not distribute in a timely manner an amount at least equal to the sum of</w:t>
      </w:r>
    </w:p>
    <w:p>
      <w:pPr>
        <w:spacing w:after="0" w:line="23" w:lineRule="exact"/>
        <w:rPr>
          <w:sz w:val="20"/>
          <w:szCs w:val="20"/>
          <w:color w:val="auto"/>
        </w:rPr>
      </w:pPr>
    </w:p>
    <w:p>
      <w:pPr>
        <w:jc w:val="both"/>
        <w:ind w:left="10" w:hanging="10"/>
        <w:spacing w:after="0" w:line="253" w:lineRule="auto"/>
        <w:tabs>
          <w:tab w:leader="none" w:pos="221"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98% of our net ordinary income for each calendar year, (b) 98.2% of our capital gain net income for the one-year period ending on October 31 of such calendar year, and (c) any net ordinary income and capital gain net income that we recognized in preceding years, but were not distributed during such years, and on which we did not pay U.S. federal income tax. Depending on the level of ICTI earned in a tax year and the amount of net capital gains recognized in such tax year, the Company may choose to carry forward ICTI and net capital gains in excess of current year dividend distributions into the next tax year. In order to eliminate our liability for U.S. federal income tax, and to the extent necessary to maintain our qualification as a RIC, any such carryover ICTI and net capital gains generally must be distributed before the end of that next tax year through a dividend declared prior to the 15th day of the 9th month after the close of the taxable year in which such ICTI was generated.</w:t>
      </w:r>
    </w:p>
    <w:p>
      <w:pPr>
        <w:spacing w:after="0" w:line="157"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In order to qualify as a RIC for U.S. federal income tax purposes, we must, among other things:</w:t>
      </w:r>
    </w:p>
    <w:p>
      <w:pPr>
        <w:spacing w:after="0" w:line="188" w:lineRule="exact"/>
        <w:rPr>
          <w:sz w:val="20"/>
          <w:szCs w:val="20"/>
          <w:color w:val="auto"/>
        </w:rPr>
      </w:pPr>
    </w:p>
    <w:p>
      <w:pPr>
        <w:ind w:left="550" w:hanging="279"/>
        <w:spacing w:after="0"/>
        <w:tabs>
          <w:tab w:leader="none" w:pos="55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qualify to be treated as a BDC under the 1940 Act at all times during each taxable year;</w:t>
      </w:r>
    </w:p>
    <w:p>
      <w:pPr>
        <w:spacing w:after="0" w:line="188" w:lineRule="exact"/>
        <w:rPr>
          <w:rFonts w:ascii="Times New Roman" w:cs="Times New Roman" w:eastAsia="Times New Roman" w:hAnsi="Times New Roman"/>
          <w:sz w:val="15"/>
          <w:szCs w:val="15"/>
          <w:color w:val="auto"/>
        </w:rPr>
      </w:pPr>
    </w:p>
    <w:p>
      <w:pPr>
        <w:jc w:val="both"/>
        <w:ind w:left="550" w:hanging="279"/>
        <w:spacing w:after="0" w:line="261" w:lineRule="auto"/>
        <w:tabs>
          <w:tab w:leader="none" w:pos="55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derive in each taxable year at least 90% of our gross income from dividends, interest, payments with respect to certain securities loans, gains from the sale of stock or other securities or foreign currencies, or other income derived with respect to our business of investing in such stock or securities or foreign currencies , and net income derived from interests in “qualified publicly traded partnerships” (partnerships that are traded on an established securities market or tradable on a secondary market, other than partnerships that derive 90% of their income from interest, dividends and other permitted RIC income) (the “90% Income Test”); and</w:t>
      </w:r>
    </w:p>
    <w:p>
      <w:pPr>
        <w:spacing w:after="0" w:line="151" w:lineRule="exact"/>
        <w:rPr>
          <w:rFonts w:ascii="Times New Roman" w:cs="Times New Roman" w:eastAsia="Times New Roman" w:hAnsi="Times New Roman"/>
          <w:sz w:val="15"/>
          <w:szCs w:val="15"/>
          <w:color w:val="auto"/>
        </w:rPr>
      </w:pPr>
    </w:p>
    <w:p>
      <w:pPr>
        <w:ind w:left="550" w:hanging="279"/>
        <w:spacing w:after="0"/>
        <w:tabs>
          <w:tab w:leader="none" w:pos="55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diversify our holdings so that at the end of each quarter of the taxable year:</w:t>
      </w:r>
    </w:p>
    <w:p>
      <w:pPr>
        <w:spacing w:after="0" w:line="188" w:lineRule="exact"/>
        <w:rPr>
          <w:rFonts w:ascii="Times New Roman" w:cs="Times New Roman" w:eastAsia="Times New Roman" w:hAnsi="Times New Roman"/>
          <w:sz w:val="15"/>
          <w:szCs w:val="15"/>
          <w:color w:val="auto"/>
        </w:rPr>
      </w:pPr>
    </w:p>
    <w:p>
      <w:pPr>
        <w:ind w:left="810" w:hanging="268"/>
        <w:spacing w:after="0" w:line="283" w:lineRule="auto"/>
        <w:tabs>
          <w:tab w:leader="none" w:pos="810"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134" w:lineRule="exact"/>
        <w:rPr>
          <w:rFonts w:ascii="Times New Roman" w:cs="Times New Roman" w:eastAsia="Times New Roman" w:hAnsi="Times New Roman"/>
          <w:sz w:val="15"/>
          <w:szCs w:val="15"/>
          <w:color w:val="auto"/>
        </w:rPr>
      </w:pPr>
    </w:p>
    <w:p>
      <w:pPr>
        <w:jc w:val="both"/>
        <w:ind w:left="810" w:hanging="268"/>
        <w:spacing w:after="0" w:line="267" w:lineRule="auto"/>
        <w:tabs>
          <w:tab w:leader="none" w:pos="810"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more than 25% of the value of our assets is invested in (i) the securities, other than U.S. government securities or securities of other RICs, of one issuer, (ii) the securities, other than securities of other RICs, of two or more issuers that are controlled, as determined under applicable tax rules, by us and that are engaged in the same or similar or related trades or businesses, or (iii) the securities of one or more qualified publicly traded partnerships (the “Diversification Tests”).</w:t>
      </w:r>
    </w:p>
    <w:p>
      <w:pPr>
        <w:spacing w:after="0" w:line="146" w:lineRule="exact"/>
        <w:rPr>
          <w:sz w:val="20"/>
          <w:szCs w:val="20"/>
          <w:color w:val="auto"/>
        </w:rPr>
      </w:pPr>
    </w:p>
    <w:p>
      <w:pPr>
        <w:jc w:val="both"/>
        <w:ind w:left="10" w:firstLine="271"/>
        <w:spacing w:after="0" w:line="259" w:lineRule="auto"/>
        <w:rPr>
          <w:sz w:val="20"/>
          <w:szCs w:val="20"/>
          <w:color w:val="auto"/>
        </w:rPr>
      </w:pPr>
      <w:r>
        <w:rPr>
          <w:rFonts w:ascii="Times New Roman" w:cs="Times New Roman" w:eastAsia="Times New Roman" w:hAnsi="Times New Roman"/>
          <w:sz w:val="15"/>
          <w:szCs w:val="15"/>
          <w:color w:val="auto"/>
        </w:rPr>
        <w:t>We may be required to recognize taxable income in circumstances in which we do not receive cash. For example, if we hold debt obligations that are treated under applicable tax rules as having original issue discount (such as debt instruments with PIK interest or, in certain cases, with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ICTI for the year of accrual, we may be required to make a distribution to our stockholders in order to satisfy the Annual Distribution Requirement, even though we will not have received any corresponding cash amount.</w:t>
      </w:r>
    </w:p>
    <w:p>
      <w:pPr>
        <w:spacing w:after="0" w:line="33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53" w:right="319" w:bottom="1440" w:gutter="0" w:footer="0" w:header="0"/>
        </w:sectPr>
      </w:pPr>
    </w:p>
    <w:bookmarkStart w:id="47" w:name="page48"/>
    <w:bookmarkEnd w:id="47"/>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 — Senior Securities.” If we are prohibited from making distributions, we may fail to qualify for tax treatment as a RIC and become subject to U.S. federal income tax. Moreover, our ability to dispose of assets to meet our distribution requirements may be limited by (1) the illiquid nature of our portfolio and/or (2) other requirements relating to our qualification as a RIC, including the Diversification Tests. If we dispose of assets in order to meet the Annual Distribution Requirement or the U.S. federal excise tax requirement, we may make such dispositions at times that, from an investment standpoint, are not advantageous.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Failure to Qualify as a RIC</w:t>
      </w:r>
    </w:p>
    <w:p>
      <w:pPr>
        <w:spacing w:after="0" w:line="192" w:lineRule="exact"/>
        <w:rPr>
          <w:sz w:val="20"/>
          <w:szCs w:val="20"/>
          <w:color w:val="auto"/>
        </w:rPr>
      </w:pPr>
    </w:p>
    <w:p>
      <w:pPr>
        <w:jc w:val="both"/>
        <w:ind w:firstLine="271"/>
        <w:spacing w:after="0" w:line="253" w:lineRule="auto"/>
        <w:rPr>
          <w:sz w:val="20"/>
          <w:szCs w:val="20"/>
          <w:color w:val="auto"/>
        </w:rPr>
      </w:pPr>
      <w:r>
        <w:rPr>
          <w:rFonts w:ascii="Times New Roman" w:cs="Times New Roman" w:eastAsia="Times New Roman" w:hAnsi="Times New Roman"/>
          <w:sz w:val="15"/>
          <w:szCs w:val="15"/>
          <w:color w:val="auto"/>
        </w:rPr>
        <w:t>If we were unable to continue to qualify for treatment as a RIC, and certain cure provisions are not applicable, we would be subject to U.S. federal income tax on all of our taxable income (including our net capital gains) imposed at corporate rates. We would not be able to deduct distributions to stockholders, nor would they be required to be made. Distributions, including distributions of net long-term capital gain, would generally be taxable to our stockholders as ordinary dividend income to the extent of our current and accumulated earnings and profits. Subject to certain holding period and other limitations under the Code, corporate distributees would be eligible for the dividends received deduction, and non-corporate distributes would generally be able to treat such dividends as “qualified dividend income,” which is subject to reduced rates of U.S. federal income tax. To the extent the amount of a distribution exceeded our current and accumulated earnings and profits, such excess would be treated as a return of capital to the extent of the stockholder’s adjusted tax basis, and to the extent the amount of a distribution exceeded both our current and accumulated earnings and profits and the stockholder’s adjusted tax basis, any excess would be treated as a capital gain. To requalify as a RIC in a subsequent taxable year, we would be required to satisfy the RIC qualification requirements for that year and distribute all of our previously undistributed earnings and profits from any year in which we failed to qualify as a RIC by the end of the first year that we intend to requalify as a RIC. Subject to a limited exception applicable to RICs that qualified as such for at least one year prior to disqualification and that requalify as a RIC no later than the second year following the non-qualifying year, we could be subject to U.S. federal income tax imposed at corporate rates on any unrealized net built-in appreciation on the assets held by us during the period in which we failed to qualify as a RIC that are recognized within the subsequent five years, unless we made a special election to pay U.S. federal income tax at corporate rates on such built-in gain at the time of our requalification as a RIC.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Company Investments</w:t>
      </w:r>
    </w:p>
    <w:p>
      <w:pPr>
        <w:spacing w:after="0" w:line="19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Certain of our investment practices are subject to special and complex U.S. federal income tax provisions that may, among other things, (1) disallow, suspend or otherwise limit the allowance of certain losses or deductions, including the dividends received deduction, (2) convert lower taxed long-term capital gains and qualified dividend income into higher taxed short-term capital gains or ordinary income, (3) convert ordinary loss or a deduction into capital loss (the deductibility of which is more limited), (4) cause us to recognize income or gain without a corresponding receipt of cash, (5) adversely affect the time as to when a purchase or sale of stock or securities is deemed to occur, (6) adversely alter the characterization of certain complex financial transactions and (7) produce income that will not qualify as good income for purposes of the 90% annual gross income requirement described above. We will monitor our transactions and may make certain tax elections and may be required to borrow money or dispose of securities to mitigate the effect of these rules and prevent disqualification as a RIC.</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48" w:name="page49"/>
    <w:bookmarkEnd w:id="48"/>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Gain or loss realized by us from warrants acquired by us as well as any loss attributable to the lapse of such warrants generally will be treated as capital gain or loss. Such gain or loss generally will be long term or short term, depending on how long we held a particular warrant.</w:t>
      </w:r>
    </w:p>
    <w:p>
      <w:pPr>
        <w:spacing w:after="0" w:line="135"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In the event we invest in foreign securities, we may be subject to withholding and other foreign taxes with respect to those securities withheld at the source. In this regard, withholding tax rates in countries with which the United States does not have a tax treaty may be 35% or more. The United States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In that case, our yield on those securities would be decreased. We do not expect to satisfy the requirements necessary to pass through to our stockholders their share of the foreign taxes paid by us.</w:t>
      </w:r>
    </w:p>
    <w:p>
      <w:pPr>
        <w:spacing w:after="0" w:line="15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If we purchase shares in a “passive foreign investment company” (a “PFIC”), we may be subject to U.S. federal income tax on any “excess distribution” received on, or any gain from the disposition of such shares. Additional charges in the nature of interest generally will be imposed on us in respect of deferred taxes arising from any such excess distributions or gain. This additional tax and interest may apply even if we make a distribution as a taxable dividend by us to our stockholders in an amount equal to (1) any excess distribution, or (2) the gain from the dispositions of such shares. If we invest in a PFIC and elect to treat the PFIC as a “qualified electing fund” under the Code (a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our shares in a PFIC; in this case, we will recognize as ordinary income any increase in the value of such shares, and as ordinary loss any decrease in such value to the extent that any such decrease does not exceed prior increases included in our income. Under either election, we may be required to recognize income in excess of distributions from PFICs and our proceeds from dispositions of PFIC stock during that year, and such income will nevertheless be subject to the Annual Distribution Requirement and will be taken into account for purposes of the 4% U.S. federal excise tax.</w:t>
      </w:r>
    </w:p>
    <w:p>
      <w:pPr>
        <w:spacing w:after="0" w:line="155"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If we are a U.S. Shareholder (as defined below) of a foreign corporation that is treated as a controlled foreign corporation (“CFC”), we may be treated as receiving a deemed distribution (taxable as ordinary income) each year from such foreign corporation in an amount equal to our pro rata share of the corporation’s income for the tax year (including both ordinary earnings and capital gains), whether or not the corporation makes an actual distribution during such year. In general, a foreign corporation will be classified as a CFC if more than 50% of the shares of the corporation, measured by reference to combined voting power or value, is owned (directly, indirectly or by attribution) by U.S. Shareholders. A “U.S. Shareholder,” for this purpose, is any U.S. person that possesses (actually or constructively) 10% or more of the combined voting power of all classes of shares of a corporation or 10% or more of the total value of shares of all classes of shares of such corporation. If we are treated as receiving a deemed distribution from a CFC, we will be required to include such distribution in our ICTI regardless of whether we receive any actual distributions from such CFC, and such income will nevertheless be subject to the Annual Distribution Requirement and will be taken into account for purposes of the 4% U.S. federal excise tax.</w:t>
      </w:r>
    </w:p>
    <w:p>
      <w:pPr>
        <w:spacing w:after="0" w:line="15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Income inclusions from a QEF or CFC will be “good income” for purposes of the 90% Income Test provided that they are derived in connection with our business of investing in stocks and securities or the QEF or CFC distributes such income to us in the same taxable year to which the income is included in our income.</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The remainder of this discussion assumes that we qualify as a RIC and have satisfied the Annual Distribution Requirement.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Taxation of U.S. Stockholders</w:t>
      </w:r>
    </w:p>
    <w:p>
      <w:pPr>
        <w:spacing w:after="0" w:line="192"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Distributions by us generally are taxable to U.S. Shareholders as ordinary income or capital gains. Distributions we pay to you from our net ordinary income or from an excess of realized net short-term capital gains over realized net long-term capital losses (together referred to hereinafter as “ordinary income dividends”) are generally taxable to you as ordinary income to the extent of our earnings and profits, whether paid in cash or reinvested in additional shares of our common stock. Due to our expected investments, in general, distributions will not be eligible for the dividends received deduction allowed to corporate stockholders and will not qualify for the reduced rates of tax for qualified dividend income allowed to individuals. Distributions made to you from an excess of realized net long-term capital gains over realized net short-term capital losses (“capital gain dividends”), including capital gain dividends credited to you but retained by us, are taxable to you as long-term capital gains if they have been properly designated by us, regardless of the length of time you have owned our shares. Distributions in excess of our earnings and profits will first reduce the adjusted tax basis of your shares and, after the adjusted tax basis is reduced to zero, will constitute capital gains to you (assuming the shares are held as a capital asset). For non-corporate taxpayers, ordinary income dividends will currently be taxed at a maximum rate of 37%, while capital gain dividends generally will be currently taxed at a maximum U.S. federal income tax rate of 20 percent. For corporate taxpayers, both ordinary income dividends and capital gain dividends are currently taxed at a maximum U.S. federal income tax rate of 21 percent.</w:t>
      </w:r>
    </w:p>
    <w:p>
      <w:pPr>
        <w:spacing w:after="0" w:line="160"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In addition, individuals with income in excess of $200,000 ($250,000 in the case of married individuals filing jointly and $125,000 in the case of married individuals filing separately) and certain estates and trusts are subject to an additional 3.8% surtax on their “net investment income,” which generally includes gross income from interest, dividends, annuities, royalties, and rents, and net capital gains (other than certain amounts earned from trades or businesses).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49" w:name="page50"/>
    <w:bookmarkEnd w:id="49"/>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In the event that we retain any net capital gains, we may designate the retained amounts as undistributed capital gains in a notice to our stockholders. If a designation is made, stockholders would include in income, as long-term capital gains, their proportionate share of the undistributed amounts, but would be allowed a credit or refund, as the case may be, for their proportionate share of the corporate tax paid by us. In addition, the tax basis of shares owned by a stockholder would be increased by an amount equal to the difference between (i) the amount included in the stockholder’s income as long-term capital gains and (ii) the stockholder’s proportionate share of the corporate tax paid by us. In order to utilize the deemed distribution approach, we must provide written notice to our stockholders prior to the expiration of 60 days after the close of the relevant taxable year. We cannot treat any of our ICTI as a deemed distribution.</w:t>
      </w:r>
    </w:p>
    <w:p>
      <w:pPr>
        <w:spacing w:after="0" w:line="155"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We may distribute taxable dividends that are payable in cash or shares of our common stock at the election of each stockholder. Under certain applicable provisions of the Code and the Treasury regulations, distributions payable in cash or in shares of stock at the election of stockholders are treated as taxable dividends. The IRS has issued a revenue procedure indicating that this rule will apply where the total amount of cash to be distributed is limited to not less than 20% of the total distribution. Under this revenue procedure, if too many stockholders elect to receive their distributions in cash, each such stockholder would receive a pro rata share of the total cash to be distributed and would receive the remainder of their distribution in shares of stock. If we decide to make any distributions consistent with this revenue procedure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 If a significant number of our stockholders determine to sell shares of our stock in order to pay taxes owed on dividends, it may put downward pressure on the trading price of our stock.</w:t>
      </w:r>
    </w:p>
    <w:p>
      <w:pPr>
        <w:spacing w:after="0" w:line="160"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With respect to the reinvestment of dividends, if a U.S. Shareholder owns shares of our common stock registered in its own name, the U.S. Shareholder will have all cash distributions automatically reinvested in additional shares of our common stock unless the U.S. Shareholder opts out of the reinvestment of dividends. Any distributions reinvested will nevertheless remain taxable to the U.S. Shareholder. The U.S. Shareholder will have an adjusted tax basis in the additional shares of our common stock purchased through the reinvestment equal to the amount of the reinvested distribution. The additional shares will have a new holding period commencing on the day following the day on which the shares are credited to the U.S. Shareholder’s account.</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If an investor purchases shares of our common stock after a dividend has been declared and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35"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We (or the applicable withholding agent) will send to each of our U.S. stockholders after the end of each calendar year, as promptly as possible after the end of each calendar year, a notice reporting the amounts includible in such U.S. stockholder’s taxable income for such year as ordinary income and as long-term capital gain. In addition, the U.S. federal tax status of each year’s distributions generally will be reported to the IRS (including the amount of dividends, if any, eligible for the 20% maximum rate). Dividends paid by us generally will not be eligible for the dividends-received deduction or the preferential tax rate applicable to Qualifying Dividends because our income generally will not consist of dividends.</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For purposes of determining (i) whether the Annual Distribution Requirement is satisfied for any year and (ii) the amount of capital gain dividends paid for that year, we may, under certain circumstances, elect to treat a dividend that is paid during the following taxable year as if it had been paid during the taxable year in question. If we make such an election, the U.S. Shareholder will still be treated as receiving the dividend in the taxable year in which the distribution is made. If we pay you a dividend in January which was declared in the previous October, November or December to stockholders of record on a specified date in one of these months, then the dividend will be treated for tax purposes as being paid by us and received by you on December 31 of the year in which the dividend was declared.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50" w:name="page51"/>
    <w:bookmarkEnd w:id="50"/>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A stockholder will generally recognize gain or loss on the sale or exchange of our common shares in an amount equal to the difference between the stockholder’s adjusted tax basis in the shares sold or exchanged and the amount realized on their disposition. Generally, gain recognized by a stockholder on the sale or other disposition of our common shares will result in capital gain or loss, and will be a long-term capital gain or loss if the shares have been held for more than one year at the time of sale. Any loss upon the sale or exchange of our shares held for six months or less will be treated as a long-term capital loss to the extent of any capital gain dividends received (including amounts credited as an undistributed capital gain dividend). A loss realized on a sale or exchange of our shares will be disallowed if other substantially identical shares are acquired (whether through the automatic reinvestment of dividends or otherwise) within a 61-day period beginning 30 days before and ending 30 days after the date that the shares are disposed of. In this case, the basis of the shares acquired will be adjusted to reflect the disallowed loss. Non-corporate stockholders with net capital losses for a year (i.e., net capital losses in excess of net capital gains) generally may deduct up to $3,000 of such losses against their ordinary income each year; any net capital losses of a non-corporate stockholder in excess of $3,000 generally may be carried forward and used in subsequent years, subject to certain limitations, as provided in the Code. Corporate stockholders generally may not deduct any net capital losses for a year, but may carryback such losses for three years or carry forward such losses for five years.</w:t>
      </w:r>
    </w:p>
    <w:p>
      <w:pPr>
        <w:spacing w:after="0" w:line="160"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Stockholders should consult their own tax advisors with respect to the U.S. federal income tax and withholding tax, and state, local and foreign tax consequences of an investment in our shares.</w:t>
      </w:r>
    </w:p>
    <w:p>
      <w:pPr>
        <w:spacing w:after="0" w:line="131" w:lineRule="exact"/>
        <w:rPr>
          <w:sz w:val="20"/>
          <w:szCs w:val="20"/>
          <w:color w:val="auto"/>
        </w:rPr>
      </w:pPr>
    </w:p>
    <w:p>
      <w:pPr>
        <w:jc w:val="both"/>
        <w:ind w:firstLine="271"/>
        <w:spacing w:after="0" w:line="263" w:lineRule="auto"/>
        <w:rPr>
          <w:sz w:val="20"/>
          <w:szCs w:val="20"/>
          <w:color w:val="auto"/>
        </w:rPr>
      </w:pPr>
      <w:r>
        <w:rPr>
          <w:rFonts w:ascii="Times New Roman" w:cs="Times New Roman" w:eastAsia="Times New Roman" w:hAnsi="Times New Roman"/>
          <w:sz w:val="15"/>
          <w:szCs w:val="15"/>
          <w:b w:val="1"/>
          <w:bCs w:val="1"/>
          <w:i w:val="1"/>
          <w:iCs w:val="1"/>
          <w:color w:val="auto"/>
        </w:rPr>
        <w:t xml:space="preserve">Backup Withholding. </w:t>
      </w:r>
      <w:r>
        <w:rPr>
          <w:rFonts w:ascii="Times New Roman" w:cs="Times New Roman" w:eastAsia="Times New Roman" w:hAnsi="Times New Roman"/>
          <w:sz w:val="15"/>
          <w:szCs w:val="15"/>
          <w:color w:val="auto"/>
        </w:rPr>
        <w:t>We are required in certain circumstances to backup withhold on taxable dividends or distributions and certain other payments paid to non-corporate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stockholders who do not furnish us with their correct taxpayer identification number (generally, in the case of individuals, their social security number) and certain certifications, or who are otherwise subject to backup withholding. Backup withholding is not an additional tax. Any amounts withheld from payments made to you may be refunded or credited against your U.S. federal income tax liability, if any, provided that the required information is furnished to the IRS.</w:t>
      </w:r>
    </w:p>
    <w:p>
      <w:pPr>
        <w:spacing w:after="0" w:line="146" w:lineRule="exact"/>
        <w:rPr>
          <w:sz w:val="20"/>
          <w:szCs w:val="20"/>
          <w:color w:val="auto"/>
        </w:rPr>
      </w:pPr>
    </w:p>
    <w:p>
      <w:pPr>
        <w:jc w:val="both"/>
        <w:ind w:firstLine="271"/>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 xml:space="preserve">Reportable Transactions Reporting. </w:t>
      </w:r>
      <w:r>
        <w:rPr>
          <w:rFonts w:ascii="Times New Roman" w:cs="Times New Roman" w:eastAsia="Times New Roman" w:hAnsi="Times New Roman"/>
          <w:sz w:val="15"/>
          <w:szCs w:val="15"/>
          <w:color w:val="auto"/>
        </w:rPr>
        <w:t>If a U.S. stockholder recognizes a loss with respect to shares of our common stock of $2 million or more for an individual stockholder or $10</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million or more for a corporate stockholder, the stockholder must file with the IRS a disclosure statement on Form 8886. Direct stockholders of portfolio securities are in many cases exempted from this reporting requirement, but under current guidance, stockholders of a RIC are not exempted. The fact that a loss is reportable under these regulations does not affect the legal determination of whether the taxpayer’s treatment of the loss is proper. U.S. stockholders should consult their tax advisors to determine the applicability of these regulations in light of their specific circumstances.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Taxation of Non-U.S. Stockholders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following discussion only applies to non-U.S. stockholders. Whether an investment in our common stock is appropriate for a non-U.S. stockholder will depend upon that person’s particular circumstances. An investment in our common stock by a non-U.S. stockholder may have adverse tax consequences. Non-U.S. stockholders should consult their tax advisors before investing in our shares.</w:t>
      </w:r>
    </w:p>
    <w:p>
      <w:pPr>
        <w:spacing w:after="0" w:line="146"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Subject to the discussions below concerning backup withholding and FATCA (defined below), distributions of our ICTI to non-U.S. stockholders will be subject to withholding of U.S. federal tax imposed at a 30% rate (or lower rate provided by an applicable treaty) to the extent of our current and accumulated earnings and profits unless an applicable exception applies. However, no withholding will be required with respect to such distributions if (i) the distributions are properly reported to our shareholders as “interest-related dividends” or “short-term capital gain dividends,” (ii) the distributions are derived from sources specified in the Code for such dividends and (iii) certain other requirements are satisfied. If the distributions are effectively connected with the conduct of a trade or business in the United States (a “U.S. trade or business”) by the non-U.S. shareholder (and, if an income tax treaty applies, such distributions are attributable to a permanent establishment maintained by the non-U.S. shareholder within the United States), we will not be required to withhold U.S. federal tax if the non-U.S. shareholder complies with applicable certification and disclosure requirements, although the distributions will be subject to U.S. federal income tax at the rates applicable to U.S. persons. Special certification requirements apply to a Non-U.S. shareholder that is a foreign partnership or a foreign trust, and such entities are urged to consult their own tax adviser.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51" w:name="page52"/>
    <w:bookmarkEnd w:id="51"/>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Actual or deemed distributions of our net capital gains to a non-U.S. stockholder, and gains recognized by a non-U.S. stockholder upon the sale or other disposition of our common stock, generally will not be subject to U.S. federal withholding tax and generally will not be subject to U.S. federal income tax unless the distributions or gains, as the case may be, are effectively connected with a U.S. trade or business of the non-U.S. stockholder (and, if an income tax treaty applies, are attributable to a permanent establishment maintained by the Non-U.S. shareholder in the United States) or, in the case of an individual, such individual is present in the United States for 183 days or more during a taxable year and certain other conditions are met.</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If we distribute our net capital gains in the form of deemed rather than actual distributions (which we may do in the future), a non-U.S. stockholder will be entitled to a U.S. federal income tax credit or tax refund equal to the stockholder’s allocable share of the tax we pay on the capital gains deemed to have been distributed. In order to obtain the refund, the non-U.S. stockholder must obtain a U.S. taxpayer identification number and file a U.S. federal income tax return even if the non-U.S. stockholder is not otherwise required to obtain a U.S. taxpayer identification number or file a U.S. federal income tax return.</w:t>
      </w:r>
    </w:p>
    <w:p>
      <w:pPr>
        <w:spacing w:after="0" w:line="15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If any actual or deemed distributions of our net capital gains, or any gains realized upon the sale, exchange or other taxable disposition of our common stock, are effectively connected with a U.S. trade or business of the non-U.S. stockholder (and, if an income tax treaty applies, are attributable to a permanent establishment maintained by the non-U.S. stockholder in the United States), such amounts will be subject to U.S. federal income tax, on a net income basis, in the same manner, and at the graduated rates applicable to, a U.S. stockholder.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tax treaty). Accordingly, investment in the shares may not be appropriate for certain non-U.S. stockholders.</w:t>
      </w:r>
    </w:p>
    <w:p>
      <w:pPr>
        <w:spacing w:after="0" w:line="155"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Under the Plan, our stockholders who have not “opted out” of our Plan will have their cash distributions automatically reinvested in additional common stock, rather than receiving the cash distributions. If the distribution is a distribution of our ICTI and is not properly reported by us as a short-term capital gains dividend or interest-related dividend, the amount distributed (to the extent of our current and accumulated earnings and profits) will be subject to U.S. federal withholding tax as described above and only the net after-tax amount will be reinvested in our common stock. If the distribution is effectively connected with a U.S. trade or business of the non-U.S. stockholder (and, if an income tax treaty applies, is attributable to a permanent establishment maintained by the non-U.S. stockholder in the United States), generally the full amount of the distribution will be reinvested in the Plan and will nevertheless be subject to U.S. federal income tax at the ordinary income rates applicable to U.S. persons. The non-U.S. stockholder will have an adjusted tax basis in the additional common stock purchased through the Plan equal to the amount reinvested. The additional common stock will have a new holding period commencing on the day following the day on which the common stock is credited to the non-U.S. stockholder’s account.</w:t>
      </w:r>
    </w:p>
    <w:p>
      <w:pPr>
        <w:spacing w:after="0" w:line="154"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b w:val="1"/>
          <w:bCs w:val="1"/>
          <w:i w:val="1"/>
          <w:iCs w:val="1"/>
          <w:color w:val="auto"/>
        </w:rPr>
        <w:t xml:space="preserve">Backup Withholding. </w:t>
      </w:r>
      <w:r>
        <w:rPr>
          <w:rFonts w:ascii="Times New Roman" w:cs="Times New Roman" w:eastAsia="Times New Roman" w:hAnsi="Times New Roman"/>
          <w:sz w:val="15"/>
          <w:szCs w:val="15"/>
          <w:color w:val="auto"/>
        </w:rPr>
        <w:t>We must generally report to our documented non-U.S. stockholders and the IRS the amount of dividends paid during each calendar year and the amount of any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tax withheld. Information reporting requirements may apply even if no withholding was required because the distributions were effectively connected with the non-U.S. stockholder’s conduct of a United States trade or business or withholding was reduced or eliminated by an applicable income tax treaty. This information also may be made available under a specific treaty or agreement with the tax authorities in the country in which the non-U.S. stockholder resides or is established. Under U.S. federal income tax law, interest, dividends and other reportable payments may, under certain circumstances, be subject to “backup withholding” at the then applicable rate (currently 24%). Backup withholding, however, generally will not apply to distributions to a non-U.S. stockholder, provided the non-U.S. stockholder furnishes to us the required certification as to its non-U.S. status, such as by providing a valid IRS Form W-8BEN, IRS Form W-8BEN-E, or IRS Form W-8ECI, or certain other requirements are met. Backup withholding is not an additional tax. Any amounts withheld from payments made to you may be refunded or credited against U.S. federal income tax liability, if any, provided that the required information is furnished to the IRS.</w:t>
      </w:r>
    </w:p>
    <w:p>
      <w:pPr>
        <w:spacing w:after="0" w:line="15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Non-U.S. persons should consult their own tax advisors with respect to the U.S. federal income tax and withholding tax, and state, local and foreign tax consequences of an investment in our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Foreign Account Tax Compliance Act</w:t>
      </w:r>
    </w:p>
    <w:p>
      <w:pPr>
        <w:spacing w:after="0" w:line="192"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the Code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U.S. person and certain financial information associated with the holder’s account. In addition, subject to certain exceptions, this legislation also imposes a 30% withholding on certain payments to certain foreign entities that are not FFIs unless the foreign entity certifies that it does not have a greater than 10% owner that is a specified U.S. person or provides the withholding agent with identifying information on each greater than 10% owner that is a specified U.S person. Depending on the status of a beneficial owner and the status of the intermediaries through which they hold their shares, beneficial owners of our common stock could be subject to this 30% withholding tax with respect to distributions on their shares. Under certain circumstances, a beneficial owner might be eligible for refunds or credits of such taxes.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5"/>
          <w:szCs w:val="15"/>
          <w:b w:val="1"/>
          <w:bCs w:val="1"/>
          <w:color w:val="auto"/>
        </w:rPr>
        <w:t>DETERMINATION OF NET ASSET VALUE</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NAV per share of our outstanding shares of common stock is determined quarterly by dividing the value of total assets minus liabilities by the total number of shares of common stock outstanding at the date as of which the determination is made.</w:t>
      </w:r>
    </w:p>
    <w:p>
      <w:pPr>
        <w:spacing w:after="0" w:line="135"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We carry our investments at fair value, as approved in good faith using written policies and procedures adopted by our board of directors. Investments for which market quotations are readily available are fair valued at such market quotations obtained from independent third-party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Advisors, our audit committee of our board of directors and a third-party independent valuation firm. We use multiple techniques for determining fair value based on the nature of the investment and experience with those types of investments and specific portfolio companies. The selections of the valuation techniques and the inputs and assumptions used within those techniques often require subjective judgments and estimates. These techniques include market comparables, discounted cash flows and enterprise value waterfalls. Fair value is best expressed as a range of values from which the Company determines a single best estimate. The types of inputs and assumptions that may be considered in determining the range of values of our investments include the nature and realizable value of any collateral, the portfolio company’s ability to make payments, market yield trend analysis and volatility in future interest rates, call and put features, the markets in which the portfolio company does business, comparison to publicly traded companies, discounted cash flow and other relevant factors.</w:t>
      </w:r>
    </w:p>
    <w:p>
      <w:pPr>
        <w:spacing w:after="0" w:line="160"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Our investments in the subordinated notes of Saratoga CLO, Class F-2-R-3 Notes of the Saratoga CLO and the Class E Notes of SLF 2022 are carried at fair value, which is based on a discounted cash flow valuation technique that utilizes prepayment, re-investment and loss inputs based on historical experience and projected performance, economic factors, the characteristics of the underlying cash flow, and comparable yields for equity interests in collateralized loan obligation funds, when available, as determined by Saratoga Investment Advisors and recommended to our board of directors. Specifically, we use Intex cash flows, or an appropriate substitute, to form the basis for the valuation of our investment in the subordinated notes of Saratoga CLO, Class F-2-R-3 Notes of the Saratoga CLO and the Class E Notes of SLF 2022. The inputs are based on available market data and projections provided by third parties as well as management estimates. We use the output from the Intex models (i.e., the estimated cash flows) to perform a discounted cash flow analysis on expected future cash flows to determine the valuation for our investment in Saratoga CLO.</w:t>
      </w:r>
    </w:p>
    <w:p>
      <w:pPr>
        <w:spacing w:after="0" w:line="15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Our equity investment in SLF JV is measured using the proportionate share of the NAV, or equivalent, of SLF JV as a practical expedient for fair value, provided by ASC 820. Our unsecured loan investment in SLF JV is based on a discounted cash flow valuation technique.</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undertake a multi-step valuation process each quarter when valuing investments for which market quotations are not readily available, as described below:</w:t>
      </w:r>
    </w:p>
    <w:p>
      <w:pPr>
        <w:spacing w:after="0" w:line="188" w:lineRule="exact"/>
        <w:rPr>
          <w:sz w:val="20"/>
          <w:szCs w:val="20"/>
          <w:color w:val="auto"/>
        </w:rPr>
      </w:pPr>
    </w:p>
    <w:p>
      <w:pPr>
        <w:ind w:left="540" w:right="20" w:hanging="279"/>
        <w:spacing w:after="0" w:line="283" w:lineRule="auto"/>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investment is initially valued by the responsible investment professionals of Saratoga Investment Advisors and preliminary valuation conclusions are documented, reviewed and discussed with our senior management; and</w:t>
      </w:r>
    </w:p>
    <w:p>
      <w:pPr>
        <w:spacing w:after="0" w:line="134" w:lineRule="exact"/>
        <w:rPr>
          <w:rFonts w:ascii="Times New Roman" w:cs="Times New Roman" w:eastAsia="Times New Roman" w:hAnsi="Times New Roman"/>
          <w:sz w:val="15"/>
          <w:szCs w:val="15"/>
          <w:color w:val="auto"/>
        </w:rPr>
      </w:pPr>
    </w:p>
    <w:p>
      <w:pPr>
        <w:jc w:val="both"/>
        <w:ind w:left="540" w:hanging="279"/>
        <w:spacing w:after="0" w:line="261" w:lineRule="auto"/>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independent valuation firm engaged by our board of directors independently reviews a selection of these preliminary valuations each quarter so that the valuation of each investment for which market quotes are not readily available is reviewed by the independent valuation firm at least once each fiscal year. We use a third-party independent valuation firm to value our investments in the subordinated notes of Saratoga CLO, the Class F-2-R-3 Notes tranche of the Saratoga CLO, and the Class E Notes tranche of the SLF 2022 every quarter.</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In addition, all our investments are subject to the following valuation process:</w:t>
      </w:r>
    </w:p>
    <w:p>
      <w:pPr>
        <w:spacing w:after="0" w:line="188" w:lineRule="exact"/>
        <w:rPr>
          <w:sz w:val="20"/>
          <w:szCs w:val="20"/>
          <w:color w:val="auto"/>
        </w:rPr>
      </w:pPr>
    </w:p>
    <w:p>
      <w:pPr>
        <w:ind w:left="540" w:hanging="279"/>
        <w:spacing w:after="0" w:line="283"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audit committee of our board of directors reviews and approves each preliminary valuation and our investment adviser and independent valuation firm (if applicable) will supplement the preliminary valuation to reflect any comments provided by the audit committee; and</w:t>
      </w:r>
    </w:p>
    <w:p>
      <w:pPr>
        <w:spacing w:after="0" w:line="134"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board of directors discusses the valuations and approves the fair value of each investment in good faith based on the input of our investment adviser, independent valuation firm (to the extent applicable) and the audit committee of our board of directors.</w:t>
      </w:r>
    </w:p>
    <w:p>
      <w:pPr>
        <w:spacing w:after="0" w:line="135" w:lineRule="exact"/>
        <w:rPr>
          <w:sz w:val="20"/>
          <w:szCs w:val="20"/>
          <w:color w:val="auto"/>
        </w:rPr>
      </w:pPr>
    </w:p>
    <w:p>
      <w:pPr>
        <w:ind w:firstLine="271"/>
        <w:spacing w:after="0" w:line="283" w:lineRule="auto"/>
        <w:rPr>
          <w:sz w:val="20"/>
          <w:szCs w:val="20"/>
          <w:color w:val="auto"/>
        </w:rPr>
      </w:pPr>
      <w:r>
        <w:rPr>
          <w:rFonts w:ascii="Times New Roman" w:cs="Times New Roman" w:eastAsia="Times New Roman" w:hAnsi="Times New Roman"/>
          <w:sz w:val="15"/>
          <w:szCs w:val="15"/>
          <w:color w:val="auto"/>
        </w:rPr>
        <w:t>Because such valuations, and particularly valuations of private investments and private companies, are inherently uncertain, they may fluctuate over short periods of time and may be based on estimates.</w:t>
      </w:r>
    </w:p>
    <w:p>
      <w:pPr>
        <w:spacing w:after="0" w:line="135" w:lineRule="exact"/>
        <w:rPr>
          <w:sz w:val="20"/>
          <w:szCs w:val="20"/>
          <w:color w:val="auto"/>
        </w:rPr>
      </w:pPr>
    </w:p>
    <w:p>
      <w:pPr>
        <w:ind w:firstLine="271"/>
        <w:spacing w:after="0" w:line="283" w:lineRule="auto"/>
        <w:rPr>
          <w:sz w:val="20"/>
          <w:szCs w:val="20"/>
          <w:color w:val="auto"/>
        </w:rPr>
      </w:pPr>
      <w:r>
        <w:rPr>
          <w:rFonts w:ascii="Times New Roman" w:cs="Times New Roman" w:eastAsia="Times New Roman" w:hAnsi="Times New Roman"/>
          <w:sz w:val="15"/>
          <w:szCs w:val="15"/>
          <w:color w:val="auto"/>
        </w:rPr>
        <w:t>The determination of fair value may differ materially from the values that would have been used if a ready market for these investments existed. Our NAV could be materially affected if the determinations regarding the fair value of our investments were materially higher or lower than the values that we ultimately realize upon the disposal of such investments.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53" w:name="page54"/>
    <w:bookmarkEnd w:id="53"/>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Rule 2a-5 under the 1940 Act (“Rule 2a-5”) establishes a regulatory framework for determining fair value in good faith for purposes of the 1940 Act. Rule 2a-5 permits boards, subject to board oversight and certain other conditions, to designate the investment adviser to perform fair value determinations. Rule 2a-5 also defines when market quotations are “readily available” for purposes of the 1940 Act and the threshold for determining whether a fund must determine the fair value of a security. Rule 31a-4 under the 1940 Act (“Rule 31a-4”) provides the recordkeeping requirements associated with fair value determinations. While our board of directors has not elected to designate Saratoga Investment Advisors as the valuation designee, the Company has established policies and procedures in compliance with the applicable requirements of Rule 2a-5 and Rule 31a-4.</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In September 2006, the Financial Accounting Standards Board, (the “FASB”), issued Statement of Financial Accounting Standards No. 157, “Fair Value Measurements” (“FAS 157”). In conjunction with Accounting Standards Codification (“ASC”) 105 issued by the FASB in June 2009, FAS 157 has been codified in ASC 820, “Fair Value Measurement and Disclosures” (“ASC 820”). ASC 820 defines fair value, establishes a framework for measuring fair value in accordance with Generally Accepted Accounting Principles in the United Sates, or GAAP, and expands disclosures about fair value measurements.</w:t>
      </w:r>
    </w:p>
    <w:p>
      <w:pPr>
        <w:spacing w:after="0" w:line="15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We value all investments in accordance with ASC 820. As defined in ASC 820, fair value is the price that would be received to sell an asset or paid to transfer a liability in an orderly transaction between independent market participants at the measurement date.</w:t>
      </w:r>
    </w:p>
    <w:p>
      <w:pPr>
        <w:spacing w:after="0" w:line="135"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52" w:lineRule="exact"/>
        <w:rPr>
          <w:sz w:val="20"/>
          <w:szCs w:val="20"/>
          <w:color w:val="auto"/>
        </w:rPr>
      </w:pPr>
    </w:p>
    <w:p>
      <w:pPr>
        <w:jc w:val="both"/>
        <w:ind w:firstLine="271"/>
        <w:spacing w:after="0" w:line="276" w:lineRule="auto"/>
        <w:rPr>
          <w:sz w:val="20"/>
          <w:szCs w:val="20"/>
          <w:color w:val="auto"/>
        </w:rPr>
      </w:pPr>
      <w:r>
        <w:rPr>
          <w:rFonts w:ascii="Times New Roman" w:cs="Times New Roman" w:eastAsia="Times New Roman" w:hAnsi="Times New Roman"/>
          <w:sz w:val="15"/>
          <w:szCs w:val="15"/>
          <w:color w:val="auto"/>
        </w:rPr>
        <w:t>Based on the observability of the inputs used in the valuation techniques, we are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325" w:lineRule="exact"/>
        <w:rPr>
          <w:sz w:val="20"/>
          <w:szCs w:val="20"/>
          <w:color w:val="auto"/>
        </w:rPr>
      </w:pPr>
    </w:p>
    <w:p>
      <w:pPr>
        <w:ind w:left="540" w:hanging="279"/>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1—Valuations based on quoted prices in active markets for identical assets or liabilities that we have the ability to access.</w:t>
      </w:r>
    </w:p>
    <w:p>
      <w:pPr>
        <w:spacing w:after="0" w:line="188" w:lineRule="exact"/>
        <w:rPr>
          <w:rFonts w:ascii="Times New Roman" w:cs="Times New Roman" w:eastAsia="Times New Roman" w:hAnsi="Times New Roman"/>
          <w:sz w:val="15"/>
          <w:szCs w:val="15"/>
          <w:color w:val="auto"/>
        </w:rPr>
      </w:pPr>
    </w:p>
    <w:p>
      <w:pPr>
        <w:jc w:val="both"/>
        <w:ind w:left="540" w:hanging="279"/>
        <w:spacing w:after="0" w:line="261" w:lineRule="auto"/>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2—Pricing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that are generally included in this category include illiquid debt securities and less liquid, privately held or restricted equity securities, for which some level of recent trading activity has been observed.</w:t>
      </w:r>
    </w:p>
    <w:p>
      <w:pPr>
        <w:spacing w:after="0" w:line="151" w:lineRule="exact"/>
        <w:rPr>
          <w:rFonts w:ascii="Times New Roman" w:cs="Times New Roman" w:eastAsia="Times New Roman" w:hAnsi="Times New Roman"/>
          <w:sz w:val="15"/>
          <w:szCs w:val="15"/>
          <w:color w:val="auto"/>
        </w:rPr>
      </w:pPr>
    </w:p>
    <w:p>
      <w:pPr>
        <w:jc w:val="both"/>
        <w:ind w:left="540" w:hanging="279"/>
        <w:spacing w:after="0" w:line="254" w:lineRule="auto"/>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3—Pricing inputs are unobservable for the investment and includes situations where there is little, if any, market activity for the investment. The inputs may be based on the our own assumptions about how market participants would price the asset or liability or may use Level 2 inputs, as adjusted, to reflect specific investment attributes relative to a broader market assumption. Even if observable market data for comparable performance or valuation measures (earnings multiples, discount rates, other financial/valuation ratios, etc.) are available, such investments are grouped as Level 3 if any significant data point that is not also market observable (private company earnings, cash flows, etc.) is used in the valuation technique. We use multiple techniques for determining fair value based on the nature of the investment and experience with those types of investments and specific portfolio companies. The selections of the valuation techniques and the inputs and assumptions used within those techniques often require subjective judgements and estimates. These techniques include market comparables, discounted cash flows and enterprise value waterfalls. Fair value is best expressed as a range of values from which we determine a single best estimate. The types of inputs and assumptions that may be considered in determining the range of values of our investments include the nature and realizable value of any collateral, the portfolio company’s ability to make payments, market yield trend analysis and volatility in future interest rates, call and put features, the markets in which the portfolio company does business, comparison to publicly traded companies, discounted cash flows and other relevant factors.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54" w:name="page55"/>
    <w:bookmarkEnd w:id="54"/>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In addition to using the above inputs in investment valuations, we continue to employ the valuation policy approved by the board of directors that is consistent with ASC 820 and the 1940 Act (see Note 2 in our most recent Annual Report on Form 10-K and most recent Quarterly Report on Form 10-Q). Consistent with our valuation policy, we evaluate the source of inputs, including any markets in which our investments are trading, in determining fair value.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Ongoing relationships with and monitoring of portfolio companies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Saratoga Investment Advisors will closely monitor each investment we make and, when appropriate, will conduct a regular dialogue with both the management team and other debtholders and seek specifically tailored financial reporting. In addition, in certain circumstances, senior investment professionals of Saratoga Investment Advisors may take board seats or board observation seats.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Determinations in Connection with Offerings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In connection with any offering of shares of our common stock, our board of directors or one of its committees will be required to make the determination that we are not selling shares of our common stock at a price below the then current NAV of our common stock or, if our shareholders have granted us the authority to sell shares of our common stock at a price below the then current NAV per share, at a level consistent with such explicit authority, at the time at which the sale is made. Our board of directors or the applicable committee will consider the following factors, among others, in making such determination:</w:t>
      </w:r>
    </w:p>
    <w:p>
      <w:pPr>
        <w:spacing w:after="0" w:line="152" w:lineRule="exact"/>
        <w:rPr>
          <w:sz w:val="20"/>
          <w:szCs w:val="20"/>
          <w:color w:val="auto"/>
        </w:rPr>
      </w:pPr>
    </w:p>
    <w:p>
      <w:pPr>
        <w:ind w:left="540" w:hanging="279"/>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NAV of our common stock most recently disclosed by us in the most recent periodic report that we filed with the SEC;</w:t>
      </w:r>
    </w:p>
    <w:p>
      <w:pPr>
        <w:spacing w:after="0" w:line="188" w:lineRule="exact"/>
        <w:rPr>
          <w:rFonts w:ascii="Times New Roman" w:cs="Times New Roman" w:eastAsia="Times New Roman" w:hAnsi="Times New Roman"/>
          <w:sz w:val="15"/>
          <w:szCs w:val="15"/>
          <w:color w:val="auto"/>
        </w:rPr>
      </w:pPr>
    </w:p>
    <w:p>
      <w:pPr>
        <w:jc w:val="both"/>
        <w:ind w:left="540" w:hanging="279"/>
        <w:spacing w:after="0" w:line="267" w:lineRule="auto"/>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management’s assessment of whether any material change in the NAV of our common stock has occurred (including through the realization of gains on the sale of our portfolio securities) during the period beginning on the date of the most recently disclosed NAV of our common stock in our most recent periodic report that we filed with the SEC and ending two days prior to the date of the sale of our common stock; and</w:t>
      </w:r>
    </w:p>
    <w:p>
      <w:pPr>
        <w:spacing w:after="0" w:line="146" w:lineRule="exact"/>
        <w:rPr>
          <w:rFonts w:ascii="Times New Roman" w:cs="Times New Roman" w:eastAsia="Times New Roman" w:hAnsi="Times New Roman"/>
          <w:sz w:val="15"/>
          <w:szCs w:val="15"/>
          <w:color w:val="auto"/>
        </w:rPr>
      </w:pPr>
    </w:p>
    <w:p>
      <w:pPr>
        <w:jc w:val="both"/>
        <w:ind w:left="540" w:right="20" w:hanging="279"/>
        <w:spacing w:after="0" w:line="267" w:lineRule="auto"/>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magnitude of the difference between the NAV of our common stock most recently disclosed by us in our most recent periodic report that we filed with the SEC and our management’s assessment of any material change in the NAV of our common stock since that determination, and the offering price of the shares of our common stock in the proposed offering.</w:t>
      </w:r>
    </w:p>
    <w:p>
      <w:pPr>
        <w:spacing w:after="0" w:line="146" w:lineRule="exact"/>
        <w:rPr>
          <w:sz w:val="20"/>
          <w:szCs w:val="20"/>
          <w:color w:val="auto"/>
        </w:rPr>
      </w:pPr>
    </w:p>
    <w:p>
      <w:pPr>
        <w:ind w:firstLine="271"/>
        <w:spacing w:after="0" w:line="283" w:lineRule="auto"/>
        <w:rPr>
          <w:sz w:val="20"/>
          <w:szCs w:val="20"/>
          <w:color w:val="auto"/>
        </w:rPr>
      </w:pPr>
      <w:r>
        <w:rPr>
          <w:rFonts w:ascii="Times New Roman" w:cs="Times New Roman" w:eastAsia="Times New Roman" w:hAnsi="Times New Roman"/>
          <w:sz w:val="15"/>
          <w:szCs w:val="15"/>
          <w:color w:val="auto"/>
        </w:rPr>
        <w:t>The processes and procedures set forth above are part of our compliance policies and procedures. In addition, we will make a record of any such determinations made and such documentation will be maintained in a manner consistent with our other 1940 Act related materials.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5"/>
          <w:szCs w:val="15"/>
          <w:b w:val="1"/>
          <w:bCs w:val="1"/>
          <w:color w:val="auto"/>
        </w:rPr>
        <w:t>SALES OF COMMON STOCK BELOW NET ASSET VALUE</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We are not generally able to sell our common stock at a price below NAV per share. We may, however, sell our common stock at a price below NAV per share (i) in connection with a rights offering to our existing stockholders, (ii) with the approval of our common stockholders, or (iii) under such other circumstances as the SEC may permit. For example, we may sell our common stock at a price below the then current NAV of our common stock if our board of directors determines that such sale is in our best interests and the best interests of our stockholders, and our stockholders approve our policy and practice of making such sales. We do not have stockholder approval and do not currently intend to seek stockholder approval to allow us to issue common stock at a price below NAV per share.</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Any offering of common stock below its NAV per share will be designed to raise capital for investment in accordance with our investment objective. In making a determination that an offering of common stock below its NAV per share is in our and our stockholders’ best interests, our board of directors will consider a variety of factors including:</w:t>
      </w:r>
    </w:p>
    <w:p>
      <w:pPr>
        <w:spacing w:after="0" w:line="135" w:lineRule="exact"/>
        <w:rPr>
          <w:sz w:val="20"/>
          <w:szCs w:val="20"/>
          <w:color w:val="auto"/>
        </w:rPr>
      </w:pPr>
    </w:p>
    <w:p>
      <w:pPr>
        <w:ind w:left="540" w:hanging="279"/>
        <w:spacing w:after="0" w:line="283" w:lineRule="auto"/>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 that an offering below NAV per share would have on our stockholders, including the potential dilution to the NAV per share of our common stock our stockholders would experience as a result of the offering;</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per share by which the offering price per share and the net proceeds per share are less than our most recently determined NAV per share;</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relationship of recent market prices of par common stock to NAV per share and the potential impact of the offering on the market price per share of our common stock;</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estimated offering price would closely approximate the market value of shares of our common stock;</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market impact of being able to raise capital during the current financial market difficulties;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nature of any new investors anticipated to acquire shares of our common stock in the offering;</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anticipated rate of return on and quality, type and availability of investments;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leverage available to us.</w:t>
      </w:r>
    </w:p>
    <w:p>
      <w:pPr>
        <w:spacing w:after="0" w:line="188"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Our board of directors will also consider the fact that sales of shares of common stock at a discount will benefit our investment adviser as the investment adviser will earn additional investment management fees on the proceeds of such offerings, as it would from the offering of any other of our securities or from the offering of common stock at a premium to NAV per share.</w:t>
      </w:r>
    </w:p>
    <w:p>
      <w:pPr>
        <w:spacing w:after="0" w:line="146" w:lineRule="exact"/>
        <w:rPr>
          <w:sz w:val="20"/>
          <w:szCs w:val="20"/>
          <w:color w:val="auto"/>
        </w:rPr>
      </w:pPr>
    </w:p>
    <w:p>
      <w:pPr>
        <w:jc w:val="both"/>
        <w:ind w:firstLine="271"/>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Sales by us of our common stock at a discount from NAV per share pose potential risks for our existing stockholders whether or not they participate in the offering, as well as for new investors who participate in the offering. Any sale of common stock at a price below NAV per share would result in an immediate dilution to existing common stockholders who do not participate in such sale on at least a pro-rata basis. See “Risk Factors—Risks Relating to Our Common Stock—Stockholders may incur dilution if we sell shares of our common stock in one or more offerings at prices below the then current NAV per share of our common stock” in Part I, Item 1A of our most recent Annual Report on </w:t>
      </w:r>
      <w:hyperlink r:id="rId24">
        <w:r>
          <w:rPr>
            <w:rFonts w:ascii="Times New Roman" w:cs="Times New Roman" w:eastAsia="Times New Roman" w:hAnsi="Times New Roman"/>
            <w:sz w:val="15"/>
            <w:szCs w:val="15"/>
            <w:u w:val="single" w:color="auto"/>
            <w:color w:val="0000EE"/>
          </w:rPr>
          <w:t>Form 10-K</w:t>
        </w:r>
      </w:hyperlink>
      <w:r>
        <w:rPr>
          <w:rFonts w:ascii="Times New Roman" w:cs="Times New Roman" w:eastAsia="Times New Roman" w:hAnsi="Times New Roman"/>
          <w:sz w:val="15"/>
          <w:szCs w:val="15"/>
          <w:color w:val="auto"/>
        </w:rPr>
        <w:t>.</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following three headings and accompanying tables explain and provide hypothetical examples on the impact of an offering of our common stock at a price less than NAV per share on three different types of investors:</w:t>
      </w:r>
    </w:p>
    <w:p>
      <w:pPr>
        <w:spacing w:after="0" w:line="135" w:lineRule="exact"/>
        <w:rPr>
          <w:sz w:val="20"/>
          <w:szCs w:val="20"/>
          <w:color w:val="auto"/>
        </w:rPr>
      </w:pPr>
    </w:p>
    <w:p>
      <w:pPr>
        <w:ind w:left="540" w:hanging="279"/>
        <w:spacing w:after="0"/>
        <w:tabs>
          <w:tab w:leader="none" w:pos="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existing stockholders who do not purchase any shares in the offering;</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existing stockholders who purchase a relatively small amount of shares in the offering or a relatively large amount of shares in the offering;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investors who become stockholders by purchasing shares in the offering.</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56" w:name="page57"/>
    <w:bookmarkEnd w:id="56"/>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Impact On Existing Stockholders Who Do Not Participate in the Offering</w:t>
      </w:r>
    </w:p>
    <w:p>
      <w:pPr>
        <w:spacing w:after="0" w:line="19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Our current stockholders who do not participate in an offering below NAV per share or who do not buy additional shares in the secondary market at the same or lower price as we obtain in the offering (after expenses and commissions) face the greatest potential risks. These stockholders will experience an immediate dilution in the NAV of the shares of common stock they hold and their NAV per share. These stockholders will also experience a disproportionately greater decrease in their participation in our earnings and assets and in their voting power than the increase we will experience in our assets, potential earning power and voting interests due to such offering. These stockholders may also experience a decline in the market price of their shares, which often reflects to some degree announced or potential increases and decreases in NAV per share. This decrease could be more pronounced as the size of the offering and level of discounts increases. Further, if current stockholders do not purchase any shares to maintain their percentage interest, regardless of whether such offering is above or below the then current NAV, their voting power will be diluted.</w:t>
      </w:r>
    </w:p>
    <w:p>
      <w:pPr>
        <w:spacing w:after="0" w:line="15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following table illustrates the level of NAV dilution that would be experienced by a nonparticipating stockholder in three different hypothetical offerings of different sizes and levels of discount from NAV per share, although it is not possible to predict the level of market price decline that may occur. Actual sales prices and discounts may differ from the presentation below.</w:t>
      </w:r>
    </w:p>
    <w:p>
      <w:pPr>
        <w:spacing w:after="0" w:line="146"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examples assume that Company XYZ has 5,500,000 shares of common stock outstanding, $273,000,000 in total assets and $150,000,000 in total liabilities. The current NAV and NAV per share are thus $123,000,000 and $22.36. The table illustrates the dilutive effect on nonparticipating Stockholder A of (1) the issuance of 550,000 shares (10% of the outstanding shares) at an offering price of $20.12 per share to investors (a 10% discount from NAV); (2) the issuance of 1,100,000 shares (20% of the outstanding shares) at an offering price of $19.01 per share to investors (a 15% discount from NAV); (3) the issuance of 2,200,000 shares (40% of the outstanding shares) at an offering price of $19.01 per share to investors (a 15% discount from NAV); and (4) the issuance of 5,500,000 (100% of the outstanding shares) at an offering price of $19.01 per share to investors (a 15% discount from NAV).</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3"/>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rPr>
              <w:t>Example 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3"/>
          </w:tcPr>
          <w:p>
            <w:pPr>
              <w:jc w:val="center"/>
              <w:ind w:right="85"/>
              <w:spacing w:after="0"/>
              <w:rPr>
                <w:sz w:val="20"/>
                <w:szCs w:val="20"/>
                <w:color w:val="auto"/>
              </w:rPr>
            </w:pPr>
            <w:r>
              <w:rPr>
                <w:rFonts w:ascii="Times New Roman" w:cs="Times New Roman" w:eastAsia="Times New Roman" w:hAnsi="Times New Roman"/>
                <w:sz w:val="15"/>
                <w:szCs w:val="15"/>
                <w:b w:val="1"/>
                <w:bCs w:val="1"/>
                <w:color w:val="auto"/>
              </w:rPr>
              <w:t>Example 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3"/>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rPr>
              <w:t>Example 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3"/>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rPr>
              <w:t>Example 4</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w w:val="99"/>
              </w:rPr>
              <w:t>Prior to</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3"/>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w w:val="99"/>
              </w:rPr>
              <w:t>10% Offering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3"/>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rPr>
              <w:t>20% Offering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3"/>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w w:val="99"/>
              </w:rPr>
              <w:t>40% Offering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3"/>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rPr>
              <w:t>100% Offering</w:t>
            </w:r>
          </w:p>
        </w:tc>
        <w:tc>
          <w:tcPr>
            <w:tcW w:w="0" w:type="dxa"/>
            <w:vAlign w:val="bottom"/>
          </w:tcPr>
          <w:p>
            <w:pPr>
              <w:spacing w:after="0"/>
              <w:rPr>
                <w:sz w:val="1"/>
                <w:szCs w:val="1"/>
                <w:color w:val="auto"/>
              </w:rPr>
            </w:pPr>
          </w:p>
        </w:tc>
      </w:tr>
      <w:tr>
        <w:trPr>
          <w:trHeight w:val="199"/>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center"/>
              <w:ind w:right="85"/>
              <w:spacing w:after="0"/>
              <w:rPr>
                <w:sz w:val="20"/>
                <w:szCs w:val="20"/>
                <w:color w:val="auto"/>
              </w:rPr>
            </w:pPr>
            <w:r>
              <w:rPr>
                <w:rFonts w:ascii="Times New Roman" w:cs="Times New Roman" w:eastAsia="Times New Roman" w:hAnsi="Times New Roman"/>
                <w:sz w:val="15"/>
                <w:szCs w:val="15"/>
                <w:b w:val="1"/>
                <w:bCs w:val="1"/>
                <w:color w:val="auto"/>
                <w:w w:val="99"/>
              </w:rPr>
              <w:t>at 10% Discount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w w:val="99"/>
              </w:rPr>
              <w:t>at 15% Discount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rPr>
              <w:t>at 15% Discount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w w:val="99"/>
              </w:rPr>
              <w:t>at 15% Discount</w:t>
            </w: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65"/>
              <w:spacing w:after="0" w:line="154" w:lineRule="exact"/>
              <w:rPr>
                <w:sz w:val="20"/>
                <w:szCs w:val="20"/>
                <w:color w:val="auto"/>
              </w:rPr>
            </w:pPr>
            <w:r>
              <w:rPr>
                <w:rFonts w:ascii="Times New Roman" w:cs="Times New Roman" w:eastAsia="Times New Roman" w:hAnsi="Times New Roman"/>
                <w:sz w:val="15"/>
                <w:szCs w:val="15"/>
                <w:b w:val="1"/>
                <w:bCs w:val="1"/>
                <w:color w:val="auto"/>
              </w:rPr>
              <w:t>Sale Below</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5"/>
                <w:szCs w:val="15"/>
                <w:b w:val="1"/>
                <w:bCs w:val="1"/>
                <w:color w:val="auto"/>
              </w:rPr>
              <w:t>Following</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rPr>
              <w:t>Following</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Following</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Following</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2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i w:val="1"/>
                <w:iCs w:val="1"/>
                <w:color w:val="auto"/>
              </w:rPr>
              <w:t>Offering Price</w:t>
            </w:r>
          </w:p>
        </w:tc>
        <w:tc>
          <w:tcPr>
            <w:tcW w:w="120" w:type="dxa"/>
            <w:vAlign w:val="bottom"/>
          </w:tcPr>
          <w:p>
            <w:pPr>
              <w:spacing w:after="0"/>
              <w:rPr>
                <w:sz w:val="17"/>
                <w:szCs w:val="17"/>
                <w:color w:val="auto"/>
              </w:rPr>
            </w:pPr>
          </w:p>
        </w:tc>
        <w:tc>
          <w:tcPr>
            <w:tcW w:w="920" w:type="dxa"/>
            <w:vAlign w:val="bottom"/>
          </w:tcPr>
          <w:p>
            <w:pPr>
              <w:jc w:val="center"/>
              <w:ind w:right="65"/>
              <w:spacing w:after="0"/>
              <w:rPr>
                <w:sz w:val="20"/>
                <w:szCs w:val="20"/>
                <w:color w:val="auto"/>
              </w:rPr>
            </w:pPr>
            <w:r>
              <w:rPr>
                <w:rFonts w:ascii="Times New Roman" w:cs="Times New Roman" w:eastAsia="Times New Roman" w:hAnsi="Times New Roman"/>
                <w:sz w:val="15"/>
                <w:szCs w:val="15"/>
                <w:b w:val="1"/>
                <w:bCs w:val="1"/>
                <w:color w:val="auto"/>
                <w:w w:val="92"/>
              </w:rPr>
              <w:t>NAV</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Sale</w:t>
            </w:r>
          </w:p>
        </w:tc>
        <w:tc>
          <w:tcPr>
            <w:tcW w:w="1020" w:type="dxa"/>
            <w:vAlign w:val="bottom"/>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Sale</w:t>
            </w:r>
          </w:p>
        </w:tc>
        <w:tc>
          <w:tcPr>
            <w:tcW w:w="1020" w:type="dxa"/>
            <w:vAlign w:val="bottom"/>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Sale</w:t>
            </w:r>
          </w:p>
        </w:tc>
        <w:tc>
          <w:tcPr>
            <w:tcW w:w="1020" w:type="dxa"/>
            <w:vAlign w:val="bottom"/>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Sale</w:t>
            </w:r>
          </w:p>
        </w:tc>
        <w:tc>
          <w:tcPr>
            <w:tcW w:w="1020" w:type="dxa"/>
            <w:vAlign w:val="bottom"/>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172"/>
        </w:trPr>
        <w:tc>
          <w:tcPr>
            <w:tcW w:w="124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Price per Share to</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Public</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20.12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19.01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19.01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19.01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12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Net Proceeds per</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Share to</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Issuer(1)</w:t>
            </w:r>
          </w:p>
        </w:tc>
        <w:tc>
          <w:tcPr>
            <w:tcW w:w="120" w:type="dxa"/>
            <w:vAlign w:val="bottom"/>
          </w:tcPr>
          <w:p>
            <w:pPr>
              <w:spacing w:after="0"/>
              <w:rPr>
                <w:sz w:val="16"/>
                <w:szCs w:val="16"/>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18.71</w:t>
            </w:r>
          </w:p>
        </w:tc>
        <w:tc>
          <w:tcPr>
            <w:tcW w:w="10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17.68</w:t>
            </w:r>
          </w:p>
        </w:tc>
        <w:tc>
          <w:tcPr>
            <w:tcW w:w="10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17.68</w:t>
            </w:r>
          </w:p>
        </w:tc>
        <w:tc>
          <w:tcPr>
            <w:tcW w:w="10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17.68</w:t>
            </w:r>
          </w:p>
        </w:tc>
        <w:tc>
          <w:tcPr>
            <w:tcW w:w="10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Decrease to NAV</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2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Total Shares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Outstanding</w:t>
            </w:r>
          </w:p>
        </w:tc>
        <w:tc>
          <w:tcPr>
            <w:tcW w:w="120" w:type="dxa"/>
            <w:vAlign w:val="bottom"/>
          </w:tcPr>
          <w:p>
            <w:pPr>
              <w:spacing w:after="0"/>
              <w:rPr>
                <w:sz w:val="16"/>
                <w:szCs w:val="16"/>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5,500,000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6,050,000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6,600,000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7,700,000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11,000,000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NAV per Share</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22.36</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22.03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21.58</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21.03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20.02</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-10.46%</w:t>
            </w:r>
          </w:p>
        </w:tc>
        <w:tc>
          <w:tcPr>
            <w:tcW w:w="0" w:type="dxa"/>
            <w:vAlign w:val="bottom"/>
          </w:tcPr>
          <w:p>
            <w:pPr>
              <w:spacing w:after="0"/>
              <w:rPr>
                <w:sz w:val="1"/>
                <w:szCs w:val="1"/>
                <w:color w:val="auto"/>
              </w:rPr>
            </w:pPr>
          </w:p>
        </w:tc>
      </w:tr>
      <w:tr>
        <w:trPr>
          <w:trHeight w:val="162"/>
        </w:trPr>
        <w:tc>
          <w:tcPr>
            <w:tcW w:w="124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i w:val="1"/>
                <w:iCs w:val="1"/>
                <w:color w:val="auto"/>
              </w:rPr>
              <w:t>Dilution to</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i w:val="1"/>
                <w:iCs w:val="1"/>
                <w:color w:val="auto"/>
              </w:rPr>
              <w:t>Stockholder</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2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Shares Held by</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Stockholder A</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11,000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11,000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11,000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11,000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11,000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12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Percentage Held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by Stockholder</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0.18%</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0.17%</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0.14%</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Total Asset Values</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2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Total NAV Held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by Stockholder</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245,960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242,320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237,376</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231,276</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220,233</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-10.46%</w:t>
            </w:r>
          </w:p>
        </w:tc>
        <w:tc>
          <w:tcPr>
            <w:tcW w:w="0" w:type="dxa"/>
            <w:vAlign w:val="bottom"/>
          </w:tcPr>
          <w:p>
            <w:pPr>
              <w:spacing w:after="0"/>
              <w:rPr>
                <w:sz w:val="1"/>
                <w:szCs w:val="1"/>
                <w:color w:val="auto"/>
              </w:rPr>
            </w:pPr>
          </w:p>
        </w:tc>
      </w:tr>
      <w:tr>
        <w:trPr>
          <w:trHeight w:val="166"/>
        </w:trPr>
        <w:tc>
          <w:tcPr>
            <w:tcW w:w="12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Total Investment</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by Stockholder</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 (Assumed to</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be $22.36 per</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245,960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245,960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245,960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245,960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12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Total Dilution to</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Stockholder A</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(Total NAV</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Less Total</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Investment)</w:t>
            </w:r>
          </w:p>
        </w:tc>
        <w:tc>
          <w:tcPr>
            <w:tcW w:w="120" w:type="dxa"/>
            <w:vAlign w:val="bottom"/>
          </w:tcPr>
          <w:p>
            <w:pPr>
              <w:spacing w:after="0"/>
              <w:rPr>
                <w:sz w:val="16"/>
                <w:szCs w:val="16"/>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-3,640</w:t>
            </w:r>
          </w:p>
        </w:tc>
        <w:tc>
          <w:tcPr>
            <w:tcW w:w="10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-8,584</w:t>
            </w:r>
          </w:p>
        </w:tc>
        <w:tc>
          <w:tcPr>
            <w:tcW w:w="10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-14,684</w:t>
            </w:r>
          </w:p>
        </w:tc>
        <w:tc>
          <w:tcPr>
            <w:tcW w:w="10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-25,727</w:t>
            </w:r>
          </w:p>
        </w:tc>
        <w:tc>
          <w:tcPr>
            <w:tcW w:w="10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i w:val="1"/>
                <w:iCs w:val="1"/>
                <w:color w:val="auto"/>
              </w:rPr>
              <w:t>Per Share</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i w:val="1"/>
                <w:iCs w:val="1"/>
                <w:color w:val="auto"/>
              </w:rPr>
              <w:t>Amounts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2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NAV per Share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Held by</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Stockholder A</w:t>
            </w:r>
          </w:p>
        </w:tc>
        <w:tc>
          <w:tcPr>
            <w:tcW w:w="120" w:type="dxa"/>
            <w:vAlign w:val="bottom"/>
          </w:tcPr>
          <w:p>
            <w:pPr>
              <w:spacing w:after="0"/>
              <w:rPr>
                <w:sz w:val="16"/>
                <w:szCs w:val="16"/>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22.03</w:t>
            </w:r>
          </w:p>
        </w:tc>
        <w:tc>
          <w:tcPr>
            <w:tcW w:w="10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21.58</w:t>
            </w:r>
          </w:p>
        </w:tc>
        <w:tc>
          <w:tcPr>
            <w:tcW w:w="10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21.03</w:t>
            </w:r>
          </w:p>
        </w:tc>
        <w:tc>
          <w:tcPr>
            <w:tcW w:w="10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20.02</w:t>
            </w:r>
          </w:p>
        </w:tc>
        <w:tc>
          <w:tcPr>
            <w:tcW w:w="10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12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Investment per</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 Held by</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Stockholder</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 (Assumed to</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be $22.36 per</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 on Shares</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Held Prior to</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Sale)</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22.36</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22.36</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22.36</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22.36</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12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Dilution per Share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Held by</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Stockholder A</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(NAV per Share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Less Investment</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per Share)</w:t>
            </w:r>
          </w:p>
        </w:tc>
        <w:tc>
          <w:tcPr>
            <w:tcW w:w="120" w:type="dxa"/>
            <w:vAlign w:val="bottom"/>
          </w:tcPr>
          <w:p>
            <w:pPr>
              <w:spacing w:after="0"/>
              <w:rPr>
                <w:sz w:val="16"/>
                <w:szCs w:val="16"/>
                <w:color w:val="auto"/>
              </w:rPr>
            </w:pPr>
          </w:p>
        </w:tc>
        <w:tc>
          <w:tcPr>
            <w:tcW w:w="9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-0.33</w:t>
            </w:r>
          </w:p>
        </w:tc>
        <w:tc>
          <w:tcPr>
            <w:tcW w:w="10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-0.78</w:t>
            </w:r>
          </w:p>
        </w:tc>
        <w:tc>
          <w:tcPr>
            <w:tcW w:w="10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-1.33</w:t>
            </w:r>
          </w:p>
        </w:tc>
        <w:tc>
          <w:tcPr>
            <w:tcW w:w="10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-2.34</w:t>
            </w:r>
          </w:p>
        </w:tc>
        <w:tc>
          <w:tcPr>
            <w:tcW w:w="100" w:type="dxa"/>
            <w:vAlign w:val="bottom"/>
          </w:tcPr>
          <w:p>
            <w:pPr>
              <w:spacing w:after="0"/>
              <w:rPr>
                <w:sz w:val="16"/>
                <w:szCs w:val="16"/>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12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Percentage</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Dilution to</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Stockholder A</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(Dilution per</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 Divided</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by</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Investment per</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Assumes 7% issuance discount.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52" w:orient="portrait"/>
          <w:cols w:equalWidth="0" w:num="1">
            <w:col w:w="11260"/>
          </w:cols>
          <w:pgMar w:left="320" w:top="753" w:right="319" w:bottom="0" w:gutter="0" w:footer="0" w:header="0"/>
        </w:sectPr>
      </w:pPr>
    </w:p>
    <w:bookmarkStart w:id="57" w:name="page58"/>
    <w:bookmarkEnd w:id="57"/>
    <w:p>
      <w:pPr>
        <w:ind w:left="10"/>
        <w:spacing w:after="0"/>
        <w:rPr>
          <w:sz w:val="20"/>
          <w:szCs w:val="20"/>
          <w:color w:val="auto"/>
        </w:rPr>
      </w:pPr>
      <w:r>
        <w:rPr>
          <w:rFonts w:ascii="Times New Roman" w:cs="Times New Roman" w:eastAsia="Times New Roman" w:hAnsi="Times New Roman"/>
          <w:sz w:val="15"/>
          <w:szCs w:val="15"/>
          <w:b w:val="1"/>
          <w:bCs w:val="1"/>
          <w:color w:val="auto"/>
        </w:rPr>
        <w:t>Impact on Existing Stockholders Who Do Participate in the Offering</w:t>
      </w:r>
    </w:p>
    <w:p>
      <w:pPr>
        <w:spacing w:after="0" w:line="192" w:lineRule="exact"/>
        <w:rPr>
          <w:sz w:val="20"/>
          <w:szCs w:val="20"/>
          <w:color w:val="auto"/>
        </w:rPr>
      </w:pPr>
    </w:p>
    <w:p>
      <w:pPr>
        <w:jc w:val="both"/>
        <w:ind w:left="10" w:firstLine="271"/>
        <w:spacing w:after="0" w:line="254" w:lineRule="auto"/>
        <w:rPr>
          <w:sz w:val="20"/>
          <w:szCs w:val="20"/>
          <w:color w:val="auto"/>
        </w:rPr>
      </w:pPr>
      <w:r>
        <w:rPr>
          <w:rFonts w:ascii="Times New Roman" w:cs="Times New Roman" w:eastAsia="Times New Roman" w:hAnsi="Times New Roman"/>
          <w:sz w:val="15"/>
          <w:szCs w:val="15"/>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to such stockholders will decrease as the number of shares such stockholders purchase increases. Existing stockholders who buy more than their proportionate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purchased by such stockholder increases. Even a stockholder who over-participates will, however, be subject to the risk that we may make additional discounted offerings in which such stockholder does not participate, in which case such a stockholder will experience NAV dilution as described above in any subsequent offerings. These stockholders may also experience a decline in the market price of their shares, which often reflects to some degree announced or potential decreases in NAV per share. This decrease could be more pronounced as the size of the offering and the level of discount to NAV increases.</w:t>
      </w:r>
    </w:p>
    <w:p>
      <w:pPr>
        <w:spacing w:after="0" w:line="160" w:lineRule="exact"/>
        <w:rPr>
          <w:sz w:val="20"/>
          <w:szCs w:val="20"/>
          <w:color w:val="auto"/>
        </w:rPr>
      </w:pPr>
    </w:p>
    <w:p>
      <w:pPr>
        <w:jc w:val="both"/>
        <w:ind w:left="10" w:firstLine="271"/>
        <w:spacing w:after="0" w:line="261" w:lineRule="auto"/>
        <w:rPr>
          <w:sz w:val="20"/>
          <w:szCs w:val="20"/>
          <w:color w:val="auto"/>
        </w:rPr>
      </w:pPr>
      <w:r>
        <w:rPr>
          <w:rFonts w:ascii="Times New Roman" w:cs="Times New Roman" w:eastAsia="Times New Roman" w:hAnsi="Times New Roman"/>
          <w:sz w:val="15"/>
          <w:szCs w:val="15"/>
          <w:color w:val="auto"/>
        </w:rPr>
        <w:t>The following chart illustrates the level of dilution and accretion in the hypothetical 20% offering at a 15% discount from the prior chart (Example 3) for a stockholder that acquires shares equal to (1) 50% of its proportionate share of the offering (i.e., 1,100) shares, which is 0.1% of an offering of 1,100,000 shares rather than its 0.2% proportionate share) and</w:t>
      </w:r>
    </w:p>
    <w:p>
      <w:pPr>
        <w:spacing w:after="0" w:line="1" w:lineRule="exact"/>
        <w:rPr>
          <w:sz w:val="20"/>
          <w:szCs w:val="20"/>
          <w:color w:val="auto"/>
        </w:rPr>
      </w:pPr>
    </w:p>
    <w:p>
      <w:pPr>
        <w:jc w:val="both"/>
        <w:ind w:left="10" w:right="20" w:hanging="10"/>
        <w:spacing w:after="0" w:line="256" w:lineRule="auto"/>
        <w:tabs>
          <w:tab w:leader="none" w:pos="227"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150% of such percentage (i.e., 3,300 shares, which is 0.3% of an offering of 1,100,000 shares rather than its 0.2%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Prior to</w:t>
            </w:r>
          </w:p>
        </w:tc>
        <w:tc>
          <w:tcPr>
            <w:tcW w:w="120" w:type="dxa"/>
            <w:vAlign w:val="bottom"/>
          </w:tcPr>
          <w:p>
            <w:pPr>
              <w:spacing w:after="0"/>
              <w:rPr>
                <w:sz w:val="17"/>
                <w:szCs w:val="17"/>
                <w:color w:val="auto"/>
              </w:rPr>
            </w:pPr>
          </w:p>
        </w:tc>
        <w:tc>
          <w:tcPr>
            <w:tcW w:w="2280" w:type="dxa"/>
            <w:vAlign w:val="bottom"/>
            <w:gridSpan w:val="4"/>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50% Participation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4"/>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150% Participation</w:t>
            </w:r>
          </w:p>
        </w:tc>
        <w:tc>
          <w:tcPr>
            <w:tcW w:w="0" w:type="dxa"/>
            <w:vAlign w:val="bottom"/>
          </w:tcPr>
          <w:p>
            <w:pPr>
              <w:spacing w:after="0"/>
              <w:rPr>
                <w:sz w:val="1"/>
                <w:szCs w:val="1"/>
                <w:color w:val="auto"/>
              </w:rPr>
            </w:pPr>
          </w:p>
        </w:tc>
      </w:tr>
      <w:tr>
        <w:trPr>
          <w:trHeight w:val="153"/>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45"/>
              <w:spacing w:after="0" w:line="154" w:lineRule="exact"/>
              <w:rPr>
                <w:sz w:val="20"/>
                <w:szCs w:val="20"/>
                <w:color w:val="auto"/>
              </w:rPr>
            </w:pPr>
            <w:r>
              <w:rPr>
                <w:rFonts w:ascii="Times New Roman" w:cs="Times New Roman" w:eastAsia="Times New Roman" w:hAnsi="Times New Roman"/>
                <w:sz w:val="15"/>
                <w:szCs w:val="15"/>
                <w:b w:val="1"/>
                <w:bCs w:val="1"/>
                <w:color w:val="auto"/>
              </w:rPr>
              <w:t>Sale Below</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right"/>
              <w:ind w:right="420"/>
              <w:spacing w:after="0" w:line="154" w:lineRule="exact"/>
              <w:rPr>
                <w:sz w:val="20"/>
                <w:szCs w:val="20"/>
                <w:color w:val="auto"/>
              </w:rPr>
            </w:pPr>
            <w:r>
              <w:rPr>
                <w:rFonts w:ascii="Times New Roman" w:cs="Times New Roman" w:eastAsia="Times New Roman" w:hAnsi="Times New Roman"/>
                <w:sz w:val="15"/>
                <w:szCs w:val="15"/>
                <w:b w:val="1"/>
                <w:bCs w:val="1"/>
                <w:color w:val="auto"/>
              </w:rPr>
              <w:t>Following</w:t>
            </w:r>
          </w:p>
        </w:tc>
        <w:tc>
          <w:tcPr>
            <w:tcW w:w="9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400"/>
              <w:spacing w:after="0" w:line="154" w:lineRule="exact"/>
              <w:rPr>
                <w:sz w:val="20"/>
                <w:szCs w:val="20"/>
                <w:color w:val="auto"/>
              </w:rPr>
            </w:pPr>
            <w:r>
              <w:rPr>
                <w:rFonts w:ascii="Times New Roman" w:cs="Times New Roman" w:eastAsia="Times New Roman" w:hAnsi="Times New Roman"/>
                <w:sz w:val="15"/>
                <w:szCs w:val="15"/>
                <w:b w:val="1"/>
                <w:bCs w:val="1"/>
                <w:color w:val="auto"/>
              </w:rPr>
              <w:t>Following</w:t>
            </w:r>
          </w:p>
        </w:tc>
        <w:tc>
          <w:tcPr>
            <w:tcW w:w="10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0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i w:val="1"/>
                <w:iCs w:val="1"/>
                <w:color w:val="auto"/>
              </w:rPr>
              <w:t>Offering Price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2"/>
              </w:rPr>
              <w:t>NAV</w:t>
            </w:r>
          </w:p>
        </w:tc>
        <w:tc>
          <w:tcPr>
            <w:tcW w:w="120" w:type="dxa"/>
            <w:vAlign w:val="bottom"/>
          </w:tcPr>
          <w:p>
            <w:pPr>
              <w:spacing w:after="0"/>
              <w:rPr>
                <w:sz w:val="17"/>
                <w:szCs w:val="17"/>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rPr>
              <w:t>Sale</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Sale</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172"/>
        </w:trPr>
        <w:tc>
          <w:tcPr>
            <w:tcW w:w="5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Price per Share to Public</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19.01</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19.01</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Net Proceeds per Share to Issuer(1)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17.68</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17.68</w:t>
            </w:r>
          </w:p>
        </w:tc>
        <w:tc>
          <w:tcPr>
            <w:tcW w:w="2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Increase in Shares and Decrease to NAV</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Total Shares Outstanding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5,500,000</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6,600,000</w:t>
            </w:r>
          </w:p>
        </w:tc>
        <w:tc>
          <w:tcPr>
            <w:tcW w:w="24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6,600,000</w:t>
            </w:r>
          </w:p>
        </w:tc>
        <w:tc>
          <w:tcPr>
            <w:tcW w:w="22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NAV per share</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22.36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21.58</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-3.49%</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21.58</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-3.49%</w:t>
            </w:r>
          </w:p>
        </w:tc>
        <w:tc>
          <w:tcPr>
            <w:tcW w:w="0" w:type="dxa"/>
            <w:vAlign w:val="bottom"/>
          </w:tcPr>
          <w:p>
            <w:pPr>
              <w:spacing w:after="0"/>
              <w:rPr>
                <w:sz w:val="1"/>
                <w:szCs w:val="1"/>
                <w:color w:val="auto"/>
              </w:rPr>
            </w:pPr>
          </w:p>
        </w:tc>
      </w:tr>
      <w:tr>
        <w:trPr>
          <w:trHeight w:val="180"/>
        </w:trPr>
        <w:tc>
          <w:tcPr>
            <w:tcW w:w="50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Dilution/Accretion to Participating Stockholder 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Share Dilution/Accretion</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Shares Held by Stockholder 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11,000</w:t>
            </w:r>
          </w:p>
        </w:tc>
        <w:tc>
          <w:tcPr>
            <w:tcW w:w="12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12,100</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14,300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Percentage Outstanding Held by Stockholder A</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0.18%</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-8.33%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0.21%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8.33%</w:t>
            </w:r>
          </w:p>
        </w:tc>
        <w:tc>
          <w:tcPr>
            <w:tcW w:w="0" w:type="dxa"/>
            <w:vAlign w:val="bottom"/>
          </w:tcPr>
          <w:p>
            <w:pPr>
              <w:spacing w:after="0"/>
              <w:rPr>
                <w:sz w:val="1"/>
                <w:szCs w:val="1"/>
                <w:color w:val="auto"/>
              </w:rPr>
            </w:pPr>
          </w:p>
        </w:tc>
      </w:tr>
      <w:tr>
        <w:trPr>
          <w:trHeight w:val="180"/>
        </w:trPr>
        <w:tc>
          <w:tcPr>
            <w:tcW w:w="5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NAV Dilution/Accretion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NAV Held by Stockholder A</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245,960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261,118</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6.16%</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308,594</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25.47%</w:t>
            </w:r>
          </w:p>
        </w:tc>
        <w:tc>
          <w:tcPr>
            <w:tcW w:w="0" w:type="dxa"/>
            <w:vAlign w:val="bottom"/>
          </w:tcPr>
          <w:p>
            <w:pPr>
              <w:spacing w:after="0"/>
              <w:rPr>
                <w:sz w:val="1"/>
                <w:szCs w:val="1"/>
                <w:color w:val="auto"/>
              </w:rPr>
            </w:pPr>
          </w:p>
        </w:tc>
      </w:tr>
      <w:tr>
        <w:trPr>
          <w:trHeight w:val="166"/>
        </w:trPr>
        <w:tc>
          <w:tcPr>
            <w:tcW w:w="508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Total Investment by Stockholder A (Assumed to be $22.36 per Share on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Held Prior to Sale)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265,408</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304,304</w:t>
            </w:r>
          </w:p>
        </w:tc>
        <w:tc>
          <w:tcPr>
            <w:tcW w:w="2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Dilution/Accretion to Stockholder A (Total NAV Less Total Investment)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-4,290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-1.64%</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4,290</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180"/>
        </w:trPr>
        <w:tc>
          <w:tcPr>
            <w:tcW w:w="5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NAV Dilution/Accretion per Share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NAV per Share Held by Stockholder A</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21.58</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-3.49%</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21.58</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-3.49%</w:t>
            </w:r>
          </w:p>
        </w:tc>
        <w:tc>
          <w:tcPr>
            <w:tcW w:w="0" w:type="dxa"/>
            <w:vAlign w:val="bottom"/>
          </w:tcPr>
          <w:p>
            <w:pPr>
              <w:spacing w:after="0"/>
              <w:rPr>
                <w:sz w:val="1"/>
                <w:szCs w:val="1"/>
                <w:color w:val="auto"/>
              </w:rPr>
            </w:pPr>
          </w:p>
        </w:tc>
      </w:tr>
      <w:tr>
        <w:trPr>
          <w:trHeight w:val="166"/>
        </w:trPr>
        <w:tc>
          <w:tcPr>
            <w:tcW w:w="508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Investment per Share Held by Stockholder A (Assumed to be $22.36 per Share 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Shares Held Prior to Sale)</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21.93</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21.28</w:t>
            </w:r>
          </w:p>
        </w:tc>
        <w:tc>
          <w:tcPr>
            <w:tcW w:w="2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50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NAV Dilution/Accretion per Share Experienced by Stockholder A (NAV per Share</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Less Investment per Share)</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-0.35</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0.30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508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Percentage NAV Dilution/Accretion Experienced by Stockholder A (NAV</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Dilution/Accretion per Share Divided by Investment per Share)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1.41%</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0"/>
        <w:spacing w:after="0"/>
        <w:tabs>
          <w:tab w:leader="none" w:pos="309"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4"/>
          <w:szCs w:val="14"/>
          <w:color w:val="auto"/>
        </w:rPr>
        <w:t>Assumes 7% issuance discount.</w:t>
      </w:r>
    </w:p>
    <w:p>
      <w:pPr>
        <w:spacing w:after="0" w:line="36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5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b w:val="1"/>
          <w:bCs w:val="1"/>
          <w:color w:val="auto"/>
        </w:rPr>
        <w:t>Impact on New Investors</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(Example 1 below). On the other hand, investors who are not currently stockholders, but who participate in an offering below NAV per share and whose investment per share is also less than the resulting NAV per share will experience an immediate increase in the NAV of their shares and their NAV per share compared to the price they pay for their shares (Examples 2 and 3 below). These latter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any subsequent offerings. These investors may also experience a decline in the market price of their shares, which often reflects to some degree announced or potential decreases in NAV per share. This decrease could be more pronounced as the size of the offering and level of discount to NAV increases.</w:t>
      </w:r>
    </w:p>
    <w:p>
      <w:pPr>
        <w:spacing w:after="0" w:line="155"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The following chart illustrates the level of dilution or accretion for new investors that would be experienced by a new investor in the same hypothetical discounted offerings as described in the first chart above. The illustration is for a new investor who purchases the same percentage (0.20%)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NAV per share.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4"/>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Example 1</w:t>
            </w:r>
          </w:p>
        </w:tc>
        <w:tc>
          <w:tcPr>
            <w:tcW w:w="100" w:type="dxa"/>
            <w:vAlign w:val="bottom"/>
          </w:tcPr>
          <w:p>
            <w:pPr>
              <w:spacing w:after="0"/>
              <w:rPr>
                <w:sz w:val="15"/>
                <w:szCs w:val="15"/>
                <w:color w:val="auto"/>
              </w:rPr>
            </w:pPr>
          </w:p>
        </w:tc>
        <w:tc>
          <w:tcPr>
            <w:tcW w:w="1840" w:type="dxa"/>
            <w:vAlign w:val="bottom"/>
            <w:gridSpan w:val="4"/>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Example 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4"/>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Example 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4"/>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Example 4</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Prior to</w:t>
            </w:r>
          </w:p>
        </w:tc>
        <w:tc>
          <w:tcPr>
            <w:tcW w:w="80" w:type="dxa"/>
            <w:vAlign w:val="bottom"/>
          </w:tcPr>
          <w:p>
            <w:pPr>
              <w:spacing w:after="0"/>
              <w:rPr>
                <w:sz w:val="15"/>
                <w:szCs w:val="15"/>
                <w:color w:val="auto"/>
              </w:rPr>
            </w:pPr>
          </w:p>
        </w:tc>
        <w:tc>
          <w:tcPr>
            <w:tcW w:w="2020" w:type="dxa"/>
            <w:vAlign w:val="bottom"/>
            <w:gridSpan w:val="4"/>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10% Offering</w:t>
            </w:r>
          </w:p>
        </w:tc>
        <w:tc>
          <w:tcPr>
            <w:tcW w:w="100" w:type="dxa"/>
            <w:vAlign w:val="bottom"/>
          </w:tcPr>
          <w:p>
            <w:pPr>
              <w:spacing w:after="0"/>
              <w:rPr>
                <w:sz w:val="15"/>
                <w:szCs w:val="15"/>
                <w:color w:val="auto"/>
              </w:rPr>
            </w:pPr>
          </w:p>
        </w:tc>
        <w:tc>
          <w:tcPr>
            <w:tcW w:w="1840" w:type="dxa"/>
            <w:vAlign w:val="bottom"/>
            <w:gridSpan w:val="4"/>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20% Offering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4"/>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40% Offering</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4"/>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100% Offering</w:t>
            </w:r>
          </w:p>
        </w:tc>
        <w:tc>
          <w:tcPr>
            <w:tcW w:w="0" w:type="dxa"/>
            <w:vAlign w:val="bottom"/>
          </w:tcPr>
          <w:p>
            <w:pPr>
              <w:spacing w:after="0"/>
              <w:rPr>
                <w:sz w:val="1"/>
                <w:szCs w:val="1"/>
                <w:color w:val="auto"/>
              </w:rPr>
            </w:pPr>
          </w:p>
        </w:tc>
      </w:tr>
      <w:tr>
        <w:trPr>
          <w:trHeight w:val="199"/>
        </w:trPr>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4"/>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at 10% Discount</w:t>
            </w:r>
          </w:p>
        </w:tc>
        <w:tc>
          <w:tcPr>
            <w:tcW w:w="100" w:type="dxa"/>
            <w:vAlign w:val="bottom"/>
          </w:tcPr>
          <w:p>
            <w:pPr>
              <w:spacing w:after="0"/>
              <w:rPr>
                <w:sz w:val="17"/>
                <w:szCs w:val="17"/>
                <w:color w:val="auto"/>
              </w:rPr>
            </w:pPr>
          </w:p>
        </w:tc>
        <w:tc>
          <w:tcPr>
            <w:tcW w:w="1840" w:type="dxa"/>
            <w:vAlign w:val="bottom"/>
            <w:gridSpan w:val="4"/>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at 15% Discount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4"/>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at 15% Discount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4"/>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at 15% Discount</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1060" w:type="dxa"/>
            <w:vAlign w:val="bottom"/>
            <w:gridSpan w:val="3"/>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w w:val="97"/>
              </w:rPr>
              <w:t>Sale Below</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340"/>
              <w:spacing w:after="0" w:line="154" w:lineRule="exact"/>
              <w:rPr>
                <w:sz w:val="20"/>
                <w:szCs w:val="20"/>
                <w:color w:val="auto"/>
              </w:rPr>
            </w:pPr>
            <w:r>
              <w:rPr>
                <w:rFonts w:ascii="Times New Roman" w:cs="Times New Roman" w:eastAsia="Times New Roman" w:hAnsi="Times New Roman"/>
                <w:sz w:val="15"/>
                <w:szCs w:val="15"/>
                <w:b w:val="1"/>
                <w:bCs w:val="1"/>
                <w:color w:val="auto"/>
                <w:w w:val="94"/>
              </w:rPr>
              <w:t>Following</w:t>
            </w:r>
          </w:p>
        </w:tc>
        <w:tc>
          <w:tcPr>
            <w:tcW w:w="8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top w:val="single" w:sz="8" w:color="auto"/>
            </w:tcBorders>
            <w:gridSpan w:val="3"/>
          </w:tcPr>
          <w:p>
            <w:pPr>
              <w:jc w:val="right"/>
              <w:ind w:right="300"/>
              <w:spacing w:after="0" w:line="154" w:lineRule="exact"/>
              <w:rPr>
                <w:sz w:val="20"/>
                <w:szCs w:val="20"/>
                <w:color w:val="auto"/>
              </w:rPr>
            </w:pPr>
            <w:r>
              <w:rPr>
                <w:rFonts w:ascii="Times New Roman" w:cs="Times New Roman" w:eastAsia="Times New Roman" w:hAnsi="Times New Roman"/>
                <w:sz w:val="15"/>
                <w:szCs w:val="15"/>
                <w:b w:val="1"/>
                <w:bCs w:val="1"/>
                <w:color w:val="auto"/>
              </w:rPr>
              <w:t>Following</w:t>
            </w: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Borders>
              <w:top w:val="single" w:sz="8" w:color="auto"/>
            </w:tcBorders>
            <w:gridSpan w:val="3"/>
          </w:tcPr>
          <w:p>
            <w:pPr>
              <w:jc w:val="right"/>
              <w:ind w:right="280"/>
              <w:spacing w:after="0" w:line="154" w:lineRule="exact"/>
              <w:rPr>
                <w:sz w:val="20"/>
                <w:szCs w:val="20"/>
                <w:color w:val="auto"/>
              </w:rPr>
            </w:pPr>
            <w:r>
              <w:rPr>
                <w:rFonts w:ascii="Times New Roman" w:cs="Times New Roman" w:eastAsia="Times New Roman" w:hAnsi="Times New Roman"/>
                <w:sz w:val="15"/>
                <w:szCs w:val="15"/>
                <w:b w:val="1"/>
                <w:bCs w:val="1"/>
                <w:color w:val="auto"/>
              </w:rPr>
              <w:t>Following</w:t>
            </w: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Borders>
              <w:top w:val="single" w:sz="8" w:color="auto"/>
            </w:tcBorders>
            <w:gridSpan w:val="3"/>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Following</w:t>
            </w: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2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i w:val="1"/>
                <w:iCs w:val="1"/>
                <w:color w:val="auto"/>
              </w:rPr>
              <w:t>Offering Price</w:t>
            </w:r>
          </w:p>
        </w:tc>
        <w:tc>
          <w:tcPr>
            <w:tcW w:w="120" w:type="dxa"/>
            <w:vAlign w:val="bottom"/>
          </w:tcPr>
          <w:p>
            <w:pPr>
              <w:spacing w:after="0"/>
              <w:rPr>
                <w:sz w:val="17"/>
                <w:szCs w:val="17"/>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8"/>
              </w:rPr>
              <w:t>NAV</w:t>
            </w:r>
          </w:p>
        </w:tc>
        <w:tc>
          <w:tcPr>
            <w:tcW w:w="80" w:type="dxa"/>
            <w:vAlign w:val="bottom"/>
          </w:tcPr>
          <w:p>
            <w:pPr>
              <w:spacing w:after="0"/>
              <w:rPr>
                <w:sz w:val="17"/>
                <w:szCs w:val="17"/>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Sale</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00" w:type="dxa"/>
            <w:vAlign w:val="bottom"/>
          </w:tcPr>
          <w:p>
            <w:pPr>
              <w:spacing w:after="0"/>
              <w:rPr>
                <w:sz w:val="17"/>
                <w:szCs w:val="17"/>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Sale</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Sale</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Sale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0" w:type="dxa"/>
            <w:vAlign w:val="bottom"/>
          </w:tcPr>
          <w:p>
            <w:pPr>
              <w:spacing w:after="0"/>
              <w:rPr>
                <w:sz w:val="1"/>
                <w:szCs w:val="1"/>
                <w:color w:val="auto"/>
              </w:rPr>
            </w:pPr>
          </w:p>
        </w:tc>
      </w:tr>
      <w:tr>
        <w:trPr>
          <w:trHeight w:val="172"/>
        </w:trPr>
        <w:tc>
          <w:tcPr>
            <w:tcW w:w="224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Price per Share to Public</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20.12</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19.01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19.01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19.01</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Net Proceeds per Share to Issuer</w:t>
            </w: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18.71</w:t>
            </w:r>
          </w:p>
        </w:tc>
        <w:tc>
          <w:tcPr>
            <w:tcW w:w="26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17.68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17.68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17.68</w:t>
            </w:r>
          </w:p>
        </w:tc>
        <w:tc>
          <w:tcPr>
            <w:tcW w:w="20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i w:val="1"/>
                <w:iCs w:val="1"/>
                <w:color w:val="auto"/>
              </w:rPr>
              <w:t>Increase in Shares and Decrease</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i w:val="1"/>
                <w:iCs w:val="1"/>
                <w:color w:val="auto"/>
              </w:rPr>
              <w:t>to NAV</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Total Shares Outstanding</w:t>
            </w: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5,500,000</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6,050,000</w:t>
            </w:r>
          </w:p>
        </w:tc>
        <w:tc>
          <w:tcPr>
            <w:tcW w:w="2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6,600,000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7,700,000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11,000,000</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NAV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22.36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22.03</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21.58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-3.49%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21.03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-5.99%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20.02</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-10.48%</w:t>
            </w:r>
          </w:p>
        </w:tc>
        <w:tc>
          <w:tcPr>
            <w:tcW w:w="0" w:type="dxa"/>
            <w:vAlign w:val="bottom"/>
          </w:tcPr>
          <w:p>
            <w:pPr>
              <w:spacing w:after="0"/>
              <w:rPr>
                <w:sz w:val="1"/>
                <w:szCs w:val="1"/>
                <w:color w:val="auto"/>
              </w:rPr>
            </w:pPr>
          </w:p>
        </w:tc>
      </w:tr>
      <w:tr>
        <w:trPr>
          <w:trHeight w:val="162"/>
        </w:trPr>
        <w:tc>
          <w:tcPr>
            <w:tcW w:w="224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i w:val="1"/>
                <w:iCs w:val="1"/>
                <w:color w:val="auto"/>
              </w:rPr>
              <w:t>Dilution/Accretion to New</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2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i w:val="1"/>
                <w:iCs w:val="1"/>
                <w:color w:val="auto"/>
              </w:rPr>
              <w:t>Investor A</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Share Dilution</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Shares held by Investor A</w:t>
            </w: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w:t>
            </w:r>
          </w:p>
        </w:tc>
        <w:tc>
          <w:tcPr>
            <w:tcW w:w="2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2,200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4,400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11,000</w:t>
            </w:r>
          </w:p>
        </w:tc>
        <w:tc>
          <w:tcPr>
            <w:tcW w:w="20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2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Percentage Outstanding Held by</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Investor A</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0.02%</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0.03%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0.06</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0.10</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NAV Dilution</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NAV Held by Investor A</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22,030</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47,476</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92,532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220,220</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2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Total Investment by Investor A (At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Price to Public)</w:t>
            </w:r>
          </w:p>
        </w:tc>
        <w:tc>
          <w:tcPr>
            <w:tcW w:w="12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18,710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38,896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77,792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194,480</w:t>
            </w:r>
          </w:p>
        </w:tc>
        <w:tc>
          <w:tcPr>
            <w:tcW w:w="2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2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Total Dilution/Accretion to</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Investor A (Total NAV Less</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Investment)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3,720</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17.74%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8,580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22.06%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14,740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18.95%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25,740</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13.24%</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NAV Dilution per Share</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NAV per Share Held by Investor A</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22.03</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21.58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21.03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20.02</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2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Investment per Share Held by</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Investor A</w:t>
            </w:r>
          </w:p>
        </w:tc>
        <w:tc>
          <w:tcPr>
            <w:tcW w:w="12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18.71</w:t>
            </w:r>
          </w:p>
        </w:tc>
        <w:tc>
          <w:tcPr>
            <w:tcW w:w="2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17.68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17.68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17.68</w:t>
            </w:r>
          </w:p>
        </w:tc>
        <w:tc>
          <w:tcPr>
            <w:tcW w:w="2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2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NAV Dilution/Accretion per Share</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Experienced by Investor A (NAV</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per Share Less Investment per</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3.32</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3.90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3.35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2.34</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2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Percentage NAV</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Dilution/Accretion Experienced</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by Investor A (NAV Dilution/</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Accretion per Share Divided by</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Investment per Share)</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17.74%</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22.06%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18.95%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13.24%</w:t>
            </w:r>
          </w:p>
        </w:tc>
        <w:tc>
          <w:tcPr>
            <w:tcW w:w="0" w:type="dxa"/>
            <w:vAlign w:val="bottom"/>
          </w:tcPr>
          <w:p>
            <w:pPr>
              <w:spacing w:after="0"/>
              <w:rPr>
                <w:sz w:val="1"/>
                <w:szCs w:val="1"/>
                <w:color w:val="auto"/>
              </w:rPr>
            </w:pPr>
          </w:p>
        </w:tc>
      </w:tr>
      <w:tr>
        <w:trPr>
          <w:trHeight w:val="543"/>
        </w:trPr>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5"/>
                <w:szCs w:val="15"/>
                <w:color w:val="auto"/>
              </w:rPr>
              <w:t>53</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53"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OUR CAPITAL STOCK</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following description is based on relevant portions of the Maryland General Corporation Law (the “MGCL”) and our charter and bylaws, which we collectively refer to as our “governing documents.”</w:t>
      </w:r>
    </w:p>
    <w:p>
      <w:pPr>
        <w:spacing w:after="0" w:line="135"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As of the date of this prospectus, our authorized stock consists of 100,000,000 shares of common stock, par value $0.001 per share, all of which are designated as shares of common stock. Our common stock trades under the symbol “SAR” on the NYSE. There are no outstanding options or warrants to purchase our common stock. No shares of common stock have been authorized for issuance under any equity compensation plans. Under the MGCL, our stockholders generally are not personally liable for our debts or obligations.</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Under our governing documents, our board of directors is authorized to create new classes or series of shares of stock and to authorize the issuance of shares of stock without obtaining stockholder approval.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Each share of our common stock has equal rights as to earnings, assets, dividends and voting and all of our outstanding shares of common stock are duly authorized, validly issued, fully paid and nonassessable. Distributions may be paid to the holders of our common stock if, as and when authorized by our board of directors and declared by us out of funds legally available therefor. Shares of our common stock have no preemptive, exchange, conversion or redemption rights.</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In the event of our liquidation, dissolution or winding up, each share of common stock would be entitled to share ratably in all of our assets that are legally available for distribution after we pay all debts and other liabilities and subject to any preferential rights of holders of shares of our preferred stock, if any are outstanding at such time. Each share of our common stock entitles its holder to cast one vote on all matters submitted to a vote of stockholders, including the election and removal of directors.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sets forth information regarding our authorized shares of stock under our charter and shares of stock outstanding as of January 14, 2026.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Amount</w:t>
            </w:r>
          </w:p>
        </w:tc>
      </w:tr>
      <w:tr>
        <w:trPr>
          <w:trHeight w:val="180"/>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gridSpan w:val="3"/>
          </w:tcPr>
          <w:p>
            <w:pPr>
              <w:jc w:val="center"/>
              <w:ind w:left="25"/>
              <w:spacing w:after="0"/>
              <w:rPr>
                <w:sz w:val="20"/>
                <w:szCs w:val="20"/>
                <w:color w:val="auto"/>
              </w:rPr>
            </w:pPr>
            <w:r>
              <w:rPr>
                <w:rFonts w:ascii="Times New Roman" w:cs="Times New Roman" w:eastAsia="Times New Roman" w:hAnsi="Times New Roman"/>
                <w:sz w:val="15"/>
                <w:szCs w:val="15"/>
                <w:b w:val="1"/>
                <w:bCs w:val="1"/>
                <w:color w:val="auto"/>
                <w:w w:val="99"/>
              </w:rPr>
              <w:t>Outstanding</w:t>
            </w:r>
          </w:p>
        </w:tc>
      </w:tr>
      <w:tr>
        <w:trPr>
          <w:trHeight w:val="180"/>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Exclusive of</w:t>
            </w:r>
          </w:p>
        </w:tc>
      </w:tr>
      <w:tr>
        <w:trPr>
          <w:trHeight w:val="180"/>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Held by</w:t>
            </w:r>
          </w:p>
        </w:tc>
        <w:tc>
          <w:tcPr>
            <w:tcW w:w="20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Amount</w:t>
            </w:r>
          </w:p>
        </w:tc>
      </w:tr>
      <w:tr>
        <w:trPr>
          <w:trHeight w:val="180"/>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0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Held</w:t>
            </w:r>
          </w:p>
        </w:tc>
      </w:tr>
      <w:tr>
        <w:trPr>
          <w:trHeight w:val="180"/>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or for</w:t>
            </w:r>
          </w:p>
        </w:tc>
        <w:tc>
          <w:tcPr>
            <w:tcW w:w="2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by Us or for</w:t>
            </w:r>
          </w:p>
        </w:tc>
      </w:tr>
      <w:tr>
        <w:trPr>
          <w:trHeight w:val="180"/>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Our</w:t>
            </w:r>
          </w:p>
        </w:tc>
        <w:tc>
          <w:tcPr>
            <w:tcW w:w="20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Our</w:t>
            </w:r>
          </w:p>
        </w:tc>
      </w:tr>
      <w:tr>
        <w:trPr>
          <w:trHeight w:val="199"/>
        </w:trPr>
        <w:tc>
          <w:tcPr>
            <w:tcW w:w="8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Title of Class</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Authorized</w:t>
            </w: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Account</w:t>
            </w:r>
          </w:p>
        </w:tc>
        <w:tc>
          <w:tcPr>
            <w:tcW w:w="20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Account</w:t>
            </w:r>
          </w:p>
        </w:tc>
      </w:tr>
      <w:tr>
        <w:trPr>
          <w:trHeight w:val="172"/>
        </w:trPr>
        <w:tc>
          <w:tcPr>
            <w:tcW w:w="8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Stock</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100,000,000</w:t>
            </w:r>
          </w:p>
        </w:tc>
        <w:tc>
          <w:tcPr>
            <w:tcW w:w="2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w w:val="93"/>
              </w:rPr>
              <w:t>—</w:t>
            </w:r>
          </w:p>
        </w:tc>
        <w:tc>
          <w:tcPr>
            <w:tcW w:w="2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16,184,058</w:t>
            </w:r>
          </w:p>
        </w:tc>
        <w:tc>
          <w:tcPr>
            <w:tcW w:w="100" w:type="dxa"/>
            <w:vAlign w:val="bottom"/>
            <w:tcBorders>
              <w:top w:val="single" w:sz="8" w:color="CCEEFF"/>
            </w:tcBorders>
            <w:shd w:val="clear" w:color="auto" w:fill="CCEEFF"/>
          </w:tcPr>
          <w:p>
            <w:pPr>
              <w:spacing w:after="0"/>
              <w:rPr>
                <w:sz w:val="14"/>
                <w:szCs w:val="14"/>
                <w:color w:val="auto"/>
              </w:rPr>
            </w:pPr>
          </w:p>
        </w:tc>
      </w:tr>
      <w:tr>
        <w:trPr>
          <w:trHeight w:val="362"/>
        </w:trPr>
        <w:tc>
          <w:tcPr>
            <w:tcW w:w="8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65"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Our governing documents authorize our board of directors to classify and reclassify any unissued shares of stock into other classes or series of stock, including preferred stock. Prior to the issuance of shares of stock of each class or series, the board of directors is required by our governing documents to set the terms, preferences, conversion or other rights, voting powers, restrictions, limitations as to dividends or other distributions, qualifications and terms or conditions of redemption for each class or series of shares of stock. Thus, the board of directors could authorize the issuance of preferred stock with terms and conditions that could have the effect of delaying, deferring or preventing a transaction or a change in control that might involve a premium price for holders of our common stock or otherwise be in their best interest. In addition, as a BDC, any issuance of preferred stock must comply with the requirements of the 1940 Act. The 1940 Act requires, among other things, that (1) immediately after issuance and before any dividend or other distribution is made with respect to our common stock and before any purchase of common stock is made, the aggregate dividend or distribution on, or purchase price of, such shares of preferred stock together with all other indebtedness and senior securities must not exceed an amount equal to 50% of our total assets after deducting the amount of such dividend, distribution or purchase price, as the case may be, and (2) the holders of preferred stock, if any are issued, must be entitled as a class to elect two directors at all times and to elect a majority of the directors if dividends on such preferred stock is in arrears by two years or more. Certain matters under the 1940 Act require the separate vote of the holders of any issued and outstanding shares of preferred stock. We believe that the availability for issuance of preferred stock will provide us with increased flexibility in structuring future financings and acquisitions.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60" w:name="page61"/>
    <w:bookmarkEnd w:id="60"/>
    <w:p>
      <w:pPr>
        <w:ind w:left="10"/>
        <w:spacing w:after="0"/>
        <w:rPr>
          <w:sz w:val="20"/>
          <w:szCs w:val="20"/>
          <w:color w:val="auto"/>
        </w:rPr>
      </w:pPr>
      <w:r>
        <w:rPr>
          <w:rFonts w:ascii="Times New Roman" w:cs="Times New Roman" w:eastAsia="Times New Roman" w:hAnsi="Times New Roman"/>
          <w:sz w:val="15"/>
          <w:szCs w:val="15"/>
          <w:b w:val="1"/>
          <w:bCs w:val="1"/>
          <w:color w:val="auto"/>
        </w:rPr>
        <w:t>Limitation on Liability of Directors and Officers; Indemnification and Advance of Expenses</w:t>
      </w:r>
    </w:p>
    <w:p>
      <w:pPr>
        <w:spacing w:after="0" w:line="192" w:lineRule="exact"/>
        <w:rPr>
          <w:sz w:val="20"/>
          <w:szCs w:val="20"/>
          <w:color w:val="auto"/>
        </w:rPr>
      </w:pPr>
    </w:p>
    <w:p>
      <w:pPr>
        <w:jc w:val="both"/>
        <w:ind w:left="10" w:firstLine="271"/>
        <w:spacing w:after="0" w:line="261" w:lineRule="auto"/>
        <w:rPr>
          <w:sz w:val="20"/>
          <w:szCs w:val="20"/>
          <w:color w:val="auto"/>
        </w:rPr>
      </w:pPr>
      <w:r>
        <w:rPr>
          <w:rFonts w:ascii="Times New Roman" w:cs="Times New Roman" w:eastAsia="Times New Roman" w:hAnsi="Times New Roman"/>
          <w:sz w:val="15"/>
          <w:szCs w:val="15"/>
          <w:color w:val="auto"/>
        </w:rPr>
        <w:t>The MGCL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governing documents contain a provision which eliminates directors’ and officers’ liability to the maximum extent permitted by the MGCL, subject to the requirements of the 1940 Act.</w:t>
      </w:r>
    </w:p>
    <w:p>
      <w:pPr>
        <w:spacing w:after="0" w:line="152" w:lineRule="exact"/>
        <w:rPr>
          <w:sz w:val="20"/>
          <w:szCs w:val="20"/>
          <w:color w:val="auto"/>
        </w:rPr>
      </w:pPr>
    </w:p>
    <w:p>
      <w:pPr>
        <w:jc w:val="both"/>
        <w:ind w:left="10" w:firstLine="271"/>
        <w:spacing w:after="0" w:line="255" w:lineRule="auto"/>
        <w:rPr>
          <w:sz w:val="20"/>
          <w:szCs w:val="20"/>
          <w:color w:val="auto"/>
        </w:rPr>
      </w:pPr>
      <w:r>
        <w:rPr>
          <w:rFonts w:ascii="Times New Roman" w:cs="Times New Roman" w:eastAsia="Times New Roman" w:hAnsi="Times New Roman"/>
          <w:sz w:val="15"/>
          <w:szCs w:val="15"/>
          <w:color w:val="auto"/>
        </w:rPr>
        <w:t>The MGCL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are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w:t>
      </w:r>
    </w:p>
    <w:p>
      <w:pPr>
        <w:spacing w:after="0" w:line="1" w:lineRule="exact"/>
        <w:rPr>
          <w:sz w:val="20"/>
          <w:szCs w:val="20"/>
          <w:color w:val="auto"/>
        </w:rPr>
      </w:pPr>
    </w:p>
    <w:p>
      <w:pPr>
        <w:jc w:val="both"/>
        <w:ind w:left="10" w:hanging="10"/>
        <w:spacing w:after="0" w:line="253" w:lineRule="auto"/>
        <w:tabs>
          <w:tab w:leader="none" w:pos="225"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director or officer actually received an improper personal benefit in money, property or services or (c) in the case of any criminal proceeding, the director or officer had reasonable cause to believe that the act or omission was unlawful. However, under the MGCL,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the MGCL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57" w:lineRule="exact"/>
        <w:rPr>
          <w:sz w:val="20"/>
          <w:szCs w:val="20"/>
          <w:color w:val="auto"/>
        </w:rPr>
      </w:pPr>
    </w:p>
    <w:p>
      <w:pPr>
        <w:jc w:val="both"/>
        <w:ind w:left="10" w:firstLine="271"/>
        <w:spacing w:after="0" w:line="257" w:lineRule="auto"/>
        <w:rPr>
          <w:sz w:val="20"/>
          <w:szCs w:val="20"/>
          <w:color w:val="auto"/>
        </w:rPr>
      </w:pPr>
      <w:r>
        <w:rPr>
          <w:rFonts w:ascii="Times New Roman" w:cs="Times New Roman" w:eastAsia="Times New Roman" w:hAnsi="Times New Roman"/>
          <w:sz w:val="15"/>
          <w:szCs w:val="15"/>
          <w:color w:val="auto"/>
        </w:rPr>
        <w:t>Our charter authorizes us to obligate ourselves, and our bylaws do obligate us, to the maximum extent permitted by the MGCL and subject to any applicable requirements of the 1940 Act, to indemnify and to pay or reimburse reasonable expenses in advance of final disposition of a proceeding to (1) any present or former director or officer or (2) any individual who, while a director or officer and at our request, serves or has served another corporation, real estate investment trust, partnership, limited liability company, joint venture, trust, employee benefit plan or other enterprise as a director, officer, partner, manager, member or trustee, from and against any claim or liability to which that person may become subject for which that person may incur by reason of his or her service in such capacity. Our charter and bylaws also permit indemnification and the advancement of expenses to any person who served a predecessor to Saratoga Investment Corp. in any of the capacities described above and any of our employees or agents or any employees or agents of such predecessor.</w:t>
      </w:r>
    </w:p>
    <w:p>
      <w:pPr>
        <w:spacing w:after="0" w:line="155" w:lineRule="exact"/>
        <w:rPr>
          <w:sz w:val="20"/>
          <w:szCs w:val="20"/>
          <w:color w:val="auto"/>
        </w:rPr>
      </w:pPr>
    </w:p>
    <w:p>
      <w:pPr>
        <w:jc w:val="both"/>
        <w:ind w:left="10" w:firstLine="271"/>
        <w:spacing w:after="0" w:line="283" w:lineRule="auto"/>
        <w:rPr>
          <w:sz w:val="20"/>
          <w:szCs w:val="20"/>
          <w:color w:val="auto"/>
        </w:rPr>
      </w:pPr>
      <w:r>
        <w:rPr>
          <w:rFonts w:ascii="Times New Roman" w:cs="Times New Roman" w:eastAsia="Times New Roman" w:hAnsi="Times New Roman"/>
          <w:sz w:val="15"/>
          <w:szCs w:val="15"/>
          <w:color w:val="auto"/>
        </w:rPr>
        <w:t>As a BDC, and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35" w:lineRule="exact"/>
        <w:rPr>
          <w:sz w:val="20"/>
          <w:szCs w:val="20"/>
          <w:color w:val="auto"/>
        </w:rPr>
      </w:pPr>
    </w:p>
    <w:p>
      <w:pPr>
        <w:jc w:val="both"/>
        <w:ind w:left="10" w:firstLine="271"/>
        <w:spacing w:after="0" w:line="259" w:lineRule="auto"/>
        <w:rPr>
          <w:sz w:val="20"/>
          <w:szCs w:val="20"/>
          <w:color w:val="auto"/>
        </w:rPr>
      </w:pPr>
      <w:r>
        <w:rPr>
          <w:rFonts w:ascii="Times New Roman" w:cs="Times New Roman" w:eastAsia="Times New Roman" w:hAnsi="Times New Roman"/>
          <w:sz w:val="15"/>
          <w:szCs w:val="15"/>
          <w:color w:val="auto"/>
        </w:rPr>
        <w:t>In addition to the indemnification provided for in our bylaws, we have entered into indemnification agreements with each of our current directors and officers and we intend to enter into indemnification agreements with each of our future directors and officers. The indemnification agreements attempt to provide these directors and officers the maximum indemnification permitted under the MGCL and the 1940 Act. The agreements provide, among other things, for the advancement of expenses and indemnification for liabilities incurred which such person may incur by reason of his or her status as a present or former director or officer in any action or proceeding arising out of the performance of such person’s services as a present or former director or officer.</w:t>
      </w:r>
    </w:p>
    <w:p>
      <w:pPr>
        <w:spacing w:after="0" w:line="33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53" w:right="319" w:bottom="1440" w:gutter="0" w:footer="0" w:header="0"/>
        </w:sectPr>
      </w:pPr>
    </w:p>
    <w:bookmarkStart w:id="61" w:name="page62"/>
    <w:bookmarkEnd w:id="61"/>
    <w:p>
      <w:pPr>
        <w:ind w:left="10"/>
        <w:spacing w:after="0"/>
        <w:rPr>
          <w:sz w:val="20"/>
          <w:szCs w:val="20"/>
          <w:color w:val="auto"/>
        </w:rPr>
      </w:pPr>
      <w:r>
        <w:rPr>
          <w:rFonts w:ascii="Times New Roman" w:cs="Times New Roman" w:eastAsia="Times New Roman" w:hAnsi="Times New Roman"/>
          <w:sz w:val="15"/>
          <w:szCs w:val="15"/>
          <w:b w:val="1"/>
          <w:bCs w:val="1"/>
          <w:color w:val="auto"/>
        </w:rPr>
        <w:t>Provisions of Our Governing Documents and the Maryland General Corporation Law</w:t>
      </w:r>
    </w:p>
    <w:p>
      <w:pPr>
        <w:spacing w:after="0" w:line="192" w:lineRule="exact"/>
        <w:rPr>
          <w:sz w:val="20"/>
          <w:szCs w:val="20"/>
          <w:color w:val="auto"/>
        </w:rPr>
      </w:pPr>
    </w:p>
    <w:p>
      <w:pPr>
        <w:jc w:val="both"/>
        <w:ind w:left="10" w:firstLine="271"/>
        <w:spacing w:after="0" w:line="261" w:lineRule="auto"/>
        <w:rPr>
          <w:sz w:val="20"/>
          <w:szCs w:val="20"/>
          <w:color w:val="auto"/>
        </w:rPr>
      </w:pPr>
      <w:r>
        <w:rPr>
          <w:rFonts w:ascii="Times New Roman" w:cs="Times New Roman" w:eastAsia="Times New Roman" w:hAnsi="Times New Roman"/>
          <w:sz w:val="15"/>
          <w:szCs w:val="15"/>
          <w:color w:val="auto"/>
        </w:rPr>
        <w:t>Our governing documents and the MGCL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Classified Board of Directors</w:t>
      </w:r>
    </w:p>
    <w:p>
      <w:pPr>
        <w:spacing w:after="0" w:line="192" w:lineRule="exact"/>
        <w:rPr>
          <w:sz w:val="20"/>
          <w:szCs w:val="20"/>
          <w:color w:val="auto"/>
        </w:rPr>
      </w:pPr>
    </w:p>
    <w:p>
      <w:pPr>
        <w:jc w:val="both"/>
        <w:ind w:left="10" w:firstLine="271"/>
        <w:spacing w:after="0" w:line="261" w:lineRule="auto"/>
        <w:rPr>
          <w:sz w:val="20"/>
          <w:szCs w:val="20"/>
          <w:color w:val="auto"/>
        </w:rPr>
      </w:pPr>
      <w:r>
        <w:rPr>
          <w:rFonts w:ascii="Times New Roman" w:cs="Times New Roman" w:eastAsia="Times New Roman" w:hAnsi="Times New Roman"/>
          <w:sz w:val="15"/>
          <w:szCs w:val="15"/>
          <w:color w:val="auto"/>
        </w:rPr>
        <w:t>Our board of directors is divided into three classes of directors serving staggered three-year terms. Directors of each class are elected to serve for three-year terms and until their successors are duly elected and qualify, and each year one class of directors is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Number of Directors; Vacancies; Removal</w:t>
      </w:r>
    </w:p>
    <w:p>
      <w:pPr>
        <w:spacing w:after="0" w:line="192" w:lineRule="exact"/>
        <w:rPr>
          <w:sz w:val="20"/>
          <w:szCs w:val="20"/>
          <w:color w:val="auto"/>
        </w:rPr>
      </w:pPr>
    </w:p>
    <w:p>
      <w:pPr>
        <w:jc w:val="both"/>
        <w:ind w:left="10" w:firstLine="271"/>
        <w:spacing w:after="0" w:line="255" w:lineRule="auto"/>
        <w:rPr>
          <w:sz w:val="20"/>
          <w:szCs w:val="20"/>
          <w:color w:val="auto"/>
        </w:rPr>
      </w:pPr>
      <w:r>
        <w:rPr>
          <w:rFonts w:ascii="Times New Roman" w:cs="Times New Roman" w:eastAsia="Times New Roman" w:hAnsi="Times New Roman"/>
          <w:sz w:val="15"/>
          <w:szCs w:val="15"/>
          <w:color w:val="auto"/>
        </w:rPr>
        <w:t>Our governing documents provide that the number of directors will be set only by our board of directors in accordance with our bylaws. Our bylaws provide that a majority of our entire board of directors may at any time increase or decrease the number of directors. However, unless our bylaws are amended, the number of directors may never be less than three nor more than eleven. Our charter provides that, except as may be provided by the board of directors in setting the terms of any class or series of shares of stock, so long as we have a class of securities registered under the Exchange Act and at least three independent directors,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If there are no directors then in office, vacancies may be filled by stockholders at a special meeting called for such purpose. Our charter provides that a director may be removed only by the affirmative vote of at least two-thirds of the votes entitled to be cast generally in the election of directors.</w:t>
      </w:r>
    </w:p>
    <w:p>
      <w:pPr>
        <w:spacing w:after="0" w:line="1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Election of Directors</w:t>
      </w:r>
    </w:p>
    <w:p>
      <w:pPr>
        <w:spacing w:after="0" w:line="192" w:lineRule="exact"/>
        <w:rPr>
          <w:sz w:val="20"/>
          <w:szCs w:val="20"/>
          <w:color w:val="auto"/>
        </w:rPr>
      </w:pPr>
    </w:p>
    <w:p>
      <w:pPr>
        <w:jc w:val="both"/>
        <w:ind w:left="10" w:firstLine="271"/>
        <w:spacing w:after="0" w:line="283" w:lineRule="auto"/>
        <w:rPr>
          <w:sz w:val="20"/>
          <w:szCs w:val="20"/>
          <w:color w:val="auto"/>
        </w:rPr>
      </w:pPr>
      <w:r>
        <w:rPr>
          <w:rFonts w:ascii="Times New Roman" w:cs="Times New Roman" w:eastAsia="Times New Roman" w:hAnsi="Times New Roman"/>
          <w:sz w:val="15"/>
          <w:szCs w:val="15"/>
          <w:color w:val="auto"/>
        </w:rPr>
        <w:t>Our charter and bylaws provide that the affirmative vote of the holders of a plurality of the votes cast at a meeting of the Company’s stockholders duly called and at which a quorum is present will be required to elect each director. Pursuant to our charter and bylaws, our board of directors may amend the bylaws to alter the vote required to elect directors.</w:t>
      </w:r>
    </w:p>
    <w:p>
      <w:pPr>
        <w:spacing w:after="0" w:line="1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Action by Stockholders</w:t>
      </w:r>
    </w:p>
    <w:p>
      <w:pPr>
        <w:spacing w:after="0" w:line="192" w:lineRule="exact"/>
        <w:rPr>
          <w:sz w:val="20"/>
          <w:szCs w:val="20"/>
          <w:color w:val="auto"/>
        </w:rPr>
      </w:pPr>
    </w:p>
    <w:p>
      <w:pPr>
        <w:jc w:val="both"/>
        <w:ind w:left="10" w:firstLine="271"/>
        <w:spacing w:after="0" w:line="259" w:lineRule="auto"/>
        <w:rPr>
          <w:sz w:val="20"/>
          <w:szCs w:val="20"/>
          <w:color w:val="auto"/>
        </w:rPr>
      </w:pPr>
      <w:r>
        <w:rPr>
          <w:rFonts w:ascii="Times New Roman" w:cs="Times New Roman" w:eastAsia="Times New Roman" w:hAnsi="Times New Roman"/>
          <w:sz w:val="15"/>
          <w:szCs w:val="15"/>
          <w:color w:val="auto"/>
        </w:rPr>
        <w:t>All of our outstanding shares of common stock will generally be able to vote on any matter that is a proper subject for action by the stockholders of a Maryland corporation, including in respect of the election or removal of directors as well as other extraordinary matters. Under the MGCL, stockholder action can be taken only at an annual or special meeting of stockholders or by written or electronically-transmitted unanimous consent in lieu of a meeting. These provisions, combined with the requirements of our governing documents regarding the calling of a stockholder-requested special meeting of stockholder discussed below, may have the effect of delaying consideration of a stockholder proposal until the next annual meeting.</w:t>
      </w:r>
    </w:p>
    <w:p>
      <w:pPr>
        <w:spacing w:after="0" w:line="1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Advance Notice Provisions for Stockholder Nominations and Stockholder Proposals</w:t>
      </w:r>
    </w:p>
    <w:p>
      <w:pPr>
        <w:spacing w:after="0" w:line="192" w:lineRule="exact"/>
        <w:rPr>
          <w:sz w:val="20"/>
          <w:szCs w:val="20"/>
          <w:color w:val="auto"/>
        </w:rPr>
      </w:pPr>
    </w:p>
    <w:p>
      <w:pPr>
        <w:jc w:val="both"/>
        <w:ind w:left="10" w:firstLine="271"/>
        <w:spacing w:after="0" w:line="255" w:lineRule="auto"/>
        <w:rPr>
          <w:sz w:val="20"/>
          <w:szCs w:val="20"/>
          <w:color w:val="auto"/>
        </w:rPr>
      </w:pPr>
      <w:r>
        <w:rPr>
          <w:rFonts w:ascii="Times New Roman" w:cs="Times New Roman" w:eastAsia="Times New Roman" w:hAnsi="Times New Roman"/>
          <w:sz w:val="15"/>
          <w:szCs w:val="15"/>
          <w:color w:val="auto"/>
        </w:rPr>
        <w:t>Our bylaws provide that, with respect to an annual meeting of our stockholders, nominations of individuals for election to the board of directors and the proposal of business to be considered by stockholders may be made only (1) pursuant to our notice of the meeting, (2) by or at the direction of the board of directors, (3) by any stockholder who is a stockholder of record both at the time of giving notice by the stockholder and at the time of the annual meeting, who is entitled to vote at the meeting and who has complied with the advance notice procedures of the bylaws. With respect to special meetings of stockholders, only the business specified in our notice of the meeting may be brought before the meeting. Nominations of individuals for election to the board of directors at a special meeting may be made only (1) pursuant to our notice of the meeting, (2) by or at the direction of the board of directors,</w:t>
      </w:r>
    </w:p>
    <w:p>
      <w:pPr>
        <w:spacing w:after="0" w:line="1" w:lineRule="exact"/>
        <w:rPr>
          <w:sz w:val="20"/>
          <w:szCs w:val="20"/>
          <w:color w:val="auto"/>
        </w:rPr>
      </w:pPr>
    </w:p>
    <w:p>
      <w:pPr>
        <w:jc w:val="both"/>
        <w:ind w:left="10" w:hanging="10"/>
        <w:spacing w:after="0" w:line="254" w:lineRule="auto"/>
        <w:tabs>
          <w:tab w:leader="none" w:pos="224"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provided that the board of directors has determined that directors will be elected at the meeting, by a stockholder who is a stockholder of record both at the time of giving notice by the stockholder and at the time of the special meeting and who is entitled to vote at the meeting and who has complied with the advance notice provisions of our bylaws or (4) by a stockholder who is entitled to vote at the meeting in circumstances in which a special meeting of stockholders is called for the purpose of electing directors when no directors remain in office.</w:t>
      </w:r>
    </w:p>
    <w:p>
      <w:pPr>
        <w:spacing w:after="0" w:line="3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53" w:right="319" w:bottom="1440" w:gutter="0" w:footer="0" w:header="0"/>
        </w:sectPr>
      </w:pPr>
    </w:p>
    <w:bookmarkStart w:id="62" w:name="page63"/>
    <w:bookmarkEnd w:id="62"/>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Calling of Special Meetings of Stockholders</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Our bylaws provide that special meetings of our stockholders may be called by our board of directors and certain of our officers. Additionally, our bylaws provide that, subject to the satisfaction of certain procedural and informational requirements by the stockholders requesting the meeting, a special meeting of our stockholders will be called by our secretary upon the written request of stockholders entitled to cast not less than a majority of all the votes entitled to be cast at such meeting, except that, if no directors remain in office, a special meeting of our stockholders shall be called to elect directors by the secretary upon the written request of holders entitled to cast at least 10% of the votes entitled to be cast generally in the election of directors.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Amendment of Governing Documents</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Under the MGCL, a Maryland corporation generally cannot dissolve or amend its charter unless the corporation’s board of directors declares the dissolution or amendment to be advisable and the dissolution or amendment is approved by the affirmative vote of stockholders entitled to cast at least two-thirds of the votes entitled to be cast on the matter. A Maryland corporation may provide in its charter for approval of these matters by a lesser percentage, but not less than a majority of all of the votes entitled to be cast on the matter. Our charter generally provides for approval of amendments to our charter by the stockholders entitled to cast at least a majority of the votes entitled to be cast on the matter. However, our charter also provides that certain charter amendments and proposals for our liquidation, dissolution or conversion, whether by merger or otherwise, from a closed-end company to an open-end company require the approval of the stockholders entitled to cast at least two-thirds percent of the votes entitled to be cast on such matter.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as defined in our charter, our current directors as well as those directors whose nomination for election by the stockholders or whose election by the directors to fill vacancies is approved by a majority of the continuing directors then on the board of directors.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governing documents provide that the board of directors has the exclusive power to adopt, alter or repeal any provision of our bylaws and to make new bylaws.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Approval of Extraordinary Actions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Under Maryland law, a Maryland corporation generally cannot amend its charter, merge, sell all or substantially all of its assets, engage in a share exchange or engage in similar transactions outside the ordinary course of business, unless the corporation’s board of directors declares action or transaction to be advisable and the action or transaction is approved by the affirmative vote of stockholders entitled to cast at least two-thirds of the votes entitled to be cast on the matter. A Maryland corporation may provide in its charter for approval of these matters by a lesser percentage, but not less than a majority of all of the votes entitled to be cast on the matter.</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63" w:name="page64"/>
    <w:bookmarkEnd w:id="63"/>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Except for a merger that would result in our conversion to an open-end company, which requires the approval described above, our charter provides that we may merge, sell all or substantially all of our assets, engage in a consolidation or share exchange or engage in similar transactions, if such transaction is declared advisable by our board of directors and approved by a majority of all of the votes entitled to be cast on the matter.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 Appraisal Rights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Except with respect to appraisal rights arising in connection with the Maryland Control Share Acquisition Act discussed below, as permitted by the MGCL, our governing documents provide that our stockholders will not be entitled to exercise appraisal rights unless a majority of our board of directors determines that such rights will apply with respect to all or any classes or series of stock, to one or more transactions occurring after the date of such determination in connection with which holders of such shares would otherwise be entitled to exercise appraisal rights.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Control Share Acquisitions</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Control Share Acquisition Act provides that control shares of a Maryland corporation acquired in a control share acquisition have no voting rights with respect to the control shares except to the extent approved by the affirmative vote of two-thirds of the votes entitled to be cast on the matter.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152" w:lineRule="exact"/>
        <w:rPr>
          <w:sz w:val="20"/>
          <w:szCs w:val="20"/>
          <w:color w:val="auto"/>
        </w:rPr>
      </w:pPr>
    </w:p>
    <w:p>
      <w:pPr>
        <w:ind w:left="540" w:hanging="279"/>
        <w:spacing w:after="0"/>
        <w:tabs>
          <w:tab w:leader="none" w:pos="5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one-tenth or more but less than one-third;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one-third or more but less than a majority; or</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majority or more of all voting power.</w:t>
      </w:r>
    </w:p>
    <w:p>
      <w:pPr>
        <w:spacing w:after="0" w:line="188"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146"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 meeting.</w:t>
      </w:r>
    </w:p>
    <w:p>
      <w:pPr>
        <w:spacing w:after="0" w:line="146"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which will prohibit any such repurchase other than in limited circumstances.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15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64" w:name="page65"/>
    <w:bookmarkEnd w:id="64"/>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Our bylaws contain a provision exempting from the Control Share Acquisition Act any and all acquisitions by any person of our common stock. Such provision could also be amended or eliminated at any time in the future. The SEC staff previously took the position that, if a BDC failed to opt-out of the Control Share Acquisition Act, its actions would be inconsistent with Section 18(i) of the 1940 Act. However, the SEC recently withdrew its previous position, and stated that it would not recommend enforcement action against a closed-end fund, including a BDC, that opts in to being subject to the Control Share Acquisition Act if the closed-end fund acts with reasonable care on a basis consistent with other applicable duties and laws and the duty to the company and its shareholders generally. As such, we may amend our bylaws, but will do so only if our board of directors determines that it would be in our best interests and if such amendment can be accomplished in compliance with applicable laws, regulations and SEC guidance.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Business Combinations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146" w:lineRule="exact"/>
        <w:rPr>
          <w:sz w:val="20"/>
          <w:szCs w:val="20"/>
          <w:color w:val="auto"/>
        </w:rPr>
      </w:pPr>
    </w:p>
    <w:p>
      <w:pPr>
        <w:ind w:left="540" w:hanging="279"/>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who beneficially owns 10% or more of the voting power of the corporation’s stock; or</w:t>
      </w:r>
    </w:p>
    <w:p>
      <w:pPr>
        <w:spacing w:after="0" w:line="188"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135" w:lineRule="exact"/>
        <w:rPr>
          <w:sz w:val="20"/>
          <w:szCs w:val="20"/>
          <w:color w:val="auto"/>
        </w:rPr>
      </w:pPr>
    </w:p>
    <w:p>
      <w:pPr>
        <w:ind w:left="540" w:hanging="279"/>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80% of the votes entitled to be cast by holders of outstanding shares of voting stock of the corporation; and</w:t>
      </w:r>
    </w:p>
    <w:p>
      <w:pPr>
        <w:spacing w:after="0" w:line="188"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These super-majority vote requirements do not apply if the corporation’s stockholders receive a minimum price, as defined under Maryland law, for their shares in the form of cash or other consideration in the same form as previously paid by the interested stockholder for its shares.</w:t>
      </w:r>
    </w:p>
    <w:p>
      <w:pPr>
        <w:spacing w:after="0" w:line="135"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exempting from the provisions of the Maryland Business Combination Act any business combination between us and any other person. If our board of directors adopts resolutions causing us to be subject to the provisions of the Business Combination Act, these provisions may discourage others from trying to acquire control of us and increase the difficulty of consummating any offer.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Conflict with 1940 Act</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Our bylaws provide that, if and to the extent that any provision of the MGCL, including the Control Share Acquisition Act or the Business Combination Act (if we amend our bylaws to be subject to such Acts), or any provision of our charter or bylaws conflicts with any provision of the 1940 Act, the applicable provision of the 1940 Act will control.</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6"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OUR SUBSCRIPTION RIGHTS</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Our common stockholders will indirectly bear the expenses of such subscription rights offerings, regardless of whether our common stockholders exercise any subscription rights.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applicable prospectus supplement would describe the following terms of subscription rights in respect of which this prospectus is being delivered:</w:t>
      </w:r>
    </w:p>
    <w:p>
      <w:pPr>
        <w:spacing w:after="0" w:line="188" w:lineRule="exact"/>
        <w:rPr>
          <w:sz w:val="20"/>
          <w:szCs w:val="20"/>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of such subscription rights;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exercise price or a formula for the determination of the exercise price for such subscription rights;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or a formula for the determination of the number of such subscription rights issued to each stockholder;</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such subscription rights are transferable;</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a discussion of certain U.S. federal income tax considerations applicable to the issuance or exercise of such subscription rights;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right to exercise such subscription rights would commence, and the date on which such rights shall expire (subject to any extension);</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such subscription rights include an over-subscription privilege with respect to unsubscribed securities;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material terms of any standby underwriting or other purchase arrangement that we may enter into in connection with the subscription rights offering;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such subscription rights, including terms, procedures and limitations relating to the exchange and exercise of such subscription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Exercise of Subscription Rights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 We have not previously completed such an offering of subscription rights.</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To the extent permissible under applicable law,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Dilutive Effects</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Any stockholder who chooses not to participate in a rights offering should expect to own a smaller interest in the Company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NAV per share, the rights offering may reduce our NAV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OUR DEBT SECURITIES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 with respect to our debt securities.</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All the material terms of the indenture and the supplemental indenture, as well as an explanation of your rights as a holder of debt securities, are described in this prospectus and in the prospectus supplement accompanying this prospectus. Because this section is a summary, however, it does not describe every aspect of the debt securities and the indenture. We urge you to read the indenture because it, and not this description, defines your rights as a holder of debt securities. A copy of the form of indenture is incorporated by reference as an exhibit to the registration statement of which this prospectus is a part. See “Available Information” for information on how to obtain a copy of the indenture. We will file a supplemental indenture with the SEC in connection with any debt offering, at which time the supplemental indenture would be publicly available.</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prospectus supplement, which will accompany this prospectus, will describe the particular series of debt securities being offered by including:</w:t>
      </w:r>
    </w:p>
    <w:p>
      <w:pPr>
        <w:spacing w:after="0" w:line="188" w:lineRule="exact"/>
        <w:rPr>
          <w:sz w:val="20"/>
          <w:szCs w:val="20"/>
          <w:color w:val="auto"/>
        </w:rPr>
      </w:pPr>
    </w:p>
    <w:p>
      <w:pPr>
        <w:ind w:left="540" w:hanging="279"/>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or title of the series of debt securities;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total principal amount of the series of debt securities;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percentage of the principal amount at which the series of debt securities will be offered;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on which principal will be payable;</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or rates (which may be either fixed or variable) and/or the method of determining such rate or rates of interest, if any;</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from which any interest will accrue, or the method of determining such date or dates, and the date or dates on which any interest will be payable;</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any interest may be paid by issuing additional securities of the same series in lieu of cash (and the terms upon which any such interest may be paid by issuing additional securities);</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for redemption, extension or early repayment, if any;</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currencies in which the series of debt securities are issued and payable;</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place or places, if any, other than or in addition to the Borough of Manhattan in the City of New York, of payment, transfer, conversion and/or exchange of the debt securities;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denominations in which the offered debt securities will be issued (if other than $1,000 and any integral multiple thereof);</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 for any sinking fund;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67" w:name="page68"/>
    <w:bookmarkEnd w:id="67"/>
    <w:p>
      <w:pPr>
        <w:ind w:left="540" w:hanging="279"/>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restrictive covenants;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Events of Default (as defined in “Events of Default” below);</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series of debt securities are issuable in certificated form;</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for defeasance or covenant defeasance;</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special U.S. federal income tax implications, including, if applicable, U.S. federal income tax considerations relating to original issue discount;</w:t>
      </w:r>
    </w:p>
    <w:p>
      <w:pPr>
        <w:spacing w:after="0" w:line="188"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for convertibility or exchangeability of the debt securities into or for any other securities;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debt securities are subject to subordination and the terms of such subordination;</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debt securities are secured and the terms of any security interest;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listing, if any, on a securities exchange;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w:t>
      </w:r>
    </w:p>
    <w:p>
      <w:pPr>
        <w:spacing w:after="0" w:line="18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debt securities may be secured or unsecured obligations. Unless the prospectus supplement states otherwise, principal (and premium, if any) and interest, if any, will be paid by us in immediately available funds.</w:t>
      </w:r>
    </w:p>
    <w:p>
      <w:pPr>
        <w:spacing w:after="0" w:line="135"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Under the provisions of the 1940 Act, we, as a BDC, pursuant to the approval of our board of directors, are permitted to issue debt only in amounts such that our asset coverage, as defined in the 1940 Act, equals at least 150% after each issuance of debt, but giving effect to any exemptive relief granted to us by the SEC. For a discussion of the legislation that took effect that allows us to incur additional leverage, see “Risk Factors — Risks Relating to Our Business and Structure — Effective April 16, 2019, our asset coverage requirement was reduced from 200% to 150%, which could increase the risk of investing in the Company” in Part I, Item 1A of our most recent Annual Report on Form 10-K. In addition, while any indebtedness and senior securities remain outstanding, we must make provisions to prohibit the distribution to our stockholders or the repurchase of such securities or shares unless we meet the applicable asset coverage ratios at the time of the distribution or repurchase. For a discussion of the risks associated with leverage, see “Risk Factors—Risks Related to Our Business and Structure—Regulations governing our operation as a BDC will affect our ability to raise additional capital.”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For purposes of this prospectus, any reference to the payment of principal of, or premium or interest, if any, on, debt securities will include additional amounts if required by the terms of the debt securities.</w:t>
      </w:r>
    </w:p>
    <w:p>
      <w:pPr>
        <w:spacing w:after="0" w:line="135"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68" w:name="page69"/>
    <w:bookmarkEnd w:id="68"/>
    <w:p>
      <w:pPr>
        <w:ind w:left="260"/>
        <w:spacing w:after="0"/>
        <w:rPr>
          <w:sz w:val="20"/>
          <w:szCs w:val="20"/>
          <w:color w:val="auto"/>
        </w:rPr>
      </w:pPr>
      <w:r>
        <w:rPr>
          <w:rFonts w:ascii="Times New Roman" w:cs="Times New Roman" w:eastAsia="Times New Roman" w:hAnsi="Times New Roman"/>
          <w:sz w:val="15"/>
          <w:szCs w:val="15"/>
          <w:color w:val="auto"/>
        </w:rPr>
        <w:t>The indenture does not contain any provisions that give you protection in the event we issue a large amount of debt or we are acquired by another entity.</w:t>
      </w:r>
    </w:p>
    <w:p>
      <w:pPr>
        <w:spacing w:after="0" w:line="18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protection or similar protection.</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Conversion and Exchange</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Issuance of Securities in Registered Form</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Book-Entry Holders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Street Name Holders</w:t>
      </w:r>
    </w:p>
    <w:p>
      <w:pPr>
        <w:spacing w:after="0" w:line="192"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69" w:name="page70"/>
    <w:bookmarkEnd w:id="69"/>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Legal Holders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When we refer to you in this Description of Our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Special Considerations for Indirect Holders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If you hold debt securities through a bank, broker or other financial institution, either in book-entry form or in street name, we urge you to check with that institution to find out:</w:t>
      </w:r>
    </w:p>
    <w:p>
      <w:pPr>
        <w:spacing w:after="0" w:line="188" w:lineRule="exact"/>
        <w:rPr>
          <w:sz w:val="20"/>
          <w:szCs w:val="20"/>
          <w:color w:val="auto"/>
        </w:rPr>
      </w:pPr>
    </w:p>
    <w:p>
      <w:pPr>
        <w:ind w:left="540" w:hanging="279"/>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how it handles securities payments and notices;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it imposes fees or charges;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how it would handle a request for the holders’ consent, if ever required;</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and how you can instruct it to send you debt securities registered in your own name so you can be a holder, if that is permitted in the future for a particular series of debt securities;</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how it would exercise rights under the debt securities if there were a default or other event triggering the need for holders to act to protect their interests;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debt securities are in book-entry form, how the depositary’s rules and procedures will affect these matters.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Global Securities</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70" w:name="page71"/>
    <w:bookmarkEnd w:id="70"/>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A global security may not be transferred to or registered in the name of anyone other than the depositary or its nominee, unless special termination situations arise. We describe those situations below under “—Termination of a Global Security.”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Special Considerations for Global Securities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If debt securities are issued only in the form of a global security, an investor should be aware of the following:</w:t>
      </w:r>
    </w:p>
    <w:p>
      <w:pPr>
        <w:spacing w:after="0" w:line="188" w:lineRule="exact"/>
        <w:rPr>
          <w:sz w:val="20"/>
          <w:szCs w:val="20"/>
          <w:color w:val="auto"/>
        </w:rPr>
      </w:pPr>
    </w:p>
    <w:p>
      <w:pPr>
        <w:ind w:left="540" w:hanging="279"/>
        <w:spacing w:after="0" w:line="283" w:lineRule="auto"/>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investor cannot cause the debt securities to be registered in his or her name and cannot obtain certificates for his or her interest in the debt securities, except in the special situations we describe below;</w:t>
      </w:r>
    </w:p>
    <w:p>
      <w:pPr>
        <w:spacing w:after="0" w:line="134"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investor will be an indirect holder and must look to his or her own bank or broker for payments on the debt securities and protection of his or her legal rights relating to the debt securities, as we describe under “—Issuance of Securities in Registered Form” above;</w:t>
      </w:r>
    </w:p>
    <w:p>
      <w:pPr>
        <w:spacing w:after="0" w:line="134"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investor may not be able to sell interests in the debt securities to some insurance companies and other institutions that are required by law to own their securities in non-book-entry form;</w:t>
      </w:r>
    </w:p>
    <w:p>
      <w:pPr>
        <w:spacing w:after="0" w:line="134"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134" w:lineRule="exact"/>
        <w:rPr>
          <w:rFonts w:ascii="Times New Roman" w:cs="Times New Roman" w:eastAsia="Times New Roman" w:hAnsi="Times New Roman"/>
          <w:sz w:val="15"/>
          <w:szCs w:val="15"/>
          <w:color w:val="auto"/>
        </w:rPr>
      </w:pPr>
    </w:p>
    <w:p>
      <w:pPr>
        <w:jc w:val="both"/>
        <w:ind w:left="540" w:hanging="279"/>
        <w:spacing w:after="0" w:line="267" w:lineRule="auto"/>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146"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redeem less than all the debt securities of a particular series being redeemed, DTC’s practice is to determine by lot the amount to be redeemed from each of its participants holding that series;</w:t>
      </w:r>
    </w:p>
    <w:p>
      <w:pPr>
        <w:spacing w:after="0" w:line="134"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134"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34" w:lineRule="exact"/>
        <w:rPr>
          <w:rFonts w:ascii="Times New Roman" w:cs="Times New Roman" w:eastAsia="Times New Roman" w:hAnsi="Times New Roman"/>
          <w:sz w:val="15"/>
          <w:szCs w:val="15"/>
          <w:color w:val="auto"/>
        </w:rPr>
      </w:pPr>
    </w:p>
    <w:p>
      <w:pPr>
        <w:jc w:val="both"/>
        <w:ind w:left="540" w:hanging="279"/>
        <w:spacing w:after="0" w:line="267" w:lineRule="auto"/>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Termination of a Global Security</w:t>
      </w:r>
    </w:p>
    <w:p>
      <w:pPr>
        <w:spacing w:after="0" w:line="192" w:lineRule="exact"/>
        <w:rPr>
          <w:sz w:val="20"/>
          <w:szCs w:val="20"/>
          <w:color w:val="auto"/>
        </w:rPr>
      </w:pPr>
    </w:p>
    <w:p>
      <w:pPr>
        <w:jc w:val="both"/>
        <w:ind w:right="20" w:firstLine="271"/>
        <w:spacing w:after="0" w:line="261" w:lineRule="auto"/>
        <w:rPr>
          <w:sz w:val="20"/>
          <w:szCs w:val="20"/>
          <w:color w:val="auto"/>
        </w:rPr>
      </w:pPr>
      <w:r>
        <w:rPr>
          <w:rFonts w:ascii="Times New Roman" w:cs="Times New Roman" w:eastAsia="Times New Roman" w:hAnsi="Times New Roman"/>
          <w:sz w:val="15"/>
          <w:szCs w:val="15"/>
          <w:color w:val="auto"/>
        </w:rPr>
        <w:t>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“—Issuance of Securities in Registered Form” above.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71" w:name="page72"/>
    <w:bookmarkEnd w:id="71"/>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investors in whose names the debt securities represented by the global security will be registered and, therefore, who will be the holders of those debt securities.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Payment and Paying Agents</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Payments on Global Securities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“—Special Considerations for Global Securities.”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Payments on Certificated Securities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We will make payments on a certificated debt security as follows. We will pay interest that is due on an interest payment date to the holder of debt securities as shown on the trustee’s records as of the close of business on the regular record date at our office and/or at other offices that may be specified in the prospectus supplement. We will make all payments of principal and premium, if any, by check at the office of the applicable trustee and/or at other offices that may be specified in the prospectus supplement or in a notice to holders against surrender of the debt security.</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Payment When Offices Are Closed</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Book-entry and other indirect holders should consult their banks or brokers for information on how they will receive payments on their debt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Events of Default</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You will have rights if an Event of Default occurs in respect of the debt securities of your series and is not cured, as described later in this subsection.</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term “Event of Default” in respect of the debt securities of your series means any of the following:</w:t>
      </w:r>
    </w:p>
    <w:p>
      <w:pPr>
        <w:spacing w:after="0" w:line="188" w:lineRule="exact"/>
        <w:rPr>
          <w:sz w:val="20"/>
          <w:szCs w:val="20"/>
          <w:color w:val="auto"/>
        </w:rPr>
      </w:pPr>
    </w:p>
    <w:p>
      <w:pPr>
        <w:ind w:left="540" w:hanging="279"/>
        <w:spacing w:after="0"/>
        <w:tabs>
          <w:tab w:leader="none" w:pos="5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do not pay the principal of (or premium, if any, on) a debt security of the series when due;</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do not pay interest on a debt security of the series when due, and such default is not cured within 30 days;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72" w:name="page73"/>
    <w:bookmarkEnd w:id="72"/>
    <w:p>
      <w:pPr>
        <w:ind w:left="540" w:hanging="279"/>
        <w:spacing w:after="0"/>
        <w:tabs>
          <w:tab w:leader="none" w:pos="5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do not deposit any sinking fund payment in respect of debt securities of the series within two business days of its due date;</w:t>
      </w:r>
    </w:p>
    <w:p>
      <w:pPr>
        <w:spacing w:after="0" w:line="188"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the outstanding debt securities of the series);</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file for bankruptcy or certain other events of bankruptcy, insolvency or reorganization occur and remain undischarged or unstayed for a period of 60 days;</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series of debt securities has an asset coverage, as such term is defined in the 1940 Act, of less than 100 per centum on the last business day of each of twenty-four consecutive calendar months, after giving effect to any exemptive relief granted to the Company by the SEC; or</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Event of Default in respect of debt securities of the series described in the prospectus supplement occurs.</w:t>
      </w:r>
    </w:p>
    <w:p>
      <w:pPr>
        <w:spacing w:after="0" w:line="188"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interest, or sinking or purchase fund installment, if it in good faith considers the withholding of notice to be in the interest of the holders.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Remedies if an Event of Default Occurs</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If an Event of Default has occurred and is continuing, the trustee or the holders of not less than 25% in principal amount of the outstanding debt securities of the affected series may (and the trustee shall at the request of such holders)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Except in the cases of default, where the trustee has some special duties, the trustee is not required to take any action under the indenture at the request of any holders unless the holders offer the trustee protection from expenses and liability reasonably satisfactory to it (called an “indemnity”). If indemnity reasonably satisfactory to it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135" w:lineRule="exact"/>
        <w:rPr>
          <w:sz w:val="20"/>
          <w:szCs w:val="20"/>
          <w:color w:val="auto"/>
        </w:rPr>
      </w:pPr>
    </w:p>
    <w:p>
      <w:pPr>
        <w:ind w:left="540" w:hanging="279"/>
        <w:spacing w:after="0"/>
        <w:tabs>
          <w:tab w:leader="none" w:pos="5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must give the trustee written notice that an Event of Default with respect to the relevant series of debt securities has occurred and remains uncured;</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at least 25% in principal amount of all outstanding debt securities of the relevant series must make a written request that the trustee take action because of the default and must offer the trustee indemnity, security or both reasonably satisfactory to it against the costs, expenses and other liabilities of taking that action;</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must not have taken action for 60 days after receipt of the above notice and offer of indemnity and/or security; and</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a majority in principal amount of the outstanding debt securities of that series must not have given the trustee a direction inconsistent with the above notice during that 60-day period.</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However, you are entitled at any time to bring a lawsuit for the payment of money due on your debt securities on or after the due date.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6" w:right="319" w:bottom="1440" w:gutter="0" w:footer="0" w:header="0"/>
        </w:sectPr>
      </w:pPr>
    </w:p>
    <w:bookmarkStart w:id="73" w:name="page74"/>
    <w:bookmarkEnd w:id="73"/>
    <w:p>
      <w:pPr>
        <w:ind w:right="20" w:firstLine="271"/>
        <w:spacing w:after="0" w:line="289" w:lineRule="auto"/>
        <w:rPr>
          <w:sz w:val="20"/>
          <w:szCs w:val="20"/>
          <w:color w:val="auto"/>
        </w:rPr>
      </w:pPr>
      <w:r>
        <w:rPr>
          <w:rFonts w:ascii="Times New Roman" w:cs="Times New Roman" w:eastAsia="Times New Roman" w:hAnsi="Times New Roman"/>
          <w:sz w:val="15"/>
          <w:szCs w:val="15"/>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30" w:lineRule="exact"/>
        <w:rPr>
          <w:sz w:val="20"/>
          <w:szCs w:val="20"/>
          <w:color w:val="auto"/>
        </w:rPr>
      </w:pPr>
    </w:p>
    <w:p>
      <w:pPr>
        <w:ind w:firstLine="271"/>
        <w:spacing w:after="0" w:line="283" w:lineRule="auto"/>
        <w:rPr>
          <w:sz w:val="20"/>
          <w:szCs w:val="20"/>
          <w:color w:val="auto"/>
        </w:rPr>
      </w:pPr>
      <w:r>
        <w:rPr>
          <w:rFonts w:ascii="Times New Roman" w:cs="Times New Roman" w:eastAsia="Times New Roman" w:hAnsi="Times New Roman"/>
          <w:sz w:val="15"/>
          <w:szCs w:val="15"/>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Waiver of Default</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Holders of a majority in principal amount of the outstanding debt securities of the affected series may waive any past defaults other than</w:t>
      </w:r>
    </w:p>
    <w:p>
      <w:pPr>
        <w:spacing w:after="0" w:line="188" w:lineRule="exact"/>
        <w:rPr>
          <w:sz w:val="20"/>
          <w:szCs w:val="20"/>
          <w:color w:val="auto"/>
        </w:rPr>
      </w:pPr>
    </w:p>
    <w:p>
      <w:pPr>
        <w:ind w:left="540" w:hanging="279"/>
        <w:spacing w:after="0"/>
        <w:tabs>
          <w:tab w:leader="none" w:pos="5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payment of principal, any premium or interest; or</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respect of a covenant that cannot be modified or amended without the consent of each holder.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Merger or Consolidation</w:t>
      </w:r>
    </w:p>
    <w:p>
      <w:pPr>
        <w:spacing w:after="0" w:line="192" w:lineRule="exact"/>
        <w:rPr>
          <w:sz w:val="20"/>
          <w:szCs w:val="20"/>
          <w:color w:val="auto"/>
        </w:rPr>
      </w:pPr>
    </w:p>
    <w:p>
      <w:pPr>
        <w:ind w:firstLine="271"/>
        <w:spacing w:after="0" w:line="283" w:lineRule="auto"/>
        <w:rPr>
          <w:sz w:val="20"/>
          <w:szCs w:val="20"/>
          <w:color w:val="auto"/>
        </w:rPr>
      </w:pPr>
      <w:r>
        <w:rPr>
          <w:rFonts w:ascii="Times New Roman" w:cs="Times New Roman" w:eastAsia="Times New Roman" w:hAnsi="Times New Roman"/>
          <w:sz w:val="15"/>
          <w:szCs w:val="15"/>
          <w:color w:val="auto"/>
        </w:rPr>
        <w:t>Under the terms of the indenture, we are generally permitted to consolidate or merge with another corporation. We are also permitted to sell all or substantially all of our assets to another corporation. However, we may not take any of these actions unless all the following conditions are met:</w:t>
      </w:r>
    </w:p>
    <w:p>
      <w:pPr>
        <w:spacing w:after="0" w:line="135" w:lineRule="exact"/>
        <w:rPr>
          <w:sz w:val="20"/>
          <w:szCs w:val="20"/>
          <w:color w:val="auto"/>
        </w:rPr>
      </w:pPr>
    </w:p>
    <w:p>
      <w:pPr>
        <w:ind w:left="540" w:hanging="279"/>
        <w:spacing w:after="0" w:line="283" w:lineRule="auto"/>
        <w:tabs>
          <w:tab w:leader="none" w:pos="5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we merge out of existence or sell substantially all our assets, the resulting corporation or transferee must agree to be legally responsible for our obligations under the debt securities;</w:t>
      </w:r>
    </w:p>
    <w:p>
      <w:pPr>
        <w:spacing w:after="0" w:line="134" w:lineRule="exact"/>
        <w:rPr>
          <w:rFonts w:ascii="Times New Roman" w:cs="Times New Roman" w:eastAsia="Times New Roman" w:hAnsi="Times New Roman"/>
          <w:sz w:val="15"/>
          <w:szCs w:val="15"/>
          <w:color w:val="auto"/>
        </w:rPr>
      </w:pPr>
    </w:p>
    <w:p>
      <w:pPr>
        <w:jc w:val="both"/>
        <w:ind w:left="540" w:hanging="279"/>
        <w:spacing w:after="0" w:line="261" w:lineRule="auto"/>
        <w:tabs>
          <w:tab w:leader="none" w:pos="5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w:t>
      </w:r>
    </w:p>
    <w:p>
      <w:pPr>
        <w:spacing w:after="0" w:line="151"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must deliver certain certificates and documents to the trustee;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must satisfy any other requirements specified in the prospectus supplement relating to a particular series of debt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Modification or Waiver</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There are three types of changes we can make to the indenture and the debt securities issued thereunder.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Requiring Your Approval</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First, there are changes that we cannot make to your debt securities without your specific approval. The following is a list of those types of changes:</w:t>
      </w:r>
    </w:p>
    <w:p>
      <w:pPr>
        <w:spacing w:after="0" w:line="188" w:lineRule="exact"/>
        <w:rPr>
          <w:sz w:val="20"/>
          <w:szCs w:val="20"/>
          <w:color w:val="auto"/>
        </w:rPr>
      </w:pPr>
    </w:p>
    <w:p>
      <w:pPr>
        <w:ind w:left="540" w:hanging="279"/>
        <w:spacing w:after="0"/>
        <w:tabs>
          <w:tab w:leader="none" w:pos="54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the stated maturity of the principal of or interest on a debt security or the terms of any sinking fund with respect to any security;</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any amounts due on a debt security;</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amount of principal payable upon acceleration of the maturity of an original issue discount or indexed security following a default or upon the redemption thereof or the amount thereof provable in a bankruptcy proceeding;</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adversely affect any right of repayment at the holder’s option;</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the place or currency of payment on a debt security (except as otherwise described in the prospectus or prospectus supplement);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 your right to sue for payment;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adversely affect any right to convert or exchange a debt security in accordance with its terms;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74" w:name="page75"/>
    <w:bookmarkEnd w:id="74"/>
    <w:p>
      <w:pPr>
        <w:ind w:left="540" w:hanging="279"/>
        <w:spacing w:after="0"/>
        <w:tabs>
          <w:tab w:leader="none" w:pos="5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modify the subordination provisions in the indenture in a manner that is adverse to outstanding holders of the debt securities;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percentage of holders of debt securities whose consent is needed to modify or amend the indenture;</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percentage of holders of debt securities whose consent is needed to waive compliance with certain provisions of the indenture or to waive certain defaults;</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modify any other aspect of the provisions of the indenture dealing with supplemental indentures with the consent of holders, waiver of past defaults, changes to the quorum or voting requirements or the waiver of certain covenants; and</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any obligation we have to pay additional amounts.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Not Requiring Approval</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Requiring Majority Approval</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Any other change to the indenture and the debt securities would require the following approval:</w:t>
      </w:r>
    </w:p>
    <w:p>
      <w:pPr>
        <w:spacing w:after="0" w:line="188" w:lineRule="exact"/>
        <w:rPr>
          <w:sz w:val="20"/>
          <w:szCs w:val="20"/>
          <w:color w:val="auto"/>
        </w:rPr>
      </w:pPr>
    </w:p>
    <w:p>
      <w:pPr>
        <w:ind w:left="540" w:hanging="279"/>
        <w:spacing w:after="0"/>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change affects only one series of debt securities, it must be approved by the holders of a majority in principal amount of that series; and</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In each case, the required approval must be given by written consent.</w:t>
      </w:r>
    </w:p>
    <w:p>
      <w:pPr>
        <w:spacing w:after="0" w:line="188"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“—Changes Requiring Your Approval.”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Further Details Concerning Voting</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When taking a vote, we will use the following rules to decide how much principal to attribute to a debt security:</w:t>
      </w:r>
    </w:p>
    <w:p>
      <w:pPr>
        <w:spacing w:after="0" w:line="188" w:lineRule="exact"/>
        <w:rPr>
          <w:sz w:val="20"/>
          <w:szCs w:val="20"/>
          <w:color w:val="auto"/>
        </w:rPr>
      </w:pPr>
    </w:p>
    <w:p>
      <w:pPr>
        <w:ind w:left="540" w:hanging="279"/>
        <w:spacing w:after="0" w:line="283" w:lineRule="auto"/>
        <w:tabs>
          <w:tab w:leader="none" w:pos="5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original issue discount securities, we will use the principal amount that would be due and payable on the voting date if the maturity of these debt securities were accelerated to that date because of a default;</w:t>
      </w:r>
    </w:p>
    <w:p>
      <w:pPr>
        <w:spacing w:after="0" w:line="134"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debt securities whose principal amount is not known (for example, because it is based on an index), we will use the principal face amount at original issuance or a special rule for that debt security described in the prospectus supplement; and</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debt securities denominated in one or more foreign currencies, we will use the U.S. dollar equivalent.</w:t>
      </w:r>
    </w:p>
    <w:p>
      <w:pPr>
        <w:spacing w:after="0" w:line="188"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 Defeasance—Full Defeasance.”</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75" w:name="page76"/>
    <w:bookmarkEnd w:id="75"/>
    <w:p>
      <w:pPr>
        <w:jc w:val="both"/>
        <w:ind w:firstLine="271"/>
        <w:spacing w:after="0" w:line="289" w:lineRule="auto"/>
        <w:rPr>
          <w:sz w:val="20"/>
          <w:szCs w:val="20"/>
          <w:color w:val="auto"/>
        </w:rPr>
      </w:pPr>
      <w:r>
        <w:rPr>
          <w:rFonts w:ascii="Times New Roman" w:cs="Times New Roman" w:eastAsia="Times New Roman" w:hAnsi="Times New Roman"/>
          <w:sz w:val="15"/>
          <w:szCs w:val="15"/>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Defeasance</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Covenant Defeasance</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 Indenture Provisions—Subordination” below, such subordination would not prevent the trustee under the indenture from applying the funds available to it from the deposit described in the first bullet below to the payment of amounts due in respect of such debt securities for the benefit of the subordinated debt holders. In order to achieve covenant defeasance, we must do the following:</w:t>
      </w:r>
    </w:p>
    <w:p>
      <w:pPr>
        <w:spacing w:after="0" w:line="155" w:lineRule="exact"/>
        <w:rPr>
          <w:sz w:val="20"/>
          <w:szCs w:val="20"/>
          <w:color w:val="auto"/>
        </w:rPr>
      </w:pPr>
    </w:p>
    <w:p>
      <w:pPr>
        <w:jc w:val="both"/>
        <w:ind w:left="540" w:hanging="279"/>
        <w:spacing w:after="0" w:line="261" w:lineRule="auto"/>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151"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must deliver to the trustee a legal opinion of our counsel confirming that, under current U.S. federal income tax law, we may make the above deposit without causing you to be taxed on the debt securities any differently than if we did not make the deposit;</w:t>
      </w:r>
    </w:p>
    <w:p>
      <w:pPr>
        <w:spacing w:after="0" w:line="134"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defeasance must not result in a breach or violation of, or result in a default under, of the indenture or any of our other material agreements or instruments;</w:t>
      </w:r>
    </w:p>
    <w:p>
      <w:pPr>
        <w:spacing w:after="0" w:line="188"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default or event of default with respect to such debt securities shall have occurred and be continuing and no defaults or events of default related to bankruptcy, insolvency or reorganization shall occur during the next 90 days; and</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satisfy the conditions for covenant defeasance contained in any supplemental indentures.</w:t>
      </w:r>
    </w:p>
    <w:p>
      <w:pPr>
        <w:spacing w:after="0" w:line="188"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such a shortfall. However, there is no assurance that we would have sufficient funds to make payment of the shortfall.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Full Defeasance</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If there is a change in U.S. federal income tax law or we obtain an IRS ruling, as described in the second bullet below, we can legally release ourselves from all payment and other obligations on the debt securities of a particular series (called “full defeasance”) if we put in place the following other arrangements for you to be repaid:</w:t>
      </w:r>
    </w:p>
    <w:p>
      <w:pPr>
        <w:spacing w:after="0" w:line="135" w:lineRule="exact"/>
        <w:rPr>
          <w:sz w:val="20"/>
          <w:szCs w:val="20"/>
          <w:color w:val="auto"/>
        </w:rPr>
      </w:pPr>
    </w:p>
    <w:p>
      <w:pPr>
        <w:jc w:val="both"/>
        <w:ind w:left="540" w:hanging="279"/>
        <w:spacing w:after="0" w:line="261" w:lineRule="auto"/>
        <w:tabs>
          <w:tab w:leader="none" w:pos="5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2" w:right="319" w:bottom="1440" w:gutter="0" w:footer="0" w:header="0"/>
        </w:sectPr>
      </w:pPr>
    </w:p>
    <w:bookmarkStart w:id="76" w:name="page77"/>
    <w:bookmarkEnd w:id="76"/>
    <w:p>
      <w:pPr>
        <w:jc w:val="both"/>
        <w:ind w:left="540" w:hanging="279"/>
        <w:spacing w:after="0" w:line="261" w:lineRule="auto"/>
        <w:tabs>
          <w:tab w:leader="none" w:pos="5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151"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defeasance must not result in a breach or violation of, or constitute a default under, of the indenture or any of our other material agreements or instruments;</w:t>
      </w:r>
    </w:p>
    <w:p>
      <w:pPr>
        <w:spacing w:after="0" w:line="188"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default or event of default with respect to such debt securities shall have occurred and be continuing and no defaults or events of default related to bankruptcy, insolvency or reorganization shall occur during the next 90 days; and</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satisfy the conditions for full defeasance contained in any supplemental indentures.</w:t>
      </w:r>
    </w:p>
    <w:p>
      <w:pPr>
        <w:spacing w:after="0" w:line="188"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your debt securities were subordinated as described later under “—Indenture Provisions—Subordination”, such subordination would not prevent the trustee under the indenture from applying the funds available to it from the deposit referred to in the first bullet of the preceding paragraph to the payment of amounts due in respect of such debt securities for the benefit of the subordinated debt holders.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Form, Exchange and Transfer of Certificated Registered Securities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If registered debt securities cease to be issued in book-entry form, they will be issued:</w:t>
      </w:r>
    </w:p>
    <w:p>
      <w:pPr>
        <w:spacing w:after="0" w:line="188" w:lineRule="exact"/>
        <w:rPr>
          <w:sz w:val="20"/>
          <w:szCs w:val="20"/>
          <w:color w:val="auto"/>
        </w:rPr>
      </w:pPr>
    </w:p>
    <w:p>
      <w:pPr>
        <w:ind w:left="540" w:hanging="279"/>
        <w:spacing w:after="0"/>
        <w:tabs>
          <w:tab w:leader="none" w:pos="5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only in fully registered certificated form;</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interest coupons;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we indicate otherwise in the prospectus supplement, in denominations of $1,000 and amounts that are multiples of $1,000.</w:t>
      </w:r>
    </w:p>
    <w:p>
      <w:pPr>
        <w:spacing w:after="0" w:line="188" w:lineRule="exact"/>
        <w:rPr>
          <w:sz w:val="20"/>
          <w:szCs w:val="20"/>
          <w:color w:val="auto"/>
        </w:rPr>
      </w:pPr>
    </w:p>
    <w:p>
      <w:pPr>
        <w:ind w:firstLine="271"/>
        <w:spacing w:after="0" w:line="283" w:lineRule="auto"/>
        <w:rPr>
          <w:sz w:val="20"/>
          <w:szCs w:val="20"/>
          <w:color w:val="auto"/>
        </w:rPr>
      </w:pPr>
      <w:r>
        <w:rPr>
          <w:rFonts w:ascii="Times New Roman" w:cs="Times New Roman" w:eastAsia="Times New Roman" w:hAnsi="Times New Roman"/>
          <w:sz w:val="15"/>
          <w:szCs w:val="15"/>
          <w:color w:val="auto"/>
        </w:rPr>
        <w:t>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w:t>
      </w:r>
    </w:p>
    <w:p>
      <w:pPr>
        <w:spacing w:after="0" w:line="135" w:lineRule="exact"/>
        <w:rPr>
          <w:sz w:val="20"/>
          <w:szCs w:val="20"/>
          <w:color w:val="auto"/>
        </w:rPr>
      </w:pPr>
    </w:p>
    <w:p>
      <w:pPr>
        <w:ind w:firstLine="271"/>
        <w:spacing w:after="0" w:line="283" w:lineRule="auto"/>
        <w:rPr>
          <w:sz w:val="20"/>
          <w:szCs w:val="20"/>
          <w:color w:val="auto"/>
        </w:rPr>
      </w:pPr>
      <w:r>
        <w:rPr>
          <w:rFonts w:ascii="Times New Roman" w:cs="Times New Roman" w:eastAsia="Times New Roman" w:hAnsi="Times New Roman"/>
          <w:sz w:val="15"/>
          <w:szCs w:val="15"/>
          <w:color w:val="auto"/>
        </w:rPr>
        <w:t>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ourselves.</w:t>
      </w:r>
    </w:p>
    <w:p>
      <w:pPr>
        <w:spacing w:after="0" w:line="135" w:lineRule="exact"/>
        <w:rPr>
          <w:sz w:val="20"/>
          <w:szCs w:val="20"/>
          <w:color w:val="auto"/>
        </w:rPr>
      </w:pPr>
    </w:p>
    <w:p>
      <w:pPr>
        <w:ind w:firstLine="271"/>
        <w:spacing w:after="0" w:line="283" w:lineRule="auto"/>
        <w:rPr>
          <w:sz w:val="20"/>
          <w:szCs w:val="20"/>
          <w:color w:val="auto"/>
        </w:rPr>
      </w:pPr>
      <w:r>
        <w:rPr>
          <w:rFonts w:ascii="Times New Roman" w:cs="Times New Roman" w:eastAsia="Times New Roman" w:hAnsi="Times New Roman"/>
          <w:sz w:val="15"/>
          <w:szCs w:val="15"/>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35" w:lineRule="exact"/>
        <w:rPr>
          <w:sz w:val="20"/>
          <w:szCs w:val="20"/>
          <w:color w:val="auto"/>
        </w:rPr>
      </w:pPr>
    </w:p>
    <w:p>
      <w:pPr>
        <w:ind w:right="20" w:firstLine="271"/>
        <w:spacing w:after="0" w:line="283" w:lineRule="auto"/>
        <w:rPr>
          <w:sz w:val="20"/>
          <w:szCs w:val="20"/>
          <w:color w:val="auto"/>
        </w:rPr>
      </w:pPr>
      <w:r>
        <w:rPr>
          <w:rFonts w:ascii="Times New Roman" w:cs="Times New Roman" w:eastAsia="Times New Roman" w:hAnsi="Times New Roman"/>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6" w:right="319" w:bottom="1440" w:gutter="0" w:footer="0" w:header="0"/>
        </w:sectPr>
      </w:pPr>
    </w:p>
    <w:bookmarkStart w:id="77" w:name="page78"/>
    <w:bookmarkEnd w:id="77"/>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Resignation of Trustee</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Indenture Provisions—Subordination</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55"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In the event that, notwithstanding the foregoing, any payment by us is received by the trustee in respect of subordinated debt securities or by the holders of any of such subordinated debt securities, upon our dissolution, winding up, liquidation or reorganization before all Senior Indebtedness is paid in full, the payment or distribution received by the trustee in respect of such subordinated debt securities or by the holders of any of such subordinated debt securities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5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Senior Indebtedness is defined in the indenture as the principal of (and premium, if any) and unpaid interest on:</w:t>
      </w:r>
    </w:p>
    <w:p>
      <w:pPr>
        <w:spacing w:after="0" w:line="188" w:lineRule="exact"/>
        <w:rPr>
          <w:sz w:val="20"/>
          <w:szCs w:val="20"/>
          <w:color w:val="auto"/>
        </w:rPr>
      </w:pPr>
    </w:p>
    <w:p>
      <w:pPr>
        <w:jc w:val="both"/>
        <w:ind w:left="540" w:hanging="279"/>
        <w:spacing w:after="0" w:line="283" w:lineRule="auto"/>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renewals, extensions, modifications and refinancings of any of this indebtedness.</w:t>
      </w:r>
    </w:p>
    <w:p>
      <w:pPr>
        <w:spacing w:after="0" w:line="188" w:lineRule="exact"/>
        <w:rPr>
          <w:sz w:val="20"/>
          <w:szCs w:val="20"/>
          <w:color w:val="auto"/>
        </w:rPr>
      </w:pPr>
    </w:p>
    <w:p>
      <w:pPr>
        <w:ind w:right="20" w:firstLine="271"/>
        <w:spacing w:after="0" w:line="283" w:lineRule="auto"/>
        <w:rPr>
          <w:sz w:val="20"/>
          <w:szCs w:val="20"/>
          <w:color w:val="auto"/>
        </w:rPr>
      </w:pPr>
      <w:r>
        <w:rPr>
          <w:rFonts w:ascii="Times New Roman" w:cs="Times New Roman" w:eastAsia="Times New Roman" w:hAnsi="Times New Roman"/>
          <w:sz w:val="15"/>
          <w:szCs w:val="15"/>
          <w:color w:val="auto"/>
        </w:rPr>
        <w:t>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6"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5"/>
          <w:szCs w:val="15"/>
          <w:b w:val="1"/>
          <w:bCs w:val="1"/>
          <w:color w:val="auto"/>
        </w:rPr>
        <w:t>Secured Indebtedness and Ranking</w:t>
      </w:r>
    </w:p>
    <w:p>
      <w:pPr>
        <w:spacing w:after="0" w:line="19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of the Company will rank structurally junior to all existing and future indebtedness (including trade payables) incurred by our subsidiaries, financing vehicles or similar facilities (i.e., the holders of the debt securities will not have access to the assets of the Company’s subsidiaries, financing vehicles or similar facilities until after all of these entities’ creditors have been paid and the remaining assets have been distributed up to the Company as the equity holder of these entities). In this regard, any notes that we may issue will be strictly the obligation of the Company, and not of Saratoga CLO, or any subsidiary we may form in the future.</w:t>
      </w:r>
    </w:p>
    <w:p>
      <w:pPr>
        <w:spacing w:after="0" w:line="15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Trustee under the Indenture</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U.S. Bank Trust Company, National Association (as successor in interest to U.S. Bank National Association) serves as the trustee under the indenture.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Certain Considerations Relating to Foreign Currencies</w:t>
      </w:r>
    </w:p>
    <w:p>
      <w:pPr>
        <w:spacing w:after="0" w:line="192"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2"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OUR WARRANTS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following is a general description of the terms of the warrants we may issue from time to time. Particular terms of any warrants we offer will be described in the prospectus supplement relating to such warrants and will be subject to compliance with the 1940 Act.</w:t>
      </w:r>
    </w:p>
    <w:p>
      <w:pPr>
        <w:spacing w:after="0" w:line="135"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As described further below, subject to receiving stockholder approval to issue warrants at a future annual meeting of stockholders, we may issue warrants to purchase shares of our common stock or debt securities. Such warrants may be issued independently or together with shares of common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 prospectus supplement will describe the particular terms of any series of warrants we may issue, including the following:</w:t>
      </w:r>
    </w:p>
    <w:p>
      <w:pPr>
        <w:spacing w:after="0" w:line="188" w:lineRule="exact"/>
        <w:rPr>
          <w:sz w:val="20"/>
          <w:szCs w:val="20"/>
          <w:color w:val="auto"/>
        </w:rPr>
      </w:pPr>
    </w:p>
    <w:p>
      <w:pPr>
        <w:ind w:left="540" w:hanging="279"/>
        <w:spacing w:after="0"/>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and aggregate number of such warrants;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or prices at which such warrants will be issued;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or currencies, including composite currencies, in which the price of such warrants may be payable;</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designation and terms of the securities with which the warrants are issued and the number of warrants issued with each such security or each principal amount of such security;</w:t>
      </w:r>
    </w:p>
    <w:p>
      <w:pPr>
        <w:spacing w:after="0" w:line="134"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134"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warrants to purchase common stock, the number of shares of common stock purchasable upon exercise of one warrant and the price at which and the currency or currencies, including composite currencies, in which these shares may be purchased upon such exercise;</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right to exercise such warrants shall commence and the date on which such right will expire (subject to any extension);</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such warrants will be issued in registered form or bearer form;</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minimum or maximum amount of such warrants that may be exercised at any one time;</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date on and after which such warrants and the related securities will be separately transferable;</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any rights to redeem, or call such warrants;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with respect to book-entry procedures, if any;</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the securities issuable upon exercise of the warrants;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a discussion of certain U.S. federal income tax considerations;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such warrants, including terms, procedures and limitations relating to the exchange and exercise of such warrants.</w:t>
      </w:r>
    </w:p>
    <w:p>
      <w:pPr>
        <w:spacing w:after="0" w:line="18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35"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Each warrant will entitle the holder to purchase for cash such common stock at the exercise price or such principal amount of debt securities as shall in each case be set forth in, or be determinable as set forth in, the prospectus supplement relating to the warrants offered thereby. Warrants may be exercised as set forth in the prospectus supplement beginning on the date specified therein and continuing until the close of business on the expiration date set forth in the prospectus supplement. After the close of business on the expiration date, unexercised warrants will become void.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2" w:right="319" w:bottom="1440" w:gutter="0" w:footer="0" w:header="0"/>
        </w:sectPr>
      </w:pPr>
    </w:p>
    <w:bookmarkStart w:id="80" w:name="page81"/>
    <w:bookmarkEnd w:id="80"/>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Upon receipt of payment and a warrant certificate properly completed and duly executed at the corporate trust office of the warrant agent or any other office indicated in the prospectus supplement, we will, as soon as practicable, forward the securities purchasable upon such exercise. If less than all of the warrants represented by such warrant certificate are exercised, a new warrant certificate will be issued for the remaining warrants. If we so indicate in the applicable prospectus supplement, holders of the warrants may surrender securities as all or part of the exercise price for warrants.</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the right to receive dividends or other distributions, if any, or payments upon our liquidation, dissolution or winding up or to exercise any voting rights.</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Under the 1940 Act, we may generally only offer warrants provided that (i) the warrants expire by their terms within ten years, (ii) the exercise or conversion price is not less than the current market value at the date of issuance, (iii) our stockholders authorize the proposal to issue such warrants, and our board of directors approves such issuance on the basis that the issuance is in the best interests of us and our stockholders and (iv)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may in the future seek the approval of our stockholders to approve a proposal to authorize us to issue securities to subscribe to, convert to, or purchase shares of our common stock in one or more offerings. Such authorization will have no expiration. If we do not receive such stockholder approval, we will not issue any warrants.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6"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may offer, from time to time, in one or more offerings or series, up to $750,000,000 of common stock, preferred stock, subscription rights to purchase shares of common stock, warrants and debt securities, in one or more underwritten public offerings, at-the-market offerings to or through a market maker or into an existing trading market for our securities, on an exchange or otherwise, negotiated transactions, block trades, best efforts or a combination of these methods.</w:t>
      </w:r>
    </w:p>
    <w:p>
      <w:pPr>
        <w:spacing w:after="0" w:line="146"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We may sell our securities through underwriters or dealers, directly to one or more purchasers through agents or through a combination of any such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our securities will be named in the applicable prospectus supplement. A prospectus supplement or supplements will also describe the terms of the offering of our securities, including: the purchase price of our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our securities may be listed. Only underwriters or agents named in the prospectus supplement will be underwriters or agents of our securities offered by the prospectus supplement.</w:t>
      </w:r>
    </w:p>
    <w:p>
      <w:pPr>
        <w:spacing w:after="0" w:line="156"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The distribution of our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and discounts or agency fees paid by us, must generally equal or exceed the NAV per share of our common stock. We may, under certain circumstances, consider selling our securities at prices below our NAV per share consistent with the terms of our stockholder approval to sell our shares of common stock at a price below our NAV per share. Any offering of shares of our common stock at a price below our then current NAV per share that requires stockholder approval must occur, if at all, within one year after receiving such stockholder approval. We do not currently have stockholder approval of issuances below NAV.</w:t>
      </w:r>
    </w:p>
    <w:p>
      <w:pPr>
        <w:spacing w:after="0" w:line="15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In connection with the sale of our securities, underwriters or agents may receive compensation from us or from purchasers of our securities, for whom they may act as agents, in the form of discounts, concessions or commissions. Our common stockholders will bear, directly or indirectly, such expenses, as well as any other fees and the expenses incurred by us in connection with any offering of our securities, including debt securities.</w:t>
      </w:r>
    </w:p>
    <w:p>
      <w:pPr>
        <w:spacing w:after="0" w:line="146"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Underwriters may sell our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under the Securities Act, and any discounts and commissions they receive from us and any profit realized by them on the resale of our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(“FINRA”) or independent broker-dealer will not be greater than 10% of the gross proceeds of the sale of our securities offered pursuant to this prospectus and any applicable prospectus supplement. We may also reimburse the underwriter or agent for certain fees and legal expenses incurred by it.</w:t>
      </w:r>
    </w:p>
    <w:p>
      <w:pPr>
        <w:spacing w:after="0" w:line="156"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(or a post-effective amendment).</w:t>
      </w:r>
    </w:p>
    <w:p>
      <w:pPr>
        <w:spacing w:after="0" w:line="15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our securities, either through exercise of the over-allotment option or in the open market after the distribution is completed, to cover short positions. Penalty bids permit the underwriters to reclaim a selling concession from a dealer when our securities originally sold by the dealer are purchased in a stabilizing or covering transaction to cover short positions. Those activities may cause the price of our securities to be higher than it would otherwise be. If commenced, the underwriters may discontinue any of the activities at any time.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82" w:name="page83"/>
    <w:bookmarkEnd w:id="82"/>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Any underwriters that are qualified market makers on the NYSE may engage in passive market making transactions in our common stock on the NYSE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our common stock at a level above that which might otherwise prevail in the open market and, if commenced, may be discontinued at any time.</w:t>
      </w:r>
    </w:p>
    <w:p>
      <w:pPr>
        <w:spacing w:after="0" w:line="15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may sell our securities directly or through agents we designate from time to time. We will name any agent involved in the offering and sale of our securities and we will describe any commissions we will pay the agent in the prospectus supplement. Unless the prospectus supplement states otherwise, our agent will act on a best-efforts basis for the period of its appointment.</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46"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Under agreements into which we may enter, underwriters, dealers and agents who participate in the distribution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46"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5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In order to comply with the securities laws of certain states, if applicable, our securities offered hereby will be sold in such jurisdictions only through registered or licensed brokers or dealers. In addition, in certain states, our securities may not be sold unless they have been registered or qualified for sale in the applicable state or an exemption from the registration or qualification requirement is available and is complied with.</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6"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5"/>
          <w:szCs w:val="15"/>
          <w:b w:val="1"/>
          <w:bCs w:val="1"/>
          <w:color w:val="auto"/>
        </w:rPr>
        <w:t>BROKERAGE ALLOCATION AND OTHER PRACTICES</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of directors, our investment adviser will be primarily responsible for selecting brokers and dealers to execute transactions with respect to the publicly-traded securities portion of our portfolio transactions and the allocation of brokerage commissions. Our investment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Our investment adviser generally will seek reasonably competitive trade execution costs but will not necessarily pay the lowest spread or commission available. Subject to applicable legal requirements and consistent with Section 28(e) of the Exchange Act, our investment adviser may select a broker based upon brokerage or research services provided to our investment adviser and us and any other clients. In return for such services, we may pay a higher commission than other brokers would charge if our investment adviser determines in good faith that such commission is reasonable in relation to the services provided.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2"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5"/>
          <w:szCs w:val="15"/>
          <w:b w:val="1"/>
          <w:bCs w:val="1"/>
          <w:color w:val="auto"/>
        </w:rPr>
        <w:t>CUSTODIAN, TRANSFER AND DIVIDEND PAYING AGENT AND REGISTRAR</w:t>
      </w:r>
    </w:p>
    <w:p>
      <w:pPr>
        <w:spacing w:after="0" w:line="192" w:lineRule="exact"/>
        <w:rPr>
          <w:sz w:val="20"/>
          <w:szCs w:val="20"/>
          <w:color w:val="auto"/>
        </w:rPr>
      </w:pPr>
    </w:p>
    <w:p>
      <w:pPr>
        <w:jc w:val="both"/>
        <w:ind w:firstLine="271"/>
        <w:spacing w:after="0" w:line="239" w:lineRule="auto"/>
        <w:rPr>
          <w:sz w:val="20"/>
          <w:szCs w:val="20"/>
          <w:color w:val="auto"/>
        </w:rPr>
      </w:pPr>
      <w:r>
        <w:rPr>
          <w:rFonts w:ascii="Times New Roman" w:cs="Times New Roman" w:eastAsia="Times New Roman" w:hAnsi="Times New Roman"/>
          <w:sz w:val="15"/>
          <w:szCs w:val="15"/>
          <w:color w:val="auto"/>
        </w:rPr>
        <w:t>Our investment securities are held under a custody agreement with U.S. Bank National Association. The address of the custodian is U.S. Bank National Association, Corporate Trust Services, One Federal Street,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5"/>
          <w:szCs w:val="15"/>
          <w:color w:val="auto"/>
        </w:rPr>
        <w:t xml:space="preserve"> Floor, Boston, MA 02110. The transfer agent and registrar for our common stock, Broadridge Financial Solutions, Inc., acts as our transfer agent, dividend paying and reinvestment agent for our common stock. The principal business address of the transfer agent is 1717 Arch St., Suite 1300, Philadelphia, PA 19103. U.S. Bank Trust Company, National Association (as successor in interest to U.S. Bank National Association), our trustee under an indenture and the supplemental indentures thereto relating to the Notes, is the paying agent, registrar and transfer agent relating to the Notes. The principal business address of our trustee is 214 N. Tyron Street,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Floor, Charlotte, North Carolina 28202.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2" w:right="319" w:bottom="1440" w:gutter="0" w:footer="0" w:header="0"/>
        </w:sectPr>
      </w:pPr>
    </w:p>
    <w:bookmarkStart w:id="85" w:name="page86"/>
    <w:bookmarkEnd w:id="85"/>
    <w:p>
      <w:pPr>
        <w:ind w:left="4720"/>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legal matters regarding the securities offered by this prospectus will be passed upon for us by Eversheds Sutherland (US) LLP, Washington, D.C.</w:t>
      </w:r>
    </w:p>
    <w:p>
      <w:pPr>
        <w:spacing w:after="0" w:line="38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14605</wp:posOffset>
            </wp:positionV>
            <wp:extent cx="7155180"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9879"/>
          </w:cols>
          <w:pgMar w:left="580" w:top="753" w:right="1440"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5"/>
          <w:szCs w:val="15"/>
          <w:b w:val="1"/>
          <w:bCs w:val="1"/>
          <w:color w:val="auto"/>
        </w:rPr>
        <w:t>INDEPENDENT REGISTERED PUBLIC ACCOUNTING FIRM</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Ernst &amp; Young LLP, our independent registered public accounting firm, has audited our consolidated financial statements as of February 28, 2025 and February 29, 2024 and for each of the three years ended February 28, 2025, February 29, 2024, and February 28, 2023. Ernst &amp; Young LLP’s principal business address is One Manhattan West, New York, New York 10001.</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consolidated financial statements and the Senior Securities table incorporated by reference under the heading “Senior Securities” for Saratoga Investment Corp. and subsidiaries have been incorporated by reference herein and in the registration statement in reliance upon the reports of Ernst &amp; Young LLP, our independent registered public accounting firm, incorporated by reference herein, upon the authority of said firm as experts in accounting and auditing.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Independent Auditors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CohnReznick LLP, Saratoga Investment Corp. CLO 2013-1, Ltd.’s independent auditors have audited Saratoga Investment Corp. CLO 2013-1, Ltd.’s financial statements as of February 28, 2025, February 29, 2024, and February 28, 2023, and for the years then ended as set forth in their report incorporated by reference. CohnReznick LLP’s principal business address is 14 Sylvan Way, 3rd Floor, Parsippany, NJ 07054.</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3"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5"/>
          <w:szCs w:val="15"/>
          <w:b w:val="1"/>
          <w:bCs w:val="1"/>
          <w:color w:val="auto"/>
        </w:rPr>
        <w:t>AVAILABLE INFORMATION</w:t>
      </w:r>
    </w:p>
    <w:p>
      <w:pPr>
        <w:spacing w:after="0" w:line="19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 xml:space="preserve">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 We file with or submit to the SEC annual, quarterly and current reports, proxy statements and other information meeting the informational requirements of the Exchange Act. We maintain a website at </w:t>
      </w:r>
      <w:r>
        <w:rPr>
          <w:rFonts w:ascii="Times New Roman" w:cs="Times New Roman" w:eastAsia="Times New Roman" w:hAnsi="Times New Roman"/>
          <w:sz w:val="15"/>
          <w:szCs w:val="15"/>
          <w:i w:val="1"/>
          <w:iCs w:val="1"/>
          <w:color w:val="auto"/>
        </w:rPr>
        <w:t>saratogainvestmentcorp.com</w:t>
      </w:r>
      <w:r>
        <w:rPr>
          <w:rFonts w:ascii="Times New Roman" w:cs="Times New Roman" w:eastAsia="Times New Roman" w:hAnsi="Times New Roman"/>
          <w:sz w:val="15"/>
          <w:szCs w:val="15"/>
          <w:color w:val="auto"/>
        </w:rPr>
        <w:t xml:space="preserve"> and make all of our annual, quarterly and current reports, proxy statements and other publicly filed information available, free of charge, on or through our website. You may also obtain such information by contacting us in writing at 535 Madison Avenue, New York, NY 10022. The SEC maintains a website that contains reports, proxy and information statements and other information we file with the SEC at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 Information contained on our website is not incorporated by reference into this prospectus or any supplements to this prospectus, and you should not consider that information to be part of this prospectus or any supplements to this prospectus.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2"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OF CERTAIN INFORMATION BY REFERENCE</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This prospectus is part of a registration statement that we have filed with the SEC. We may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subsequent to the date of the initial registration statement and prior to effectiveness of the registration statement, and subsequent to the date of this prospectus and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w:t>
      </w:r>
    </w:p>
    <w:p>
      <w:pPr>
        <w:spacing w:after="0" w:line="15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We incorporate by reference into this prospectus our filings listed below and any future filings that we may file with the SEC under Section 13(a), 13(c), 14 or 15(d) of the Exchange Act, subsequent to the date of the initial registration statement and prior to effectiveness of the registration statement, and subsequent to the date of this prospectus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subsequent to the date of the initial registration statement will automatically update and may supersede information in this prospectus, any accompanying prospectus supplement and information previously filed with the SEC.</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This prospectus and any accompanying prospectus supplement incorporate by reference the documents set forth below that have previously been filed with the SEC:</w:t>
      </w:r>
    </w:p>
    <w:p>
      <w:pPr>
        <w:spacing w:after="0" w:line="188" w:lineRule="exact"/>
        <w:rPr>
          <w:sz w:val="20"/>
          <w:szCs w:val="20"/>
          <w:color w:val="auto"/>
        </w:rPr>
      </w:pPr>
    </w:p>
    <w:p>
      <w:pPr>
        <w:ind w:left="540" w:hanging="279"/>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Annual Report on </w:t>
      </w:r>
      <w:hyperlink r:id="rId130">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fiscal year ended February 28, 2025 filed with the SEC on May 7, 2025;</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Quarterly Report on </w:t>
      </w:r>
      <w:hyperlink r:id="rId131">
        <w:r>
          <w:rPr>
            <w:rFonts w:ascii="Times New Roman" w:cs="Times New Roman" w:eastAsia="Times New Roman" w:hAnsi="Times New Roman"/>
            <w:sz w:val="15"/>
            <w:szCs w:val="15"/>
            <w:u w:val="single" w:color="auto"/>
            <w:color w:val="0000EE"/>
          </w:rPr>
          <w:t>Form 10-Q</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fiscal quarter ended May 31, 2025 filed with the SEC on July 8, 2025;</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Quarterly Report on </w:t>
      </w:r>
      <w:hyperlink r:id="rId132">
        <w:r>
          <w:rPr>
            <w:rFonts w:ascii="Times New Roman" w:cs="Times New Roman" w:eastAsia="Times New Roman" w:hAnsi="Times New Roman"/>
            <w:sz w:val="15"/>
            <w:szCs w:val="15"/>
            <w:u w:val="single" w:color="auto"/>
            <w:color w:val="0000EE"/>
          </w:rPr>
          <w:t>Form 10-Q</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fiscal quarter ended August 31, 2025 filed with the SEC on October 7, 2025;</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Quarterly Report on </w:t>
      </w:r>
      <w:hyperlink r:id="rId133">
        <w:r>
          <w:rPr>
            <w:rFonts w:ascii="Times New Roman" w:cs="Times New Roman" w:eastAsia="Times New Roman" w:hAnsi="Times New Roman"/>
            <w:sz w:val="15"/>
            <w:szCs w:val="15"/>
            <w:u w:val="single" w:color="auto"/>
            <w:color w:val="0000EE"/>
          </w:rPr>
          <w:t>Form 10-Q</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fiscal quarter ended November 30, 2025 filed with the SEC on January 7, 2026;</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Current Reports on Form 8-K filed on </w:t>
      </w:r>
      <w:hyperlink r:id="rId134">
        <w:r>
          <w:rPr>
            <w:rFonts w:ascii="Times New Roman" w:cs="Times New Roman" w:eastAsia="Times New Roman" w:hAnsi="Times New Roman"/>
            <w:sz w:val="15"/>
            <w:szCs w:val="15"/>
            <w:u w:val="single" w:color="auto"/>
            <w:color w:val="0000EE"/>
          </w:rPr>
          <w:t>September 26, 2025</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and </w:t>
      </w:r>
      <w:hyperlink r:id="rId135">
        <w:r>
          <w:rPr>
            <w:rFonts w:ascii="Times New Roman" w:cs="Times New Roman" w:eastAsia="Times New Roman" w:hAnsi="Times New Roman"/>
            <w:sz w:val="15"/>
            <w:szCs w:val="15"/>
            <w:u w:val="single" w:color="auto"/>
            <w:color w:val="0000EE"/>
          </w:rPr>
          <w:t>November 7, 2025</w:t>
        </w:r>
      </w:hyperlink>
      <w:r>
        <w:rPr>
          <w:rFonts w:ascii="Times New Roman" w:cs="Times New Roman" w:eastAsia="Times New Roman" w:hAnsi="Times New Roman"/>
          <w:sz w:val="15"/>
          <w:szCs w:val="15"/>
          <w:color w:val="auto"/>
        </w:rPr>
        <w:t>; and</w:t>
      </w:r>
    </w:p>
    <w:p>
      <w:pPr>
        <w:spacing w:after="0" w:line="188" w:lineRule="exact"/>
        <w:rPr>
          <w:rFonts w:ascii="Times New Roman" w:cs="Times New Roman" w:eastAsia="Times New Roman" w:hAnsi="Times New Roman"/>
          <w:sz w:val="15"/>
          <w:szCs w:val="15"/>
          <w:color w:val="auto"/>
        </w:rPr>
      </w:pPr>
    </w:p>
    <w:p>
      <w:pPr>
        <w:jc w:val="both"/>
        <w:ind w:left="540" w:hanging="279"/>
        <w:spacing w:after="0" w:line="267" w:lineRule="auto"/>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common stock contained in </w:t>
      </w:r>
      <w:hyperlink r:id="rId136">
        <w:r>
          <w:rPr>
            <w:rFonts w:ascii="Times New Roman" w:cs="Times New Roman" w:eastAsia="Times New Roman" w:hAnsi="Times New Roman"/>
            <w:sz w:val="15"/>
            <w:szCs w:val="15"/>
            <w:u w:val="single" w:color="auto"/>
            <w:color w:val="0000EE"/>
          </w:rPr>
          <w:t>Exhibit 4.24</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of our Annual Report on Form 10-K for the year ended February 28, 2023, which updated the description thereof in our Registration Statement on </w:t>
      </w:r>
      <w:hyperlink r:id="rId137">
        <w:r>
          <w:rPr>
            <w:rFonts w:ascii="Times New Roman" w:cs="Times New Roman" w:eastAsia="Times New Roman" w:hAnsi="Times New Roman"/>
            <w:sz w:val="15"/>
            <w:szCs w:val="15"/>
            <w:u w:val="single" w:color="auto"/>
            <w:color w:val="0000EE"/>
          </w:rPr>
          <w:t>Form 8-A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(File No. 001-33376), as filed with the SEC on March 21, 2007, including any amendment or report filed for the purpose of updating such description prior to the termination of the offering of the common stock registered hereby.</w:t>
      </w:r>
    </w:p>
    <w:p>
      <w:pPr>
        <w:spacing w:after="0" w:line="146" w:lineRule="exact"/>
        <w:rPr>
          <w:rFonts w:ascii="Times New Roman" w:cs="Times New Roman" w:eastAsia="Times New Roman" w:hAnsi="Times New Roman"/>
          <w:sz w:val="15"/>
          <w:szCs w:val="15"/>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To obtain copies of these filings, see “Available Information,” or you may request a copy of these filings (other than exhibits, unless the exhibits are specifically incorporated by reference into these documents) at no cost by writing or calling the following address and telephone number:</w:t>
      </w:r>
    </w:p>
    <w:p>
      <w:pPr>
        <w:spacing w:after="0" w:line="135"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Saratoga Investment Corp.</w:t>
      </w:r>
    </w:p>
    <w:p>
      <w:pPr>
        <w:spacing w:after="0" w:line="23"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535 Madison Avenue, 4th Floor</w:t>
      </w:r>
    </w:p>
    <w:p>
      <w:pPr>
        <w:spacing w:after="0" w:line="8"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New York, NY 10022</w:t>
      </w:r>
    </w:p>
    <w:p>
      <w:pPr>
        <w:spacing w:after="0" w:line="8"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(212) 906-7800</w:t>
      </w:r>
    </w:p>
    <w:p>
      <w:pPr>
        <w:spacing w:after="0" w:line="173" w:lineRule="exact"/>
        <w:rPr>
          <w:rFonts w:ascii="Times New Roman" w:cs="Times New Roman" w:eastAsia="Times New Roman" w:hAnsi="Times New Roman"/>
          <w:sz w:val="15"/>
          <w:szCs w:val="15"/>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332"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2" w:right="31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$750,000,000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Subscription Rights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Debt Securities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577215</wp:posOffset>
            </wp:positionV>
            <wp:extent cx="7155180"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90" w:name="page91"/>
    <w:bookmarkEnd w:id="90"/>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PART C—OTHER INFORMATION</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25. Financial Statements and Exhibits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(1) Financial Statements</w:t>
      </w:r>
    </w:p>
    <w:p>
      <w:pPr>
        <w:spacing w:after="0" w:line="192" w:lineRule="exact"/>
        <w:rPr>
          <w:sz w:val="20"/>
          <w:szCs w:val="20"/>
          <w:color w:val="auto"/>
        </w:rPr>
      </w:pPr>
    </w:p>
    <w:p>
      <w:pPr>
        <w:jc w:val="both"/>
        <w:ind w:left="10" w:firstLine="271"/>
        <w:spacing w:after="0" w:line="283" w:lineRule="auto"/>
        <w:rPr>
          <w:sz w:val="20"/>
          <w:szCs w:val="20"/>
          <w:color w:val="auto"/>
        </w:rPr>
      </w:pPr>
      <w:r>
        <w:rPr>
          <w:rFonts w:ascii="Times New Roman" w:cs="Times New Roman" w:eastAsia="Times New Roman" w:hAnsi="Times New Roman"/>
          <w:sz w:val="15"/>
          <w:szCs w:val="15"/>
          <w:color w:val="auto"/>
        </w:rPr>
        <w:t>The unaudited consolidated financial statements as of November 30, 2025 and for each of the three and nine months ended November 30, 2025 and November 30, 2024 have been incorporated by reference in this registration statement in “Part A—Information Required in a Prospectus.”</w:t>
      </w:r>
    </w:p>
    <w:p>
      <w:pPr>
        <w:spacing w:after="0" w:line="135" w:lineRule="exact"/>
        <w:rPr>
          <w:sz w:val="20"/>
          <w:szCs w:val="20"/>
          <w:color w:val="auto"/>
        </w:rPr>
      </w:pPr>
    </w:p>
    <w:p>
      <w:pPr>
        <w:jc w:val="both"/>
        <w:ind w:left="10" w:firstLine="271"/>
        <w:spacing w:after="0" w:line="267" w:lineRule="auto"/>
        <w:rPr>
          <w:sz w:val="20"/>
          <w:szCs w:val="20"/>
          <w:color w:val="auto"/>
        </w:rPr>
      </w:pPr>
      <w:r>
        <w:rPr>
          <w:rFonts w:ascii="Times New Roman" w:cs="Times New Roman" w:eastAsia="Times New Roman" w:hAnsi="Times New Roman"/>
          <w:sz w:val="15"/>
          <w:szCs w:val="15"/>
          <w:color w:val="auto"/>
        </w:rPr>
        <w:t>The audited consolidated financial statements of Saratoga Investment Corp. as of February 28, 2025 and February 29, 2024 and for each of the three years in the period ended February 28, 2025 have been incorporated by reference in this registration statement in “Part A—Information Required in a Prospectus” in reliance on the report of Ernst &amp; Young LLP, an independent registered public accounting firm, given on the authority of said firm as experts in auditing and accounting.</w:t>
      </w:r>
    </w:p>
    <w:p>
      <w:pPr>
        <w:spacing w:after="0" w:line="146" w:lineRule="exact"/>
        <w:rPr>
          <w:sz w:val="20"/>
          <w:szCs w:val="20"/>
          <w:color w:val="auto"/>
        </w:rPr>
      </w:pPr>
    </w:p>
    <w:p>
      <w:pPr>
        <w:jc w:val="both"/>
        <w:ind w:left="10" w:firstLine="271"/>
        <w:spacing w:after="0" w:line="267" w:lineRule="auto"/>
        <w:rPr>
          <w:sz w:val="20"/>
          <w:szCs w:val="20"/>
          <w:color w:val="auto"/>
        </w:rPr>
      </w:pPr>
      <w:r>
        <w:rPr>
          <w:rFonts w:ascii="Times New Roman" w:cs="Times New Roman" w:eastAsia="Times New Roman" w:hAnsi="Times New Roman"/>
          <w:sz w:val="15"/>
          <w:szCs w:val="15"/>
          <w:color w:val="auto"/>
        </w:rPr>
        <w:t>The audited financial statements of Saratoga Investment Corp. CLO 2013-1, Ltd. as of February 28, 2025, February 29, 2024, and February 28, 2023, and for the years then ended have been incorporated by reference in this registration statement in “Part A—Information Required in a Prospectus” in reliance on the report of CohnReznick LLP, independent auditors, given on the authority of said firm as experts in auditing and accounting.</w:t>
      </w:r>
    </w:p>
    <w:p>
      <w:pPr>
        <w:spacing w:after="0" w:line="14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(2) Exhibits</w:t>
      </w:r>
    </w:p>
    <w:p>
      <w:pPr>
        <w:spacing w:after="0" w:line="19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The following exhibits are filed as part of this report or hereby incorporated by reference to exhibits previously filed with the SEC:</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12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38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380" w:type="dxa"/>
            <w:vAlign w:val="bottom"/>
          </w:tcPr>
          <w:p>
            <w:pPr>
              <w:spacing w:after="0"/>
              <w:rPr>
                <w:sz w:val="17"/>
                <w:szCs w:val="17"/>
                <w:color w:val="auto"/>
              </w:rPr>
            </w:pPr>
          </w:p>
        </w:tc>
        <w:tc>
          <w:tcPr>
            <w:tcW w:w="9660" w:type="dxa"/>
            <w:vAlign w:val="bottom"/>
            <w:gridSpan w:val="3"/>
          </w:tcPr>
          <w:p>
            <w:pPr>
              <w:ind w:left="42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5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(a)(1)</w:t>
            </w:r>
          </w:p>
        </w:tc>
        <w:tc>
          <w:tcPr>
            <w:tcW w:w="10020" w:type="dxa"/>
            <w:vAlign w:val="bottom"/>
            <w:tcBorders>
              <w:bottom w:val="single" w:sz="8" w:color="0000EE"/>
              <w:right w:val="single" w:sz="8" w:color="CCEEFF"/>
            </w:tcBorders>
            <w:gridSpan w:val="3"/>
            <w:shd w:val="clear" w:color="auto" w:fill="CCEEFF"/>
          </w:tcPr>
          <w:p>
            <w:pPr>
              <w:spacing w:after="0" w:line="147" w:lineRule="exact"/>
              <w:rPr>
                <w:rFonts w:ascii="Times New Roman" w:cs="Times New Roman" w:eastAsia="Times New Roman" w:hAnsi="Times New Roman"/>
                <w:sz w:val="15"/>
                <w:szCs w:val="15"/>
                <w:color w:val="0000EE"/>
              </w:rPr>
            </w:pPr>
            <w:hyperlink r:id="rId140">
              <w:r>
                <w:rPr>
                  <w:rFonts w:ascii="Times New Roman" w:cs="Times New Roman" w:eastAsia="Times New Roman" w:hAnsi="Times New Roman"/>
                  <w:sz w:val="15"/>
                  <w:szCs w:val="15"/>
                  <w:color w:val="0000EE"/>
                </w:rPr>
                <w:t>Articles of Incorporation of Saratoga Investment Corp. (incorporated by reference to Saratoga Investment Corp.’s Form 10-Q for the quarterly period ended May 31,</w:t>
              </w:r>
            </w:hyperlink>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gridSpan w:val="2"/>
            <w:shd w:val="clear" w:color="auto" w:fill="CCEEFF"/>
          </w:tcPr>
          <w:p>
            <w:pPr>
              <w:spacing w:after="0" w:line="161" w:lineRule="exact"/>
              <w:rPr>
                <w:rFonts w:ascii="Times New Roman" w:cs="Times New Roman" w:eastAsia="Times New Roman" w:hAnsi="Times New Roman"/>
                <w:sz w:val="15"/>
                <w:szCs w:val="15"/>
                <w:color w:val="0000EE"/>
              </w:rPr>
            </w:pPr>
            <w:hyperlink r:id="rId140">
              <w:r>
                <w:rPr>
                  <w:rFonts w:ascii="Times New Roman" w:cs="Times New Roman" w:eastAsia="Times New Roman" w:hAnsi="Times New Roman"/>
                  <w:sz w:val="15"/>
                  <w:szCs w:val="15"/>
                  <w:color w:val="0000EE"/>
                </w:rPr>
                <w:t>2007).</w:t>
              </w:r>
            </w:hyperlink>
          </w:p>
        </w:tc>
        <w:tc>
          <w:tcPr>
            <w:tcW w:w="14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95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2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(a)(2)</w:t>
            </w:r>
          </w:p>
        </w:tc>
        <w:tc>
          <w:tcPr>
            <w:tcW w:w="10020" w:type="dxa"/>
            <w:vAlign w:val="bottom"/>
            <w:tcBorders>
              <w:right w:val="single" w:sz="8" w:color="CCEEFF"/>
            </w:tcBorders>
            <w:gridSpan w:val="3"/>
            <w:shd w:val="clear" w:color="auto" w:fill="CCEEFF"/>
          </w:tcPr>
          <w:p>
            <w:pPr>
              <w:spacing w:after="0" w:line="147" w:lineRule="exact"/>
              <w:rPr>
                <w:rFonts w:ascii="Times New Roman" w:cs="Times New Roman" w:eastAsia="Times New Roman" w:hAnsi="Times New Roman"/>
                <w:sz w:val="15"/>
                <w:szCs w:val="15"/>
                <w:color w:val="0000EE"/>
              </w:rPr>
            </w:pPr>
            <w:hyperlink r:id="rId141">
              <w:r>
                <w:rPr>
                  <w:rFonts w:ascii="Times New Roman" w:cs="Times New Roman" w:eastAsia="Times New Roman" w:hAnsi="Times New Roman"/>
                  <w:sz w:val="15"/>
                  <w:szCs w:val="15"/>
                  <w:color w:val="0000EE"/>
                </w:rPr>
                <w:t>Articles of Amendment of Saratoga Investment Corp. (incorporated by reference to Saratoga Investment Corp.’s Current Report on Form 8-K filed August 3, 2010).</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9500" w:type="dxa"/>
            <w:vAlign w:val="bottom"/>
            <w:tcBorders>
              <w:top w:val="single" w:sz="8" w:color="0000EE"/>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220" w:type="dxa"/>
            <w:vAlign w:val="bottom"/>
            <w:tcBorders>
              <w:bottom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(a)(3)</w:t>
            </w:r>
          </w:p>
        </w:tc>
        <w:tc>
          <w:tcPr>
            <w:tcW w:w="10020" w:type="dxa"/>
            <w:vAlign w:val="bottom"/>
            <w:tcBorders>
              <w:bottom w:val="single" w:sz="8" w:color="0000EE"/>
              <w:right w:val="single" w:sz="8" w:color="CCEEFF"/>
            </w:tcBorders>
            <w:gridSpan w:val="3"/>
            <w:shd w:val="clear" w:color="auto" w:fill="CCEEFF"/>
          </w:tcPr>
          <w:p>
            <w:pPr>
              <w:spacing w:after="0" w:line="147" w:lineRule="exact"/>
              <w:rPr>
                <w:rFonts w:ascii="Times New Roman" w:cs="Times New Roman" w:eastAsia="Times New Roman" w:hAnsi="Times New Roman"/>
                <w:sz w:val="15"/>
                <w:szCs w:val="15"/>
                <w:color w:val="0000EE"/>
              </w:rPr>
            </w:pPr>
            <w:hyperlink r:id="rId142">
              <w:r>
                <w:rPr>
                  <w:rFonts w:ascii="Times New Roman" w:cs="Times New Roman" w:eastAsia="Times New Roman" w:hAnsi="Times New Roman"/>
                  <w:sz w:val="15"/>
                  <w:szCs w:val="15"/>
                  <w:color w:val="0000EE"/>
                </w:rPr>
                <w:t>Articles of Amendment of Saratoga Investment Corp. (incorporated by reference to Saratoga Investment Corp.’s Current Report on Form 8-K filed August 13, 2010).</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250" w:hanging="1250"/>
        <w:spacing w:after="0" w:line="283" w:lineRule="auto"/>
        <w:tabs>
          <w:tab w:leader="none" w:pos="1250" w:val="left"/>
        </w:tabs>
        <w:numPr>
          <w:ilvl w:val="0"/>
          <w:numId w:val="56"/>
        </w:numPr>
        <w:rPr>
          <w:rFonts w:ascii="Times New Roman" w:cs="Times New Roman" w:eastAsia="Times New Roman" w:hAnsi="Times New Roman"/>
          <w:sz w:val="15"/>
          <w:szCs w:val="15"/>
          <w:u w:val="single" w:color="auto"/>
          <w:color w:val="0000EE"/>
        </w:rPr>
      </w:pPr>
      <w:hyperlink r:id="rId143">
        <w:r>
          <w:rPr>
            <w:rFonts w:ascii="Times New Roman" w:cs="Times New Roman" w:eastAsia="Times New Roman" w:hAnsi="Times New Roman"/>
            <w:sz w:val="15"/>
            <w:szCs w:val="15"/>
            <w:u w:val="single" w:color="auto"/>
            <w:color w:val="0000EE"/>
          </w:rPr>
          <w:t>Third Amended and Restated Bylaws of Saratoga Investment Corp (incorporated by reference to Saratoga Investment Corp.’s Current Report on Form 10-Q filed</w:t>
        </w:r>
      </w:hyperlink>
      <w:r>
        <w:rPr>
          <w:rFonts w:ascii="Times New Roman" w:cs="Times New Roman" w:eastAsia="Times New Roman" w:hAnsi="Times New Roman"/>
          <w:sz w:val="15"/>
          <w:szCs w:val="15"/>
          <w:u w:val="single" w:color="auto"/>
          <w:color w:val="0000EE"/>
        </w:rPr>
        <w:t xml:space="preserve"> </w:t>
      </w:r>
      <w:hyperlink r:id="rId143">
        <w:r>
          <w:rPr>
            <w:rFonts w:ascii="Times New Roman" w:cs="Times New Roman" w:eastAsia="Times New Roman" w:hAnsi="Times New Roman"/>
            <w:sz w:val="15"/>
            <w:szCs w:val="15"/>
            <w:u w:val="single" w:color="auto"/>
            <w:color w:val="0000EE"/>
          </w:rPr>
          <w:t>January 6, 2021).</w:t>
        </w:r>
      </w:hyperlink>
    </w:p>
    <w:p>
      <w:pPr>
        <w:spacing w:after="0" w:line="134" w:lineRule="exact"/>
        <w:rPr>
          <w:rFonts w:ascii="Times New Roman" w:cs="Times New Roman" w:eastAsia="Times New Roman" w:hAnsi="Times New Roman"/>
          <w:sz w:val="15"/>
          <w:szCs w:val="15"/>
          <w:u w:val="single" w:color="auto"/>
          <w:color w:val="0000EE"/>
        </w:rPr>
      </w:pPr>
    </w:p>
    <w:p>
      <w:pPr>
        <w:ind w:left="1250" w:hanging="1250"/>
        <w:spacing w:after="0"/>
        <w:tabs>
          <w:tab w:leader="none" w:pos="125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applicable.</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0</wp:posOffset>
            </wp:positionH>
            <wp:positionV relativeFrom="paragraph">
              <wp:posOffset>-443230</wp:posOffset>
            </wp:positionV>
            <wp:extent cx="7155180" cy="2292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55180" cy="2292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-99695</wp:posOffset>
            </wp:positionV>
            <wp:extent cx="7155180" cy="1143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157" w:lineRule="exact"/>
        <w:rPr>
          <w:rFonts w:ascii="Times New Roman" w:cs="Times New Roman" w:eastAsia="Times New Roman" w:hAnsi="Times New Roman"/>
          <w:sz w:val="15"/>
          <w:szCs w:val="15"/>
          <w:color w:val="auto"/>
        </w:rPr>
      </w:pPr>
    </w:p>
    <w:tbl>
      <w:tblPr>
        <w:tblLayout w:type="fixed"/>
        <w:tblInd w:w="1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(d)(1)</w:t>
            </w:r>
          </w:p>
        </w:tc>
        <w:tc>
          <w:tcPr>
            <w:tcW w:w="10020" w:type="dxa"/>
            <w:vAlign w:val="bottom"/>
            <w:tcBorders>
              <w:bottom w:val="single" w:sz="8" w:color="0000EE"/>
            </w:tcBorders>
            <w:gridSpan w:val="4"/>
            <w:shd w:val="clear" w:color="auto" w:fill="CCEEFF"/>
          </w:tcPr>
          <w:p>
            <w:pPr>
              <w:spacing w:after="0"/>
              <w:rPr>
                <w:rFonts w:ascii="Times New Roman" w:cs="Times New Roman" w:eastAsia="Times New Roman" w:hAnsi="Times New Roman"/>
                <w:sz w:val="15"/>
                <w:szCs w:val="15"/>
                <w:color w:val="0000EE"/>
              </w:rPr>
            </w:pPr>
            <w:hyperlink r:id="rId146">
              <w:r>
                <w:rPr>
                  <w:rFonts w:ascii="Times New Roman" w:cs="Times New Roman" w:eastAsia="Times New Roman" w:hAnsi="Times New Roman"/>
                  <w:sz w:val="15"/>
                  <w:szCs w:val="15"/>
                  <w:color w:val="0000EE"/>
                </w:rPr>
                <w:t xml:space="preserve">Specimen certificate of Saratoga Investment Corp.’s common stock, par value </w:t>
              </w:r>
              <w:r>
                <w:rPr>
                  <w:rFonts w:ascii="Times New Roman" w:cs="Times New Roman" w:eastAsia="Times New Roman" w:hAnsi="Times New Roman"/>
                  <w:sz w:val="15"/>
                  <w:szCs w:val="15"/>
                  <w:u w:val="single" w:color="auto"/>
                  <w:color w:val="0000EE"/>
                </w:rPr>
                <w:t>$</w:t>
              </w:r>
              <w:r>
                <w:rPr>
                  <w:rFonts w:ascii="Times New Roman" w:cs="Times New Roman" w:eastAsia="Times New Roman" w:hAnsi="Times New Roman"/>
                  <w:sz w:val="15"/>
                  <w:szCs w:val="15"/>
                  <w:color w:val="0000EE"/>
                </w:rPr>
                <w:t>0.001 per share. (incorporated by reference to Saratoga Investment Corp.’s</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4"/>
            <w:shd w:val="clear" w:color="auto" w:fill="CCEEFF"/>
          </w:tcPr>
          <w:p>
            <w:pPr>
              <w:spacing w:after="0" w:line="161" w:lineRule="exact"/>
              <w:rPr>
                <w:rFonts w:ascii="Times New Roman" w:cs="Times New Roman" w:eastAsia="Times New Roman" w:hAnsi="Times New Roman"/>
                <w:sz w:val="15"/>
                <w:szCs w:val="15"/>
                <w:color w:val="0000EE"/>
              </w:rPr>
            </w:pPr>
            <w:hyperlink r:id="rId146">
              <w:r>
                <w:rPr>
                  <w:rFonts w:ascii="Times New Roman" w:cs="Times New Roman" w:eastAsia="Times New Roman" w:hAnsi="Times New Roman"/>
                  <w:sz w:val="15"/>
                  <w:szCs w:val="15"/>
                  <w:color w:val="0000EE"/>
                </w:rPr>
                <w:t>Registration Statement on Form N-2, File No. 333-169135, filed on September 1, 2010).</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2960" w:type="dxa"/>
            <w:vAlign w:val="bottom"/>
            <w:tcBorders>
              <w:top w:val="single" w:sz="8" w:color="0000EE"/>
            </w:tcBorders>
          </w:tcPr>
          <w:p>
            <w:pPr>
              <w:spacing w:after="0"/>
              <w:rPr>
                <w:sz w:val="15"/>
                <w:szCs w:val="15"/>
                <w:color w:val="auto"/>
              </w:rPr>
            </w:pPr>
          </w:p>
        </w:tc>
        <w:tc>
          <w:tcPr>
            <w:tcW w:w="2360" w:type="dxa"/>
            <w:vAlign w:val="bottom"/>
            <w:tcBorders>
              <w:top w:val="single" w:sz="8" w:color="0000EE"/>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23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(d)(2)</w:t>
            </w:r>
          </w:p>
        </w:tc>
        <w:tc>
          <w:tcPr>
            <w:tcW w:w="10020" w:type="dxa"/>
            <w:vAlign w:val="bottom"/>
            <w:tcBorders>
              <w:bottom w:val="single" w:sz="8" w:color="0000EE"/>
            </w:tcBorders>
            <w:gridSpan w:val="4"/>
            <w:shd w:val="clear" w:color="auto" w:fill="CCEEFF"/>
          </w:tcPr>
          <w:p>
            <w:pPr>
              <w:spacing w:after="0" w:line="147" w:lineRule="exact"/>
              <w:rPr>
                <w:rFonts w:ascii="Times New Roman" w:cs="Times New Roman" w:eastAsia="Times New Roman" w:hAnsi="Times New Roman"/>
                <w:sz w:val="15"/>
                <w:szCs w:val="15"/>
                <w:color w:val="0000EE"/>
              </w:rPr>
            </w:pPr>
            <w:hyperlink r:id="rId147">
              <w:r>
                <w:rPr>
                  <w:rFonts w:ascii="Times New Roman" w:cs="Times New Roman" w:eastAsia="Times New Roman" w:hAnsi="Times New Roman"/>
                  <w:sz w:val="15"/>
                  <w:szCs w:val="15"/>
                  <w:color w:val="0000EE"/>
                </w:rPr>
                <w:t>Form of Indenture by and between Saratoga Investment Corp. and U.S. Bank National Association, as trustee (incorporated by reference to Saratoga Investment</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4"/>
            <w:shd w:val="clear" w:color="auto" w:fill="CCEEFF"/>
          </w:tcPr>
          <w:p>
            <w:pPr>
              <w:spacing w:after="0" w:line="161" w:lineRule="exact"/>
              <w:rPr>
                <w:rFonts w:ascii="Times New Roman" w:cs="Times New Roman" w:eastAsia="Times New Roman" w:hAnsi="Times New Roman"/>
                <w:sz w:val="15"/>
                <w:szCs w:val="15"/>
                <w:color w:val="0000EE"/>
              </w:rPr>
            </w:pPr>
            <w:hyperlink r:id="rId147">
              <w:r>
                <w:rPr>
                  <w:rFonts w:ascii="Times New Roman" w:cs="Times New Roman" w:eastAsia="Times New Roman" w:hAnsi="Times New Roman"/>
                  <w:sz w:val="15"/>
                  <w:szCs w:val="15"/>
                  <w:color w:val="0000EE"/>
                </w:rPr>
                <w:t>Corp.’s Pre-Effective Amendment No. 2 to the Registration Statement on Form N-2, File No. 333-186323 filed April 30, 2013).</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2960" w:type="dxa"/>
            <w:vAlign w:val="bottom"/>
            <w:tcBorders>
              <w:top w:val="single" w:sz="8" w:color="0000EE"/>
            </w:tcBorders>
          </w:tcPr>
          <w:p>
            <w:pPr>
              <w:spacing w:after="0"/>
              <w:rPr>
                <w:sz w:val="15"/>
                <w:szCs w:val="15"/>
                <w:color w:val="auto"/>
              </w:rPr>
            </w:pPr>
          </w:p>
        </w:tc>
        <w:tc>
          <w:tcPr>
            <w:tcW w:w="2360" w:type="dxa"/>
            <w:vAlign w:val="bottom"/>
            <w:tcBorders>
              <w:top w:val="single" w:sz="8" w:color="0000EE"/>
            </w:tcBorders>
          </w:tcPr>
          <w:p>
            <w:pPr>
              <w:spacing w:after="0"/>
              <w:rPr>
                <w:sz w:val="15"/>
                <w:szCs w:val="15"/>
                <w:color w:val="auto"/>
              </w:rPr>
            </w:pPr>
          </w:p>
        </w:tc>
        <w:tc>
          <w:tcPr>
            <w:tcW w:w="2360" w:type="dxa"/>
            <w:vAlign w:val="bottom"/>
            <w:tcBorders>
              <w:top w:val="single" w:sz="8" w:color="0000EE"/>
            </w:tcBorders>
          </w:tcPr>
          <w:p>
            <w:pPr>
              <w:spacing w:after="0"/>
              <w:rPr>
                <w:sz w:val="15"/>
                <w:szCs w:val="15"/>
                <w:color w:val="auto"/>
              </w:rPr>
            </w:pPr>
          </w:p>
        </w:tc>
        <w:tc>
          <w:tcPr>
            <w:tcW w:w="23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2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(d)(3)</w:t>
            </w:r>
          </w:p>
        </w:tc>
        <w:tc>
          <w:tcPr>
            <w:tcW w:w="10020" w:type="dxa"/>
            <w:vAlign w:val="bottom"/>
            <w:gridSpan w:val="4"/>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Statement of Eligibility of Trustee on Form T-1.*</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2960" w:type="dxa"/>
            <w:vAlign w:val="bottom"/>
            <w:tcBorders>
              <w:top w:val="single" w:sz="8" w:color="0000EE"/>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spacing w:after="0"/>
              <w:rPr>
                <w:sz w:val="15"/>
                <w:szCs w:val="15"/>
                <w:color w:val="auto"/>
              </w:rPr>
            </w:pPr>
          </w:p>
        </w:tc>
        <w:tc>
          <w:tcPr>
            <w:tcW w:w="23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(d)(4)</w:t>
            </w:r>
          </w:p>
        </w:tc>
        <w:tc>
          <w:tcPr>
            <w:tcW w:w="10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 of Warrant Certificate and Warrant Agreement**</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(d)(5)</w:t>
            </w:r>
          </w:p>
        </w:tc>
        <w:tc>
          <w:tcPr>
            <w:tcW w:w="10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 of Subscription Certificate and Subscription Agreement**</w:t>
            </w:r>
          </w:p>
        </w:tc>
        <w:tc>
          <w:tcPr>
            <w:tcW w:w="0" w:type="dxa"/>
            <w:vAlign w:val="bottom"/>
          </w:tcPr>
          <w:p>
            <w:pPr>
              <w:spacing w:after="0"/>
              <w:rPr>
                <w:sz w:val="1"/>
                <w:szCs w:val="1"/>
                <w:color w:val="auto"/>
              </w:rPr>
            </w:pPr>
          </w:p>
        </w:tc>
      </w:tr>
      <w:tr>
        <w:trPr>
          <w:trHeight w:val="544"/>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5"/>
                <w:szCs w:val="15"/>
                <w:color w:val="auto"/>
              </w:rPr>
              <w:t>C-1</w:t>
            </w:r>
          </w:p>
        </w:tc>
        <w:tc>
          <w:tcPr>
            <w:tcW w:w="0" w:type="dxa"/>
            <w:vAlign w:val="bottom"/>
          </w:tcPr>
          <w:p>
            <w:pPr>
              <w:spacing w:after="0"/>
              <w:rPr>
                <w:sz w:val="1"/>
                <w:szCs w:val="1"/>
                <w:color w:val="auto"/>
              </w:rPr>
            </w:pPr>
          </w:p>
        </w:tc>
      </w:tr>
    </w:tbl>
    <w:p>
      <w:pPr>
        <w:sectPr>
          <w:pgSz w:w="11900" w:h="16838" w:orient="portrait"/>
          <w:cols w:equalWidth="0" w:num="1">
            <w:col w:w="11270"/>
          </w:cols>
          <w:pgMar w:left="310" w:top="753" w:right="319" w:bottom="1440" w:gutter="0" w:footer="0" w:header="0"/>
        </w:sectPr>
      </w:pPr>
    </w:p>
    <w:bookmarkStart w:id="91" w:name="page92"/>
    <w:bookmarkEnd w:id="9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(d)(6)</w:t>
            </w:r>
          </w:p>
        </w:tc>
        <w:tc>
          <w:tcPr>
            <w:tcW w:w="10020" w:type="dxa"/>
            <w:vAlign w:val="bottom"/>
            <w:tcBorders>
              <w:bottom w:val="single" w:sz="8" w:color="0000EE"/>
              <w:right w:val="single" w:sz="8" w:color="CCEEFF"/>
            </w:tcBorders>
            <w:gridSpan w:val="11"/>
            <w:shd w:val="clear" w:color="auto" w:fill="CCEEFF"/>
          </w:tcPr>
          <w:p>
            <w:pPr>
              <w:spacing w:after="0"/>
              <w:rPr>
                <w:rFonts w:ascii="Times New Roman" w:cs="Times New Roman" w:eastAsia="Times New Roman" w:hAnsi="Times New Roman"/>
                <w:sz w:val="15"/>
                <w:szCs w:val="15"/>
                <w:color w:val="0000EE"/>
                <w:w w:val="99"/>
              </w:rPr>
            </w:pPr>
            <w:hyperlink r:id="rId148">
              <w:r>
                <w:rPr>
                  <w:rFonts w:ascii="Times New Roman" w:cs="Times New Roman" w:eastAsia="Times New Roman" w:hAnsi="Times New Roman"/>
                  <w:sz w:val="15"/>
                  <w:szCs w:val="15"/>
                  <w:color w:val="0000EE"/>
                  <w:w w:val="99"/>
                </w:rPr>
                <w:t>Form of Articles Supplementary Establishing and Fixing the Rights and Preferences of Preferred Stock (incorporated by reference to Saratoga Investment Corp.’s Pre-</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tcBorders>
              <w:right w:val="single" w:sz="8" w:color="CCEEFF"/>
            </w:tcBorders>
            <w:gridSpan w:val="11"/>
            <w:shd w:val="clear" w:color="auto" w:fill="CCEEFF"/>
          </w:tcPr>
          <w:p>
            <w:pPr>
              <w:spacing w:after="0" w:line="161" w:lineRule="exact"/>
              <w:rPr>
                <w:rFonts w:ascii="Times New Roman" w:cs="Times New Roman" w:eastAsia="Times New Roman" w:hAnsi="Times New Roman"/>
                <w:sz w:val="15"/>
                <w:szCs w:val="15"/>
                <w:color w:val="0000EE"/>
              </w:rPr>
            </w:pPr>
            <w:hyperlink r:id="rId148">
              <w:r>
                <w:rPr>
                  <w:rFonts w:ascii="Times New Roman" w:cs="Times New Roman" w:eastAsia="Times New Roman" w:hAnsi="Times New Roman"/>
                  <w:sz w:val="15"/>
                  <w:szCs w:val="15"/>
                  <w:color w:val="0000EE"/>
                </w:rPr>
                <w:t>Effective Amendment No. 1 to the Registration Statement on Form N-2 (File No. 333-196526) filed on December 5, 2014).</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(d)(7)</w:t>
            </w:r>
          </w:p>
        </w:tc>
        <w:tc>
          <w:tcPr>
            <w:tcW w:w="10020" w:type="dxa"/>
            <w:vAlign w:val="bottom"/>
            <w:tcBorders>
              <w:bottom w:val="single" w:sz="8" w:color="0000EE"/>
              <w:right w:val="single" w:sz="8" w:color="CCEEFF"/>
            </w:tcBorders>
            <w:gridSpan w:val="11"/>
            <w:shd w:val="clear" w:color="auto" w:fill="CCEEFF"/>
          </w:tcPr>
          <w:p>
            <w:pPr>
              <w:spacing w:after="0" w:line="147" w:lineRule="exact"/>
              <w:rPr>
                <w:rFonts w:ascii="Times New Roman" w:cs="Times New Roman" w:eastAsia="Times New Roman" w:hAnsi="Times New Roman"/>
                <w:sz w:val="15"/>
                <w:szCs w:val="15"/>
                <w:color w:val="0000EE"/>
                <w:shd w:val="clear" w:color="auto" w:fill="CCEEFF"/>
              </w:rPr>
            </w:pPr>
            <w:hyperlink r:id="rId149">
              <w:r>
                <w:rPr>
                  <w:rFonts w:ascii="Times New Roman" w:cs="Times New Roman" w:eastAsia="Times New Roman" w:hAnsi="Times New Roman"/>
                  <w:sz w:val="15"/>
                  <w:szCs w:val="15"/>
                  <w:color w:val="0000EE"/>
                  <w:shd w:val="clear" w:color="auto" w:fill="CCEEFF"/>
                </w:rPr>
                <w:t>Seventh Supplemental Indenture between Saratoga Investment Corp. and U.S. Bank National Association, as trustee, relating to 6.25% Notes due 2027 (incorporated</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6300" w:type="dxa"/>
            <w:vAlign w:val="bottom"/>
            <w:tcBorders>
              <w:bottom w:val="single" w:sz="8" w:color="0000EE"/>
            </w:tcBorders>
            <w:gridSpan w:val="8"/>
            <w:shd w:val="clear" w:color="auto" w:fill="CCEEFF"/>
          </w:tcPr>
          <w:p>
            <w:pPr>
              <w:spacing w:after="0" w:line="161" w:lineRule="exact"/>
              <w:rPr>
                <w:rFonts w:ascii="Times New Roman" w:cs="Times New Roman" w:eastAsia="Times New Roman" w:hAnsi="Times New Roman"/>
                <w:sz w:val="15"/>
                <w:szCs w:val="15"/>
                <w:color w:val="0000EE"/>
                <w:w w:val="99"/>
                <w:shd w:val="clear" w:color="auto" w:fill="CCEEFF"/>
              </w:rPr>
            </w:pPr>
            <w:hyperlink r:id="rId149">
              <w:r>
                <w:rPr>
                  <w:rFonts w:ascii="Times New Roman" w:cs="Times New Roman" w:eastAsia="Times New Roman" w:hAnsi="Times New Roman"/>
                  <w:sz w:val="15"/>
                  <w:szCs w:val="15"/>
                  <w:color w:val="0000EE"/>
                  <w:w w:val="99"/>
                  <w:shd w:val="clear" w:color="auto" w:fill="CCEEFF"/>
                </w:rPr>
                <w:t>by reference to Saratoga Investment Corp.’s Quarterly Report on Form 10-Q, filed on January 10, 2023).</w:t>
              </w:r>
            </w:hyperlink>
          </w:p>
        </w:tc>
        <w:tc>
          <w:tcPr>
            <w:tcW w:w="540" w:type="dxa"/>
            <w:vAlign w:val="bottom"/>
            <w:tcBorders>
              <w:bottom w:val="single" w:sz="8" w:color="CCEEFF"/>
            </w:tcBorders>
            <w:shd w:val="clear" w:color="auto" w:fill="CCEEFF"/>
          </w:tcPr>
          <w:p>
            <w:pPr>
              <w:spacing w:after="0"/>
              <w:rPr>
                <w:sz w:val="15"/>
                <w:szCs w:val="15"/>
                <w:color w:val="auto"/>
              </w:rPr>
            </w:pPr>
          </w:p>
        </w:tc>
        <w:tc>
          <w:tcPr>
            <w:tcW w:w="3180" w:type="dxa"/>
            <w:vAlign w:val="bottom"/>
            <w:tcBorders>
              <w:bottom w:val="single" w:sz="8" w:color="CCEEFF"/>
              <w:right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2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(d)(8)</w:t>
            </w:r>
          </w:p>
        </w:tc>
        <w:tc>
          <w:tcPr>
            <w:tcW w:w="10020" w:type="dxa"/>
            <w:vAlign w:val="bottom"/>
            <w:tcBorders>
              <w:right w:val="single" w:sz="8" w:color="CCEEFF"/>
            </w:tcBorders>
            <w:gridSpan w:val="11"/>
            <w:shd w:val="clear" w:color="auto" w:fill="CCEEFF"/>
          </w:tcPr>
          <w:p>
            <w:pPr>
              <w:spacing w:after="0" w:line="147" w:lineRule="exact"/>
              <w:rPr>
                <w:rFonts w:ascii="Times New Roman" w:cs="Times New Roman" w:eastAsia="Times New Roman" w:hAnsi="Times New Roman"/>
                <w:sz w:val="15"/>
                <w:szCs w:val="15"/>
                <w:color w:val="0000EE"/>
              </w:rPr>
            </w:pPr>
            <w:hyperlink r:id="rId149">
              <w:r>
                <w:rPr>
                  <w:rFonts w:ascii="Times New Roman" w:cs="Times New Roman" w:eastAsia="Times New Roman" w:hAnsi="Times New Roman"/>
                  <w:sz w:val="15"/>
                  <w:szCs w:val="15"/>
                  <w:color w:val="0000EE"/>
                </w:rPr>
                <w:t>Form of 6.25% Notes due 2027 (incorporated by reference to Exhibit (d)(7) hereto).</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60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(d)(9)</w:t>
            </w:r>
          </w:p>
        </w:tc>
        <w:tc>
          <w:tcPr>
            <w:tcW w:w="10020" w:type="dxa"/>
            <w:vAlign w:val="bottom"/>
            <w:tcBorders>
              <w:bottom w:val="single" w:sz="8" w:color="0000EE"/>
              <w:right w:val="single" w:sz="8" w:color="CCEEFF"/>
            </w:tcBorders>
            <w:gridSpan w:val="11"/>
            <w:shd w:val="clear" w:color="auto" w:fill="CCEEFF"/>
          </w:tcPr>
          <w:p>
            <w:pPr>
              <w:spacing w:after="0" w:line="147" w:lineRule="exact"/>
              <w:rPr>
                <w:rFonts w:ascii="Times New Roman" w:cs="Times New Roman" w:eastAsia="Times New Roman" w:hAnsi="Times New Roman"/>
                <w:sz w:val="15"/>
                <w:szCs w:val="15"/>
                <w:color w:val="0000EE"/>
              </w:rPr>
            </w:pPr>
            <w:hyperlink r:id="rId150">
              <w:r>
                <w:rPr>
                  <w:rFonts w:ascii="Times New Roman" w:cs="Times New Roman" w:eastAsia="Times New Roman" w:hAnsi="Times New Roman"/>
                  <w:sz w:val="15"/>
                  <w:szCs w:val="15"/>
                  <w:color w:val="0000EE"/>
                </w:rPr>
                <w:t>Eighth Supplemental Indenture between Saratoga Investment Corp. and U.S. Bank National Association, as trustee, relating to the 4.375% Note due 2026</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tcBorders>
              <w:right w:val="single" w:sz="8" w:color="CCEEFF"/>
            </w:tcBorders>
            <w:gridSpan w:val="11"/>
            <w:shd w:val="clear" w:color="auto" w:fill="CCEEFF"/>
          </w:tcPr>
          <w:p>
            <w:pPr>
              <w:spacing w:after="0" w:line="161" w:lineRule="exact"/>
              <w:rPr>
                <w:rFonts w:ascii="Times New Roman" w:cs="Times New Roman" w:eastAsia="Times New Roman" w:hAnsi="Times New Roman"/>
                <w:sz w:val="15"/>
                <w:szCs w:val="15"/>
                <w:color w:val="0000EE"/>
              </w:rPr>
            </w:pPr>
            <w:hyperlink r:id="rId150">
              <w:r>
                <w:rPr>
                  <w:rFonts w:ascii="Times New Roman" w:cs="Times New Roman" w:eastAsia="Times New Roman" w:hAnsi="Times New Roman"/>
                  <w:sz w:val="15"/>
                  <w:szCs w:val="15"/>
                  <w:color w:val="0000EE"/>
                </w:rPr>
                <w:t>(incorporated by reference to Saratoga Investment Corp.’s Current Report on Form 8-K filed on March 10, 2021).</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2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(d)(10)</w:t>
            </w:r>
          </w:p>
        </w:tc>
        <w:tc>
          <w:tcPr>
            <w:tcW w:w="10020" w:type="dxa"/>
            <w:vAlign w:val="bottom"/>
            <w:tcBorders>
              <w:right w:val="single" w:sz="8" w:color="CCEEFF"/>
            </w:tcBorders>
            <w:gridSpan w:val="11"/>
            <w:shd w:val="clear" w:color="auto" w:fill="CCEEFF"/>
          </w:tcPr>
          <w:p>
            <w:pPr>
              <w:spacing w:after="0" w:line="147" w:lineRule="exact"/>
              <w:rPr>
                <w:rFonts w:ascii="Times New Roman" w:cs="Times New Roman" w:eastAsia="Times New Roman" w:hAnsi="Times New Roman"/>
                <w:sz w:val="15"/>
                <w:szCs w:val="15"/>
                <w:color w:val="0000EE"/>
              </w:rPr>
            </w:pPr>
            <w:hyperlink r:id="rId150">
              <w:r>
                <w:rPr>
                  <w:rFonts w:ascii="Times New Roman" w:cs="Times New Roman" w:eastAsia="Times New Roman" w:hAnsi="Times New Roman"/>
                  <w:sz w:val="15"/>
                  <w:szCs w:val="15"/>
                  <w:color w:val="0000EE"/>
                </w:rPr>
                <w:t>Form of 4.375% Notes due 2026 (incorporated by reference to Exhibit (d)(9) hereto).</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(d)(11)</w:t>
            </w:r>
          </w:p>
        </w:tc>
        <w:tc>
          <w:tcPr>
            <w:tcW w:w="10020" w:type="dxa"/>
            <w:vAlign w:val="bottom"/>
            <w:tcBorders>
              <w:bottom w:val="single" w:sz="8" w:color="0000EE"/>
              <w:right w:val="single" w:sz="8" w:color="CCEEFF"/>
            </w:tcBorders>
            <w:gridSpan w:val="11"/>
            <w:shd w:val="clear" w:color="auto" w:fill="CCEEFF"/>
          </w:tcPr>
          <w:p>
            <w:pPr>
              <w:spacing w:after="0" w:line="147" w:lineRule="exact"/>
              <w:rPr>
                <w:rFonts w:ascii="Times New Roman" w:cs="Times New Roman" w:eastAsia="Times New Roman" w:hAnsi="Times New Roman"/>
                <w:sz w:val="15"/>
                <w:szCs w:val="15"/>
                <w:color w:val="0000EE"/>
                <w:w w:val="99"/>
              </w:rPr>
            </w:pPr>
            <w:hyperlink r:id="rId151">
              <w:r>
                <w:rPr>
                  <w:rFonts w:ascii="Times New Roman" w:cs="Times New Roman" w:eastAsia="Times New Roman" w:hAnsi="Times New Roman"/>
                  <w:sz w:val="15"/>
                  <w:szCs w:val="15"/>
                  <w:color w:val="0000EE"/>
                  <w:w w:val="99"/>
                </w:rPr>
                <w:t>Ninth Supplemental Indenture between Saratoga Investment Corp. and U.S. Bank National Association, as trustee, relating to the 4.35% Notes due 2027 (incorporated</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tcBorders>
              <w:right w:val="single" w:sz="8" w:color="CCEEFF"/>
            </w:tcBorders>
            <w:gridSpan w:val="11"/>
            <w:shd w:val="clear" w:color="auto" w:fill="CCEEFF"/>
          </w:tcPr>
          <w:p>
            <w:pPr>
              <w:spacing w:after="0" w:line="161" w:lineRule="exact"/>
              <w:rPr>
                <w:rFonts w:ascii="Times New Roman" w:cs="Times New Roman" w:eastAsia="Times New Roman" w:hAnsi="Times New Roman"/>
                <w:sz w:val="15"/>
                <w:szCs w:val="15"/>
                <w:color w:val="0000EE"/>
              </w:rPr>
            </w:pPr>
            <w:hyperlink r:id="rId151">
              <w:r>
                <w:rPr>
                  <w:rFonts w:ascii="Times New Roman" w:cs="Times New Roman" w:eastAsia="Times New Roman" w:hAnsi="Times New Roman"/>
                  <w:sz w:val="15"/>
                  <w:szCs w:val="15"/>
                  <w:color w:val="0000EE"/>
                </w:rPr>
                <w:t>by reference to Saratoga Investment Corp.’s Current Report on Form 8-K filed on January 19, 2022).</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2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(d)(12)</w:t>
            </w:r>
          </w:p>
        </w:tc>
        <w:tc>
          <w:tcPr>
            <w:tcW w:w="10020" w:type="dxa"/>
            <w:vAlign w:val="bottom"/>
            <w:tcBorders>
              <w:right w:val="single" w:sz="8" w:color="CCEEFF"/>
            </w:tcBorders>
            <w:gridSpan w:val="11"/>
            <w:shd w:val="clear" w:color="auto" w:fill="CCEEFF"/>
          </w:tcPr>
          <w:p>
            <w:pPr>
              <w:spacing w:after="0" w:line="147" w:lineRule="exact"/>
              <w:rPr>
                <w:rFonts w:ascii="Times New Roman" w:cs="Times New Roman" w:eastAsia="Times New Roman" w:hAnsi="Times New Roman"/>
                <w:sz w:val="15"/>
                <w:szCs w:val="15"/>
                <w:color w:val="0000EE"/>
              </w:rPr>
            </w:pPr>
            <w:hyperlink r:id="rId151">
              <w:r>
                <w:rPr>
                  <w:rFonts w:ascii="Times New Roman" w:cs="Times New Roman" w:eastAsia="Times New Roman" w:hAnsi="Times New Roman"/>
                  <w:sz w:val="15"/>
                  <w:szCs w:val="15"/>
                  <w:color w:val="0000EE"/>
                </w:rPr>
                <w:t>Form of 4.35% Notes due 2027 (incorporated by reference to Exhibit (d)(11) hereto).</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(d)(13)</w:t>
            </w:r>
          </w:p>
        </w:tc>
        <w:tc>
          <w:tcPr>
            <w:tcW w:w="10020" w:type="dxa"/>
            <w:vAlign w:val="bottom"/>
            <w:tcBorders>
              <w:bottom w:val="single" w:sz="8" w:color="0000EE"/>
              <w:right w:val="single" w:sz="8" w:color="CCEEFF"/>
            </w:tcBorders>
            <w:gridSpan w:val="11"/>
            <w:shd w:val="clear" w:color="auto" w:fill="CCEEFF"/>
          </w:tcPr>
          <w:p>
            <w:pPr>
              <w:spacing w:after="0" w:line="147" w:lineRule="exact"/>
              <w:rPr>
                <w:rFonts w:ascii="Times New Roman" w:cs="Times New Roman" w:eastAsia="Times New Roman" w:hAnsi="Times New Roman"/>
                <w:sz w:val="15"/>
                <w:szCs w:val="15"/>
                <w:color w:val="0000EE"/>
              </w:rPr>
            </w:pPr>
            <w:hyperlink r:id="rId152">
              <w:r>
                <w:rPr>
                  <w:rFonts w:ascii="Times New Roman" w:cs="Times New Roman" w:eastAsia="Times New Roman" w:hAnsi="Times New Roman"/>
                  <w:sz w:val="15"/>
                  <w:szCs w:val="15"/>
                  <w:color w:val="0000EE"/>
                </w:rPr>
                <w:t>Tenth Supplemental Indenture between Saratoga Investment Corp. and U.S. Bank Trust Company, National Association (as successor in interest to U.S. Bank</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20" w:type="dxa"/>
            <w:vAlign w:val="bottom"/>
            <w:tcBorders>
              <w:bottom w:val="single" w:sz="8" w:color="0000EE"/>
              <w:right w:val="single" w:sz="8" w:color="CCEEFF"/>
            </w:tcBorders>
            <w:gridSpan w:val="11"/>
            <w:shd w:val="clear" w:color="auto" w:fill="CCEEFF"/>
          </w:tcPr>
          <w:p>
            <w:pPr>
              <w:spacing w:after="0" w:line="161" w:lineRule="exact"/>
              <w:rPr>
                <w:rFonts w:ascii="Times New Roman" w:cs="Times New Roman" w:eastAsia="Times New Roman" w:hAnsi="Times New Roman"/>
                <w:sz w:val="15"/>
                <w:szCs w:val="15"/>
                <w:color w:val="0000EE"/>
              </w:rPr>
            </w:pPr>
            <w:hyperlink r:id="rId152">
              <w:r>
                <w:rPr>
                  <w:rFonts w:ascii="Times New Roman" w:cs="Times New Roman" w:eastAsia="Times New Roman" w:hAnsi="Times New Roman"/>
                  <w:sz w:val="15"/>
                  <w:szCs w:val="15"/>
                  <w:color w:val="0000EE"/>
                </w:rPr>
                <w:t>National Association), as trustee, relating to the 6.00% Notes due 2027 (incorporated by reference to Saratoga Investment Corp.’s Current Report on Form 8-K filed</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tcBorders>
              <w:right w:val="single" w:sz="8" w:color="CCEEFF"/>
            </w:tcBorders>
            <w:gridSpan w:val="11"/>
            <w:shd w:val="clear" w:color="auto" w:fill="CCEEFF"/>
          </w:tcPr>
          <w:p>
            <w:pPr>
              <w:spacing w:after="0" w:line="161" w:lineRule="exact"/>
              <w:rPr>
                <w:rFonts w:ascii="Times New Roman" w:cs="Times New Roman" w:eastAsia="Times New Roman" w:hAnsi="Times New Roman"/>
                <w:sz w:val="15"/>
                <w:szCs w:val="15"/>
                <w:color w:val="0000EE"/>
              </w:rPr>
            </w:pPr>
            <w:hyperlink r:id="rId152">
              <w:r>
                <w:rPr>
                  <w:rFonts w:ascii="Times New Roman" w:cs="Times New Roman" w:eastAsia="Times New Roman" w:hAnsi="Times New Roman"/>
                  <w:sz w:val="15"/>
                  <w:szCs w:val="15"/>
                  <w:color w:val="0000EE"/>
                </w:rPr>
                <w:t>on April 27, 2022).</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6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2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(d)(14)</w:t>
            </w:r>
          </w:p>
        </w:tc>
        <w:tc>
          <w:tcPr>
            <w:tcW w:w="10020" w:type="dxa"/>
            <w:vAlign w:val="bottom"/>
            <w:tcBorders>
              <w:right w:val="single" w:sz="8" w:color="CCEEFF"/>
            </w:tcBorders>
            <w:gridSpan w:val="11"/>
            <w:shd w:val="clear" w:color="auto" w:fill="CCEEFF"/>
          </w:tcPr>
          <w:p>
            <w:pPr>
              <w:spacing w:after="0" w:line="147" w:lineRule="exact"/>
              <w:rPr>
                <w:rFonts w:ascii="Times New Roman" w:cs="Times New Roman" w:eastAsia="Times New Roman" w:hAnsi="Times New Roman"/>
                <w:sz w:val="15"/>
                <w:szCs w:val="15"/>
                <w:color w:val="0000EE"/>
              </w:rPr>
            </w:pPr>
            <w:hyperlink r:id="rId152">
              <w:r>
                <w:rPr>
                  <w:rFonts w:ascii="Times New Roman" w:cs="Times New Roman" w:eastAsia="Times New Roman" w:hAnsi="Times New Roman"/>
                  <w:sz w:val="15"/>
                  <w:szCs w:val="15"/>
                  <w:color w:val="0000EE"/>
                </w:rPr>
                <w:t>Form of 6.00% Notes due 2027 (incorporated by reference to Exhibit (d)(13) hereto).</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(d)(15)</w:t>
            </w:r>
          </w:p>
        </w:tc>
        <w:tc>
          <w:tcPr>
            <w:tcW w:w="10020" w:type="dxa"/>
            <w:vAlign w:val="bottom"/>
            <w:tcBorders>
              <w:bottom w:val="single" w:sz="8" w:color="0000EE"/>
              <w:right w:val="single" w:sz="8" w:color="CCEEFF"/>
            </w:tcBorders>
            <w:gridSpan w:val="11"/>
            <w:shd w:val="clear" w:color="auto" w:fill="CCEEFF"/>
          </w:tcPr>
          <w:p>
            <w:pPr>
              <w:spacing w:after="0" w:line="147" w:lineRule="exact"/>
              <w:rPr>
                <w:rFonts w:ascii="Times New Roman" w:cs="Times New Roman" w:eastAsia="Times New Roman" w:hAnsi="Times New Roman"/>
                <w:sz w:val="15"/>
                <w:szCs w:val="15"/>
                <w:color w:val="0000EE"/>
              </w:rPr>
            </w:pPr>
            <w:hyperlink r:id="rId153">
              <w:r>
                <w:rPr>
                  <w:rFonts w:ascii="Times New Roman" w:cs="Times New Roman" w:eastAsia="Times New Roman" w:hAnsi="Times New Roman"/>
                  <w:sz w:val="15"/>
                  <w:szCs w:val="15"/>
                  <w:color w:val="0000EE"/>
                </w:rPr>
                <w:t>Twelfth Supplemental Indenture between Saratoga Investment Corp. and U.S. Bank Trust Company, National Association (as successor in interest to U.S. Bank</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20" w:type="dxa"/>
            <w:vAlign w:val="bottom"/>
            <w:tcBorders>
              <w:bottom w:val="single" w:sz="8" w:color="0000EE"/>
              <w:right w:val="single" w:sz="8" w:color="CCEEFF"/>
            </w:tcBorders>
            <w:gridSpan w:val="11"/>
            <w:shd w:val="clear" w:color="auto" w:fill="CCEEFF"/>
          </w:tcPr>
          <w:p>
            <w:pPr>
              <w:spacing w:after="0" w:line="161" w:lineRule="exact"/>
              <w:rPr>
                <w:rFonts w:ascii="Times New Roman" w:cs="Times New Roman" w:eastAsia="Times New Roman" w:hAnsi="Times New Roman"/>
                <w:sz w:val="15"/>
                <w:szCs w:val="15"/>
                <w:color w:val="0000EE"/>
              </w:rPr>
            </w:pPr>
            <w:hyperlink r:id="rId153">
              <w:r>
                <w:rPr>
                  <w:rFonts w:ascii="Times New Roman" w:cs="Times New Roman" w:eastAsia="Times New Roman" w:hAnsi="Times New Roman"/>
                  <w:sz w:val="15"/>
                  <w:szCs w:val="15"/>
                  <w:color w:val="0000EE"/>
                </w:rPr>
                <w:t>National Association), as trustee, relating to the 8.00% Notes due 2027 (incorporated by reference to Saratoga Investment Corp.’s Current Report on Form 8-K filed</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tcBorders>
              <w:right w:val="single" w:sz="8" w:color="CCEEFF"/>
            </w:tcBorders>
            <w:gridSpan w:val="11"/>
            <w:shd w:val="clear" w:color="auto" w:fill="CCEEFF"/>
          </w:tcPr>
          <w:p>
            <w:pPr>
              <w:spacing w:after="0" w:line="161" w:lineRule="exact"/>
              <w:rPr>
                <w:rFonts w:ascii="Times New Roman" w:cs="Times New Roman" w:eastAsia="Times New Roman" w:hAnsi="Times New Roman"/>
                <w:sz w:val="15"/>
                <w:szCs w:val="15"/>
                <w:color w:val="0000EE"/>
              </w:rPr>
            </w:pPr>
            <w:hyperlink r:id="rId153">
              <w:r>
                <w:rPr>
                  <w:rFonts w:ascii="Times New Roman" w:cs="Times New Roman" w:eastAsia="Times New Roman" w:hAnsi="Times New Roman"/>
                  <w:sz w:val="15"/>
                  <w:szCs w:val="15"/>
                  <w:color w:val="0000EE"/>
                </w:rPr>
                <w:t>on October 27, 2022).</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6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2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(d)(16)</w:t>
            </w:r>
          </w:p>
        </w:tc>
        <w:tc>
          <w:tcPr>
            <w:tcW w:w="10020" w:type="dxa"/>
            <w:vAlign w:val="bottom"/>
            <w:tcBorders>
              <w:right w:val="single" w:sz="8" w:color="CCEEFF"/>
            </w:tcBorders>
            <w:gridSpan w:val="11"/>
            <w:shd w:val="clear" w:color="auto" w:fill="CCEEFF"/>
          </w:tcPr>
          <w:p>
            <w:pPr>
              <w:spacing w:after="0" w:line="147" w:lineRule="exact"/>
              <w:rPr>
                <w:rFonts w:ascii="Times New Roman" w:cs="Times New Roman" w:eastAsia="Times New Roman" w:hAnsi="Times New Roman"/>
                <w:sz w:val="15"/>
                <w:szCs w:val="15"/>
                <w:color w:val="0000EE"/>
              </w:rPr>
            </w:pPr>
            <w:hyperlink r:id="rId154">
              <w:r>
                <w:rPr>
                  <w:rFonts w:ascii="Times New Roman" w:cs="Times New Roman" w:eastAsia="Times New Roman" w:hAnsi="Times New Roman"/>
                  <w:sz w:val="15"/>
                  <w:szCs w:val="15"/>
                  <w:color w:val="0000EE"/>
                </w:rPr>
                <w:t>Form of 8.00% Notes due 2027 (incorporated by reference to Exhibit (d)(15) hereto).</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(d)(17)</w:t>
            </w:r>
          </w:p>
        </w:tc>
        <w:tc>
          <w:tcPr>
            <w:tcW w:w="10020" w:type="dxa"/>
            <w:vAlign w:val="bottom"/>
            <w:tcBorders>
              <w:right w:val="single" w:sz="8" w:color="CCEEFF"/>
            </w:tcBorders>
            <w:gridSpan w:val="11"/>
            <w:shd w:val="clear" w:color="auto" w:fill="CCEEFF"/>
          </w:tcPr>
          <w:p>
            <w:pPr>
              <w:spacing w:after="0" w:line="147" w:lineRule="exact"/>
              <w:rPr>
                <w:rFonts w:ascii="Times New Roman" w:cs="Times New Roman" w:eastAsia="Times New Roman" w:hAnsi="Times New Roman"/>
                <w:sz w:val="15"/>
                <w:szCs w:val="15"/>
                <w:color w:val="0000EE"/>
              </w:rPr>
            </w:pPr>
            <w:hyperlink r:id="rId155">
              <w:r>
                <w:rPr>
                  <w:rFonts w:ascii="Times New Roman" w:cs="Times New Roman" w:eastAsia="Times New Roman" w:hAnsi="Times New Roman"/>
                  <w:sz w:val="15"/>
                  <w:szCs w:val="15"/>
                  <w:color w:val="0000EE"/>
                </w:rPr>
                <w:t>Thirteenth Supplemental Indenture between Saratoga Investment Corp. and U.S. Bank Trust Company, National Association (as successor in interest to U.S. Bank</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4820" w:type="dxa"/>
            <w:vAlign w:val="bottom"/>
            <w:tcBorders>
              <w:right w:val="single" w:sz="8" w:color="CCEEFF"/>
            </w:tcBorders>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20" w:type="dxa"/>
            <w:vAlign w:val="bottom"/>
            <w:tcBorders>
              <w:bottom w:val="single" w:sz="8" w:color="0000EE"/>
              <w:right w:val="single" w:sz="8" w:color="CCEEFF"/>
            </w:tcBorders>
            <w:gridSpan w:val="11"/>
            <w:shd w:val="clear" w:color="auto" w:fill="CCEEFF"/>
          </w:tcPr>
          <w:p>
            <w:pPr>
              <w:spacing w:after="0" w:line="161" w:lineRule="exact"/>
              <w:rPr>
                <w:rFonts w:ascii="Times New Roman" w:cs="Times New Roman" w:eastAsia="Times New Roman" w:hAnsi="Times New Roman"/>
                <w:sz w:val="15"/>
                <w:szCs w:val="15"/>
                <w:color w:val="0000EE"/>
              </w:rPr>
            </w:pPr>
            <w:hyperlink r:id="rId155">
              <w:r>
                <w:rPr>
                  <w:rFonts w:ascii="Times New Roman" w:cs="Times New Roman" w:eastAsia="Times New Roman" w:hAnsi="Times New Roman"/>
                  <w:sz w:val="15"/>
                  <w:szCs w:val="15"/>
                  <w:color w:val="0000EE"/>
                </w:rPr>
                <w:t>National Association), as trustee, relating to the 8.125% Notes due 2027 (incorporated by reference to Saratoga Investment Corp.’s Current Report on Form 8-K filed</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tcBorders>
              <w:right w:val="single" w:sz="8" w:color="CCEEFF"/>
            </w:tcBorders>
            <w:gridSpan w:val="11"/>
            <w:shd w:val="clear" w:color="auto" w:fill="CCEEFF"/>
          </w:tcPr>
          <w:p>
            <w:pPr>
              <w:spacing w:after="0" w:line="161" w:lineRule="exact"/>
              <w:rPr>
                <w:rFonts w:ascii="Times New Roman" w:cs="Times New Roman" w:eastAsia="Times New Roman" w:hAnsi="Times New Roman"/>
                <w:sz w:val="15"/>
                <w:szCs w:val="15"/>
                <w:color w:val="0000EE"/>
              </w:rPr>
            </w:pPr>
            <w:hyperlink r:id="rId155">
              <w:r>
                <w:rPr>
                  <w:rFonts w:ascii="Times New Roman" w:cs="Times New Roman" w:eastAsia="Times New Roman" w:hAnsi="Times New Roman"/>
                  <w:sz w:val="15"/>
                  <w:szCs w:val="15"/>
                  <w:color w:val="0000EE"/>
                </w:rPr>
                <w:t>on December 13, 2022).</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6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2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(d)(18)</w:t>
            </w:r>
          </w:p>
        </w:tc>
        <w:tc>
          <w:tcPr>
            <w:tcW w:w="10020" w:type="dxa"/>
            <w:vAlign w:val="bottom"/>
            <w:tcBorders>
              <w:right w:val="single" w:sz="8" w:color="CCEEFF"/>
            </w:tcBorders>
            <w:gridSpan w:val="11"/>
            <w:shd w:val="clear" w:color="auto" w:fill="CCEEFF"/>
          </w:tcPr>
          <w:p>
            <w:pPr>
              <w:spacing w:after="0" w:line="147" w:lineRule="exact"/>
              <w:rPr>
                <w:rFonts w:ascii="Times New Roman" w:cs="Times New Roman" w:eastAsia="Times New Roman" w:hAnsi="Times New Roman"/>
                <w:sz w:val="15"/>
                <w:szCs w:val="15"/>
                <w:color w:val="0000EE"/>
              </w:rPr>
            </w:pPr>
            <w:hyperlink r:id="rId156">
              <w:r>
                <w:rPr>
                  <w:rFonts w:ascii="Times New Roman" w:cs="Times New Roman" w:eastAsia="Times New Roman" w:hAnsi="Times New Roman"/>
                  <w:sz w:val="15"/>
                  <w:szCs w:val="15"/>
                  <w:color w:val="0000EE"/>
                </w:rPr>
                <w:t>Form of 8.125% Notes due 2027 (incorporated by reference to Exhibit (d)(17) hereto).</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6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(d)(19)</w:t>
            </w:r>
          </w:p>
        </w:tc>
        <w:tc>
          <w:tcPr>
            <w:tcW w:w="10020" w:type="dxa"/>
            <w:vAlign w:val="bottom"/>
            <w:tcBorders>
              <w:bottom w:val="single" w:sz="8" w:color="0000EE"/>
              <w:right w:val="single" w:sz="8" w:color="CCEEFF"/>
            </w:tcBorders>
            <w:gridSpan w:val="11"/>
            <w:shd w:val="clear" w:color="auto" w:fill="CCEEFF"/>
          </w:tcPr>
          <w:p>
            <w:pPr>
              <w:spacing w:after="0" w:line="147" w:lineRule="exact"/>
              <w:rPr>
                <w:rFonts w:ascii="Times New Roman" w:cs="Times New Roman" w:eastAsia="Times New Roman" w:hAnsi="Times New Roman"/>
                <w:sz w:val="15"/>
                <w:szCs w:val="15"/>
                <w:color w:val="0000EE"/>
              </w:rPr>
            </w:pPr>
            <w:hyperlink r:id="rId157">
              <w:r>
                <w:rPr>
                  <w:rFonts w:ascii="Times New Roman" w:cs="Times New Roman" w:eastAsia="Times New Roman" w:hAnsi="Times New Roman"/>
                  <w:sz w:val="15"/>
                  <w:szCs w:val="15"/>
                  <w:color w:val="0000EE"/>
                </w:rPr>
                <w:t>Fifteenth Supplemental Indenture between Saratoga Investment Corp. and U.S. Bank Trust Company, National Association (as successor in interest to U.S. Bank</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20" w:type="dxa"/>
            <w:vAlign w:val="bottom"/>
            <w:tcBorders>
              <w:bottom w:val="single" w:sz="8" w:color="0000EE"/>
              <w:right w:val="single" w:sz="8" w:color="CCEEFF"/>
            </w:tcBorders>
            <w:gridSpan w:val="11"/>
            <w:shd w:val="clear" w:color="auto" w:fill="CCEEFF"/>
          </w:tcPr>
          <w:p>
            <w:pPr>
              <w:spacing w:after="0" w:line="161" w:lineRule="exact"/>
              <w:rPr>
                <w:rFonts w:ascii="Times New Roman" w:cs="Times New Roman" w:eastAsia="Times New Roman" w:hAnsi="Times New Roman"/>
                <w:sz w:val="15"/>
                <w:szCs w:val="15"/>
                <w:color w:val="0000EE"/>
              </w:rPr>
            </w:pPr>
            <w:hyperlink r:id="rId157">
              <w:r>
                <w:rPr>
                  <w:rFonts w:ascii="Times New Roman" w:cs="Times New Roman" w:eastAsia="Times New Roman" w:hAnsi="Times New Roman"/>
                  <w:sz w:val="15"/>
                  <w:szCs w:val="15"/>
                  <w:color w:val="0000EE"/>
                </w:rPr>
                <w:t>National Association), as trustee, relating to the 8.50% Notes due 2028 (incorporated by reference to Saratoga Investment Corp.’s Current Report on Form 8-K filed</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tcBorders>
              <w:right w:val="single" w:sz="8" w:color="CCEEFF"/>
            </w:tcBorders>
            <w:gridSpan w:val="11"/>
            <w:shd w:val="clear" w:color="auto" w:fill="CCEEFF"/>
          </w:tcPr>
          <w:p>
            <w:pPr>
              <w:spacing w:after="0" w:line="161" w:lineRule="exact"/>
              <w:rPr>
                <w:rFonts w:ascii="Times New Roman" w:cs="Times New Roman" w:eastAsia="Times New Roman" w:hAnsi="Times New Roman"/>
                <w:sz w:val="15"/>
                <w:szCs w:val="15"/>
                <w:color w:val="0000EE"/>
              </w:rPr>
            </w:pPr>
            <w:hyperlink r:id="rId157">
              <w:r>
                <w:rPr>
                  <w:rFonts w:ascii="Times New Roman" w:cs="Times New Roman" w:eastAsia="Times New Roman" w:hAnsi="Times New Roman"/>
                  <w:sz w:val="15"/>
                  <w:szCs w:val="15"/>
                  <w:color w:val="0000EE"/>
                </w:rPr>
                <w:t>on April 14, 2023).</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6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(d)(20)</w:t>
            </w:r>
          </w:p>
        </w:tc>
        <w:tc>
          <w:tcPr>
            <w:tcW w:w="5120" w:type="dxa"/>
            <w:vAlign w:val="bottom"/>
            <w:tcBorders>
              <w:bottom w:val="single" w:sz="8" w:color="0000EE"/>
            </w:tcBorders>
            <w:gridSpan w:val="5"/>
            <w:shd w:val="clear" w:color="auto" w:fill="CCEEFF"/>
          </w:tcPr>
          <w:p>
            <w:pPr>
              <w:spacing w:after="0" w:line="147" w:lineRule="exact"/>
              <w:rPr>
                <w:rFonts w:ascii="Times New Roman" w:cs="Times New Roman" w:eastAsia="Times New Roman" w:hAnsi="Times New Roman"/>
                <w:sz w:val="15"/>
                <w:szCs w:val="15"/>
                <w:color w:val="0000EE"/>
                <w:w w:val="99"/>
              </w:rPr>
            </w:pPr>
            <w:hyperlink r:id="rId157">
              <w:r>
                <w:rPr>
                  <w:rFonts w:ascii="Times New Roman" w:cs="Times New Roman" w:eastAsia="Times New Roman" w:hAnsi="Times New Roman"/>
                  <w:sz w:val="15"/>
                  <w:szCs w:val="15"/>
                  <w:color w:val="0000EE"/>
                  <w:w w:val="99"/>
                </w:rPr>
                <w:t>Form of 8.50% Notes due 2028 (incorporated by reference to Exhibit (d)(19) hereto).</w:t>
              </w:r>
            </w:hyperlink>
          </w:p>
        </w:tc>
        <w:tc>
          <w:tcPr>
            <w:tcW w:w="4900" w:type="dxa"/>
            <w:vAlign w:val="bottom"/>
            <w:tcBorders>
              <w:bottom w:val="single" w:sz="8" w:color="CCEEFF"/>
              <w:right w:val="single" w:sz="8" w:color="CCEEFF"/>
            </w:tcBorders>
            <w:gridSpan w:val="6"/>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250" w:right="20" w:hanging="1250"/>
        <w:spacing w:after="0" w:line="283" w:lineRule="auto"/>
        <w:tabs>
          <w:tab w:leader="none" w:pos="1250" w:val="left"/>
        </w:tabs>
        <w:numPr>
          <w:ilvl w:val="0"/>
          <w:numId w:val="57"/>
        </w:numPr>
        <w:rPr>
          <w:rFonts w:ascii="Times New Roman" w:cs="Times New Roman" w:eastAsia="Times New Roman" w:hAnsi="Times New Roman"/>
          <w:sz w:val="15"/>
          <w:szCs w:val="15"/>
          <w:u w:val="single" w:color="auto"/>
          <w:color w:val="0000EE"/>
        </w:rPr>
      </w:pPr>
      <w:hyperlink r:id="rId158">
        <w:r>
          <w:rPr>
            <w:rFonts w:ascii="Times New Roman" w:cs="Times New Roman" w:eastAsia="Times New Roman" w:hAnsi="Times New Roman"/>
            <w:sz w:val="15"/>
            <w:szCs w:val="15"/>
            <w:u w:val="single" w:color="auto"/>
            <w:color w:val="0000EE"/>
          </w:rPr>
          <w:t>Dividend Reinvestment Plan (incorporated by reference to Saratoga Investment Corp.'s Registration Statement on Form N-2, File No. 333-256366, filed May 31,</w:t>
        </w:r>
      </w:hyperlink>
      <w:r>
        <w:rPr>
          <w:rFonts w:ascii="Times New Roman" w:cs="Times New Roman" w:eastAsia="Times New Roman" w:hAnsi="Times New Roman"/>
          <w:sz w:val="15"/>
          <w:szCs w:val="15"/>
          <w:u w:val="single" w:color="auto"/>
          <w:color w:val="0000EE"/>
        </w:rPr>
        <w:t xml:space="preserve"> </w:t>
      </w:r>
      <w:hyperlink r:id="rId158">
        <w:r>
          <w:rPr>
            <w:rFonts w:ascii="Times New Roman" w:cs="Times New Roman" w:eastAsia="Times New Roman" w:hAnsi="Times New Roman"/>
            <w:sz w:val="15"/>
            <w:szCs w:val="15"/>
            <w:u w:val="single" w:color="auto"/>
            <w:color w:val="0000EE"/>
          </w:rPr>
          <w:t>2021).</w:t>
        </w:r>
      </w:hyperlink>
    </w:p>
    <w:p>
      <w:pPr>
        <w:spacing w:after="0" w:line="134" w:lineRule="exact"/>
        <w:rPr>
          <w:rFonts w:ascii="Times New Roman" w:cs="Times New Roman" w:eastAsia="Times New Roman" w:hAnsi="Times New Roman"/>
          <w:sz w:val="15"/>
          <w:szCs w:val="15"/>
          <w:u w:val="single" w:color="auto"/>
          <w:color w:val="0000EE"/>
        </w:rPr>
      </w:pPr>
    </w:p>
    <w:p>
      <w:pPr>
        <w:ind w:left="1250" w:hanging="1250"/>
        <w:spacing w:after="0"/>
        <w:tabs>
          <w:tab w:leader="none" w:pos="125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applicable.</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0</wp:posOffset>
            </wp:positionH>
            <wp:positionV relativeFrom="paragraph">
              <wp:posOffset>-443230</wp:posOffset>
            </wp:positionV>
            <wp:extent cx="7155180" cy="2292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155180" cy="2292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-99695</wp:posOffset>
            </wp:positionV>
            <wp:extent cx="7155180" cy="1143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349" w:lineRule="exact"/>
        <w:rPr>
          <w:rFonts w:ascii="Times New Roman" w:cs="Times New Roman" w:eastAsia="Times New Roman" w:hAnsi="Times New Roman"/>
          <w:sz w:val="15"/>
          <w:szCs w:val="15"/>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C-2</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45" w:right="319" w:bottom="1440" w:gutter="0" w:footer="0" w:header="0"/>
        </w:sectPr>
      </w:pPr>
    </w:p>
    <w:bookmarkStart w:id="92" w:name="page93"/>
    <w:bookmarkEnd w:id="92"/>
    <w:p>
      <w:pPr>
        <w:ind w:left="1250" w:hanging="1250"/>
        <w:spacing w:after="0" w:line="283" w:lineRule="auto"/>
        <w:tabs>
          <w:tab w:leader="none" w:pos="1250" w:val="left"/>
        </w:tabs>
        <w:numPr>
          <w:ilvl w:val="0"/>
          <w:numId w:val="58"/>
        </w:numPr>
        <w:rPr>
          <w:rFonts w:ascii="Times New Roman" w:cs="Times New Roman" w:eastAsia="Times New Roman" w:hAnsi="Times New Roman"/>
          <w:sz w:val="15"/>
          <w:szCs w:val="15"/>
          <w:u w:val="single" w:color="auto"/>
          <w:color w:val="0000EE"/>
        </w:rPr>
      </w:pPr>
      <w:hyperlink r:id="rId162">
        <w:r>
          <w:rPr>
            <w:rFonts w:ascii="Times New Roman" w:cs="Times New Roman" w:eastAsia="Times New Roman" w:hAnsi="Times New Roman"/>
            <w:sz w:val="15"/>
            <w:szCs w:val="15"/>
            <w:u w:val="single" w:color="auto"/>
            <w:color w:val="0000EE"/>
          </w:rPr>
          <w:t>Investment Advisory and Management Agreement dated July 30, 2010 between Saratoga Investment Corp. and Saratoga Investment Advisors, LLC (incorporated by</w:t>
        </w:r>
      </w:hyperlink>
      <w:r>
        <w:rPr>
          <w:rFonts w:ascii="Times New Roman" w:cs="Times New Roman" w:eastAsia="Times New Roman" w:hAnsi="Times New Roman"/>
          <w:sz w:val="15"/>
          <w:szCs w:val="15"/>
          <w:u w:val="single" w:color="auto"/>
          <w:color w:val="0000EE"/>
        </w:rPr>
        <w:t xml:space="preserve"> </w:t>
      </w:r>
      <w:hyperlink r:id="rId162">
        <w:r>
          <w:rPr>
            <w:rFonts w:ascii="Times New Roman" w:cs="Times New Roman" w:eastAsia="Times New Roman" w:hAnsi="Times New Roman"/>
            <w:sz w:val="15"/>
            <w:szCs w:val="15"/>
            <w:u w:val="single" w:color="auto"/>
            <w:color w:val="0000EE"/>
          </w:rPr>
          <w:t>reference to Amendment No. 1 to Saratoga Investment Corp.’s Registration Statement on Form N-2, File No. 333-196526, filed on December 5, 2014).</w:t>
        </w:r>
      </w:hyperlink>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0</wp:posOffset>
            </wp:positionH>
            <wp:positionV relativeFrom="paragraph">
              <wp:posOffset>-248285</wp:posOffset>
            </wp:positionV>
            <wp:extent cx="7155180" cy="2292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155180" cy="229235"/>
                    </a:xfrm>
                    <a:prstGeom prst="rect">
                      <a:avLst/>
                    </a:prstGeom>
                    <a:noFill/>
                  </pic:spPr>
                </pic:pic>
              </a:graphicData>
            </a:graphic>
          </wp:anchor>
        </w:drawing>
      </w:r>
    </w:p>
    <w:p>
      <w:pPr>
        <w:spacing w:after="0" w:line="103" w:lineRule="exact"/>
        <w:rPr>
          <w:rFonts w:ascii="Times New Roman" w:cs="Times New Roman" w:eastAsia="Times New Roman" w:hAnsi="Times New Roman"/>
          <w:sz w:val="15"/>
          <w:szCs w:val="15"/>
          <w:color w:val="auto"/>
        </w:rPr>
      </w:pPr>
    </w:p>
    <w:tbl>
      <w:tblPr>
        <w:tblLayout w:type="fixed"/>
        <w:tblInd w:w="1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(h)(1)</w:t>
            </w:r>
          </w:p>
        </w:tc>
        <w:tc>
          <w:tcPr>
            <w:tcW w:w="10020" w:type="dxa"/>
            <w:vAlign w:val="bottom"/>
            <w:gridSpan w:val="9"/>
            <w:shd w:val="clear" w:color="auto" w:fill="CCEEFF"/>
          </w:tcPr>
          <w:p>
            <w:pPr>
              <w:spacing w:after="0"/>
              <w:rPr>
                <w:rFonts w:ascii="Times New Roman" w:cs="Times New Roman" w:eastAsia="Times New Roman" w:hAnsi="Times New Roman"/>
                <w:sz w:val="15"/>
                <w:szCs w:val="15"/>
                <w:color w:val="0000EE"/>
              </w:rPr>
            </w:pPr>
            <w:hyperlink r:id="rId164">
              <w:r>
                <w:rPr>
                  <w:rFonts w:ascii="Times New Roman" w:cs="Times New Roman" w:eastAsia="Times New Roman" w:hAnsi="Times New Roman"/>
                  <w:sz w:val="15"/>
                  <w:szCs w:val="15"/>
                  <w:color w:val="0000EE"/>
                </w:rPr>
                <w:t>Equity Distribution Agreement, dated July 30, 2021, by and among Saratoga Investment Corp., Saratoga Investment Advisors, LLC, Ladenburg Thalmann &amp; Co. Inc.</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0000EE"/>
            </w:tcBorders>
            <w:gridSpan w:val="8"/>
            <w:shd w:val="clear" w:color="auto" w:fill="CCEEFF"/>
          </w:tcPr>
          <w:p>
            <w:pPr>
              <w:spacing w:after="0" w:line="161" w:lineRule="exact"/>
              <w:rPr>
                <w:rFonts w:ascii="Times New Roman" w:cs="Times New Roman" w:eastAsia="Times New Roman" w:hAnsi="Times New Roman"/>
                <w:sz w:val="15"/>
                <w:szCs w:val="15"/>
                <w:color w:val="0000EE"/>
              </w:rPr>
            </w:pPr>
            <w:hyperlink r:id="rId164">
              <w:r>
                <w:rPr>
                  <w:rFonts w:ascii="Times New Roman" w:cs="Times New Roman" w:eastAsia="Times New Roman" w:hAnsi="Times New Roman"/>
                  <w:sz w:val="15"/>
                  <w:szCs w:val="15"/>
                  <w:color w:val="0000EE"/>
                </w:rPr>
                <w:t>and Compass Point Research &amp; Trading, LLC (incorporated by reference to Saratoga Investment Corp.’s Current Report on Form 8-K filed on August 2, 2021.</w:t>
              </w:r>
            </w:hyperlink>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43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860" w:type="dxa"/>
            <w:vAlign w:val="bottom"/>
            <w:tcBorders>
              <w:top w:val="single" w:sz="8" w:color="0000EE"/>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(h)(2)</w:t>
            </w:r>
          </w:p>
        </w:tc>
        <w:tc>
          <w:tcPr>
            <w:tcW w:w="10020" w:type="dxa"/>
            <w:vAlign w:val="bottom"/>
            <w:tcBorders>
              <w:bottom w:val="single" w:sz="8" w:color="0000EE"/>
            </w:tcBorders>
            <w:gridSpan w:val="9"/>
            <w:shd w:val="clear" w:color="auto" w:fill="CCEEFF"/>
          </w:tcPr>
          <w:p>
            <w:pPr>
              <w:spacing w:after="0" w:line="147" w:lineRule="exact"/>
              <w:rPr>
                <w:rFonts w:ascii="Times New Roman" w:cs="Times New Roman" w:eastAsia="Times New Roman" w:hAnsi="Times New Roman"/>
                <w:sz w:val="15"/>
                <w:szCs w:val="15"/>
                <w:color w:val="0000EE"/>
              </w:rPr>
            </w:pPr>
            <w:hyperlink r:id="rId164">
              <w:r>
                <w:rPr>
                  <w:rFonts w:ascii="Times New Roman" w:cs="Times New Roman" w:eastAsia="Times New Roman" w:hAnsi="Times New Roman"/>
                  <w:sz w:val="15"/>
                  <w:szCs w:val="15"/>
                  <w:color w:val="0000EE"/>
                </w:rPr>
                <w:t>Amendment No. 2 to the Equity Distribution Agreement, dated July 30, 2021, by and among Saratoga Investment Corp. and Saratoga Investment Advisors, LLC, on</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20" w:type="dxa"/>
            <w:vAlign w:val="bottom"/>
            <w:tcBorders>
              <w:bottom w:val="single" w:sz="8" w:color="0000EE"/>
            </w:tcBorders>
            <w:gridSpan w:val="9"/>
            <w:shd w:val="clear" w:color="auto" w:fill="CCEEFF"/>
          </w:tcPr>
          <w:p>
            <w:pPr>
              <w:spacing w:after="0" w:line="161" w:lineRule="exact"/>
              <w:rPr>
                <w:rFonts w:ascii="Times New Roman" w:cs="Times New Roman" w:eastAsia="Times New Roman" w:hAnsi="Times New Roman"/>
                <w:sz w:val="15"/>
                <w:szCs w:val="15"/>
                <w:color w:val="0000EE"/>
              </w:rPr>
            </w:pPr>
            <w:hyperlink r:id="rId164">
              <w:r>
                <w:rPr>
                  <w:rFonts w:ascii="Times New Roman" w:cs="Times New Roman" w:eastAsia="Times New Roman" w:hAnsi="Times New Roman"/>
                  <w:sz w:val="15"/>
                  <w:szCs w:val="15"/>
                  <w:color w:val="0000EE"/>
                </w:rPr>
                <w:t>the one hand, and Ladenburg Thalmann &amp; Co. Inc. and Compass Point Research &amp; Trading, LLC, on the other hand (incorporated by reference to Saratoga</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9"/>
            <w:shd w:val="clear" w:color="auto" w:fill="CCEEFF"/>
          </w:tcPr>
          <w:p>
            <w:pPr>
              <w:spacing w:after="0" w:line="161" w:lineRule="exact"/>
              <w:rPr>
                <w:rFonts w:ascii="Times New Roman" w:cs="Times New Roman" w:eastAsia="Times New Roman" w:hAnsi="Times New Roman"/>
                <w:sz w:val="15"/>
                <w:szCs w:val="15"/>
                <w:color w:val="0000EE"/>
              </w:rPr>
            </w:pPr>
            <w:hyperlink r:id="rId164">
              <w:r>
                <w:rPr>
                  <w:rFonts w:ascii="Times New Roman" w:cs="Times New Roman" w:eastAsia="Times New Roman" w:hAnsi="Times New Roman"/>
                  <w:sz w:val="15"/>
                  <w:szCs w:val="15"/>
                  <w:color w:val="0000EE"/>
                </w:rPr>
                <w:t>Investment Corp.’s Current Report on Form 8-K filed on July 10, 2023).</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434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286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(h)(3)</w:t>
            </w:r>
          </w:p>
        </w:tc>
        <w:tc>
          <w:tcPr>
            <w:tcW w:w="10020" w:type="dxa"/>
            <w:vAlign w:val="bottom"/>
            <w:tcBorders>
              <w:bottom w:val="single" w:sz="8" w:color="0000EE"/>
            </w:tcBorders>
            <w:gridSpan w:val="9"/>
            <w:shd w:val="clear" w:color="auto" w:fill="CCEEFF"/>
          </w:tcPr>
          <w:p>
            <w:pPr>
              <w:spacing w:after="0" w:line="147" w:lineRule="exact"/>
              <w:rPr>
                <w:rFonts w:ascii="Times New Roman" w:cs="Times New Roman" w:eastAsia="Times New Roman" w:hAnsi="Times New Roman"/>
                <w:sz w:val="15"/>
                <w:szCs w:val="15"/>
                <w:color w:val="0000EE"/>
              </w:rPr>
            </w:pPr>
            <w:hyperlink r:id="rId165">
              <w:r>
                <w:rPr>
                  <w:rFonts w:ascii="Times New Roman" w:cs="Times New Roman" w:eastAsia="Times New Roman" w:hAnsi="Times New Roman"/>
                  <w:sz w:val="15"/>
                  <w:szCs w:val="15"/>
                  <w:color w:val="0000EE"/>
                </w:rPr>
                <w:t>Amendment No. 3 to the Equity Distribution Agreement, dated July 30, 2021, by and among Saratoga Investment Corp. and Saratoga Investment Advisors, LLC, on</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20" w:type="dxa"/>
            <w:vAlign w:val="bottom"/>
            <w:tcBorders>
              <w:bottom w:val="single" w:sz="8" w:color="0000EE"/>
            </w:tcBorders>
            <w:gridSpan w:val="9"/>
            <w:shd w:val="clear" w:color="auto" w:fill="CCEEFF"/>
          </w:tcPr>
          <w:p>
            <w:pPr>
              <w:spacing w:after="0" w:line="161" w:lineRule="exact"/>
              <w:rPr>
                <w:rFonts w:ascii="Times New Roman" w:cs="Times New Roman" w:eastAsia="Times New Roman" w:hAnsi="Times New Roman"/>
                <w:sz w:val="15"/>
                <w:szCs w:val="15"/>
                <w:color w:val="0000EE"/>
              </w:rPr>
            </w:pPr>
            <w:hyperlink r:id="rId165">
              <w:r>
                <w:rPr>
                  <w:rFonts w:ascii="Times New Roman" w:cs="Times New Roman" w:eastAsia="Times New Roman" w:hAnsi="Times New Roman"/>
                  <w:sz w:val="15"/>
                  <w:szCs w:val="15"/>
                  <w:color w:val="0000EE"/>
                </w:rPr>
                <w:t>the one hand, and Ladenburg Thalmann &amp; Co. Inc., Compass Point Research and Trading, LLC, and Raymond James &amp; Associates, Inc. on the other hand</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9"/>
            <w:shd w:val="clear" w:color="auto" w:fill="CCEEFF"/>
          </w:tcPr>
          <w:p>
            <w:pPr>
              <w:spacing w:after="0" w:line="161" w:lineRule="exact"/>
              <w:rPr>
                <w:rFonts w:ascii="Times New Roman" w:cs="Times New Roman" w:eastAsia="Times New Roman" w:hAnsi="Times New Roman"/>
                <w:sz w:val="15"/>
                <w:szCs w:val="15"/>
                <w:color w:val="0000EE"/>
              </w:rPr>
            </w:pPr>
            <w:hyperlink r:id="rId165">
              <w:r>
                <w:rPr>
                  <w:rFonts w:ascii="Times New Roman" w:cs="Times New Roman" w:eastAsia="Times New Roman" w:hAnsi="Times New Roman"/>
                  <w:sz w:val="15"/>
                  <w:szCs w:val="15"/>
                  <w:color w:val="0000EE"/>
                </w:rPr>
                <w:t>(incorporated by reference to Saratoga Investment Corp.’s Current Report on Form 8-K filed on July 19, 2023).</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43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86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(h)(4)</w:t>
            </w:r>
          </w:p>
        </w:tc>
        <w:tc>
          <w:tcPr>
            <w:tcW w:w="10020" w:type="dxa"/>
            <w:vAlign w:val="bottom"/>
            <w:tcBorders>
              <w:bottom w:val="single" w:sz="8" w:color="0000EE"/>
            </w:tcBorders>
            <w:gridSpan w:val="9"/>
            <w:shd w:val="clear" w:color="auto" w:fill="CCEEFF"/>
          </w:tcPr>
          <w:p>
            <w:pPr>
              <w:spacing w:after="0" w:line="147" w:lineRule="exact"/>
              <w:rPr>
                <w:rFonts w:ascii="Times New Roman" w:cs="Times New Roman" w:eastAsia="Times New Roman" w:hAnsi="Times New Roman"/>
                <w:sz w:val="15"/>
                <w:szCs w:val="15"/>
                <w:color w:val="0000EE"/>
              </w:rPr>
            </w:pPr>
            <w:hyperlink r:id="rId166">
              <w:r>
                <w:rPr>
                  <w:rFonts w:ascii="Times New Roman" w:cs="Times New Roman" w:eastAsia="Times New Roman" w:hAnsi="Times New Roman"/>
                  <w:sz w:val="15"/>
                  <w:szCs w:val="15"/>
                  <w:color w:val="0000EE"/>
                </w:rPr>
                <w:t>Amendment No. 4 to the Equity Distribution Agreement by and among Saratoga Investment Corp., Saratoga Investment Advisors, LLC, Ladenburg Thalmann &amp; Co.</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20" w:type="dxa"/>
            <w:vAlign w:val="bottom"/>
            <w:tcBorders>
              <w:bottom w:val="single" w:sz="8" w:color="0000EE"/>
            </w:tcBorders>
            <w:gridSpan w:val="9"/>
            <w:shd w:val="clear" w:color="auto" w:fill="CCEEFF"/>
          </w:tcPr>
          <w:p>
            <w:pPr>
              <w:spacing w:after="0" w:line="161" w:lineRule="exact"/>
              <w:rPr>
                <w:rFonts w:ascii="Times New Roman" w:cs="Times New Roman" w:eastAsia="Times New Roman" w:hAnsi="Times New Roman"/>
                <w:sz w:val="15"/>
                <w:szCs w:val="15"/>
                <w:color w:val="0000EE"/>
              </w:rPr>
            </w:pPr>
            <w:hyperlink r:id="rId166">
              <w:r>
                <w:rPr>
                  <w:rFonts w:ascii="Times New Roman" w:cs="Times New Roman" w:eastAsia="Times New Roman" w:hAnsi="Times New Roman"/>
                  <w:sz w:val="15"/>
                  <w:szCs w:val="15"/>
                  <w:color w:val="0000EE"/>
                </w:rPr>
                <w:t>Inc., Compass Point Research and Trading, LLC, Raymond James &amp; Associates, Inc., and Lucid Capital Markets, LLC (incorporated by reference to Saratoga</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9"/>
            <w:shd w:val="clear" w:color="auto" w:fill="CCEEFF"/>
          </w:tcPr>
          <w:p>
            <w:pPr>
              <w:spacing w:after="0" w:line="161" w:lineRule="exact"/>
              <w:rPr>
                <w:rFonts w:ascii="Times New Roman" w:cs="Times New Roman" w:eastAsia="Times New Roman" w:hAnsi="Times New Roman"/>
                <w:sz w:val="15"/>
                <w:szCs w:val="15"/>
                <w:color w:val="0000EE"/>
              </w:rPr>
            </w:pPr>
            <w:hyperlink r:id="rId166">
              <w:r>
                <w:rPr>
                  <w:rFonts w:ascii="Times New Roman" w:cs="Times New Roman" w:eastAsia="Times New Roman" w:hAnsi="Times New Roman"/>
                  <w:sz w:val="15"/>
                  <w:szCs w:val="15"/>
                  <w:color w:val="0000EE"/>
                </w:rPr>
                <w:t>Investment Corp.’s Current Report on Form 8-K filed on May 15, 2024).</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43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286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(h)(5)</w:t>
            </w:r>
          </w:p>
        </w:tc>
        <w:tc>
          <w:tcPr>
            <w:tcW w:w="10020" w:type="dxa"/>
            <w:vAlign w:val="bottom"/>
            <w:tcBorders>
              <w:bottom w:val="single" w:sz="8" w:color="0000EE"/>
            </w:tcBorders>
            <w:gridSpan w:val="9"/>
            <w:shd w:val="clear" w:color="auto" w:fill="CCEEFF"/>
          </w:tcPr>
          <w:p>
            <w:pPr>
              <w:spacing w:after="0" w:line="147" w:lineRule="exact"/>
              <w:rPr>
                <w:rFonts w:ascii="Times New Roman" w:cs="Times New Roman" w:eastAsia="Times New Roman" w:hAnsi="Times New Roman"/>
                <w:sz w:val="15"/>
                <w:szCs w:val="15"/>
                <w:color w:val="0000EE"/>
              </w:rPr>
            </w:pPr>
            <w:hyperlink r:id="rId167">
              <w:r>
                <w:rPr>
                  <w:rFonts w:ascii="Times New Roman" w:cs="Times New Roman" w:eastAsia="Times New Roman" w:hAnsi="Times New Roman"/>
                  <w:sz w:val="15"/>
                  <w:szCs w:val="15"/>
                  <w:color w:val="0000EE"/>
                </w:rPr>
                <w:t>Note Purchase Agreement by and between Saratoga Investment Corp. and the purchaser party thereto, dated July 9, 2020 (incorporated by reference to Saratoga</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9"/>
            <w:shd w:val="clear" w:color="auto" w:fill="CCEEFF"/>
          </w:tcPr>
          <w:p>
            <w:pPr>
              <w:spacing w:after="0" w:line="161" w:lineRule="exact"/>
              <w:rPr>
                <w:rFonts w:ascii="Times New Roman" w:cs="Times New Roman" w:eastAsia="Times New Roman" w:hAnsi="Times New Roman"/>
                <w:sz w:val="15"/>
                <w:szCs w:val="15"/>
                <w:color w:val="0000EE"/>
              </w:rPr>
            </w:pPr>
            <w:hyperlink r:id="rId167">
              <w:r>
                <w:rPr>
                  <w:rFonts w:ascii="Times New Roman" w:cs="Times New Roman" w:eastAsia="Times New Roman" w:hAnsi="Times New Roman"/>
                  <w:sz w:val="15"/>
                  <w:szCs w:val="15"/>
                  <w:color w:val="0000EE"/>
                </w:rPr>
                <w:t>Investment Corp.’s Quarterly Report on Form 10-Q filed on October 4, 2022).</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43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286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(h)(6)</w:t>
            </w:r>
          </w:p>
        </w:tc>
        <w:tc>
          <w:tcPr>
            <w:tcW w:w="10020" w:type="dxa"/>
            <w:vAlign w:val="bottom"/>
            <w:tcBorders>
              <w:bottom w:val="single" w:sz="8" w:color="0000EE"/>
            </w:tcBorders>
            <w:gridSpan w:val="9"/>
            <w:shd w:val="clear" w:color="auto" w:fill="CCEEFF"/>
          </w:tcPr>
          <w:p>
            <w:pPr>
              <w:spacing w:after="0" w:line="147" w:lineRule="exact"/>
              <w:rPr>
                <w:rFonts w:ascii="Times New Roman" w:cs="Times New Roman" w:eastAsia="Times New Roman" w:hAnsi="Times New Roman"/>
                <w:sz w:val="15"/>
                <w:szCs w:val="15"/>
                <w:color w:val="0000EE"/>
                <w:shd w:val="clear" w:color="auto" w:fill="CCEEFF"/>
              </w:rPr>
            </w:pPr>
            <w:hyperlink r:id="rId168">
              <w:r>
                <w:rPr>
                  <w:rFonts w:ascii="Times New Roman" w:cs="Times New Roman" w:eastAsia="Times New Roman" w:hAnsi="Times New Roman"/>
                  <w:sz w:val="15"/>
                  <w:szCs w:val="15"/>
                  <w:color w:val="0000EE"/>
                  <w:shd w:val="clear" w:color="auto" w:fill="CCEEFF"/>
                </w:rPr>
                <w:t>First Supplemental Note Purchase Agreement by and between Saratoga Investment Corp. and the purchaser party thereto, dated January 28, 2021 (incorporated by</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6000" w:type="dxa"/>
            <w:vAlign w:val="bottom"/>
            <w:tcBorders>
              <w:bottom w:val="single" w:sz="8" w:color="0000EE"/>
            </w:tcBorders>
            <w:gridSpan w:val="4"/>
            <w:shd w:val="clear" w:color="auto" w:fill="CCEEFF"/>
          </w:tcPr>
          <w:p>
            <w:pPr>
              <w:spacing w:after="0" w:line="161" w:lineRule="exact"/>
              <w:rPr>
                <w:rFonts w:ascii="Times New Roman" w:cs="Times New Roman" w:eastAsia="Times New Roman" w:hAnsi="Times New Roman"/>
                <w:sz w:val="15"/>
                <w:szCs w:val="15"/>
                <w:color w:val="0000EE"/>
                <w:w w:val="99"/>
                <w:shd w:val="clear" w:color="auto" w:fill="CCEEFF"/>
              </w:rPr>
            </w:pPr>
            <w:hyperlink r:id="rId168">
              <w:r>
                <w:rPr>
                  <w:rFonts w:ascii="Times New Roman" w:cs="Times New Roman" w:eastAsia="Times New Roman" w:hAnsi="Times New Roman"/>
                  <w:sz w:val="15"/>
                  <w:szCs w:val="15"/>
                  <w:color w:val="0000EE"/>
                  <w:w w:val="99"/>
                  <w:shd w:val="clear" w:color="auto" w:fill="CCEEFF"/>
                </w:rPr>
                <w:t>reference to Saratoga Investment Corp.’s Quarterly Report on Form 10-Q filed on October 4, 2022).</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3820" w:type="dxa"/>
            <w:vAlign w:val="bottom"/>
            <w:tcBorders>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(h)(7)</w:t>
            </w:r>
          </w:p>
        </w:tc>
        <w:tc>
          <w:tcPr>
            <w:tcW w:w="10020" w:type="dxa"/>
            <w:vAlign w:val="bottom"/>
            <w:tcBorders>
              <w:bottom w:val="single" w:sz="8" w:color="0000EE"/>
            </w:tcBorders>
            <w:gridSpan w:val="9"/>
            <w:shd w:val="clear" w:color="auto" w:fill="CCEEFF"/>
          </w:tcPr>
          <w:p>
            <w:pPr>
              <w:spacing w:after="0" w:line="147" w:lineRule="exact"/>
              <w:rPr>
                <w:rFonts w:ascii="Times New Roman" w:cs="Times New Roman" w:eastAsia="Times New Roman" w:hAnsi="Times New Roman"/>
                <w:sz w:val="15"/>
                <w:szCs w:val="15"/>
                <w:color w:val="0000EE"/>
              </w:rPr>
            </w:pPr>
            <w:hyperlink r:id="rId169">
              <w:r>
                <w:rPr>
                  <w:rFonts w:ascii="Times New Roman" w:cs="Times New Roman" w:eastAsia="Times New Roman" w:hAnsi="Times New Roman"/>
                  <w:sz w:val="15"/>
                  <w:szCs w:val="15"/>
                  <w:color w:val="0000EE"/>
                </w:rPr>
                <w:t>Second Supplemental Note Purchase Agreement by and between Saratoga Investment Corp. and the purchaser party thereto, dated September 8, 2022 (incorporated</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6200" w:type="dxa"/>
            <w:vAlign w:val="bottom"/>
            <w:tcBorders>
              <w:bottom w:val="single" w:sz="8" w:color="0000EE"/>
            </w:tcBorders>
            <w:gridSpan w:val="5"/>
            <w:shd w:val="clear" w:color="auto" w:fill="CCEEFF"/>
          </w:tcPr>
          <w:p>
            <w:pPr>
              <w:spacing w:after="0" w:line="161" w:lineRule="exact"/>
              <w:rPr>
                <w:rFonts w:ascii="Times New Roman" w:cs="Times New Roman" w:eastAsia="Times New Roman" w:hAnsi="Times New Roman"/>
                <w:sz w:val="15"/>
                <w:szCs w:val="15"/>
                <w:color w:val="0000EE"/>
                <w:w w:val="99"/>
              </w:rPr>
            </w:pPr>
            <w:hyperlink r:id="rId169">
              <w:r>
                <w:rPr>
                  <w:rFonts w:ascii="Times New Roman" w:cs="Times New Roman" w:eastAsia="Times New Roman" w:hAnsi="Times New Roman"/>
                  <w:sz w:val="15"/>
                  <w:szCs w:val="15"/>
                  <w:color w:val="0000EE"/>
                  <w:w w:val="99"/>
                </w:rPr>
                <w:t>by reference to Saratoga Investment Corp.’s Quarterly Report on Form 10-Q filed on October 4, 2022).</w:t>
              </w:r>
            </w:hyperlink>
          </w:p>
        </w:tc>
        <w:tc>
          <w:tcPr>
            <w:tcW w:w="3820" w:type="dxa"/>
            <w:vAlign w:val="bottom"/>
            <w:tcBorders>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250" w:hanging="1250"/>
        <w:spacing w:after="0"/>
        <w:tabs>
          <w:tab w:leader="none" w:pos="125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applicable.</w:t>
      </w:r>
    </w:p>
    <w:p>
      <w:pPr>
        <w:spacing w:after="0" w:line="188" w:lineRule="exact"/>
        <w:rPr>
          <w:rFonts w:ascii="Times New Roman" w:cs="Times New Roman" w:eastAsia="Times New Roman" w:hAnsi="Times New Roman"/>
          <w:sz w:val="15"/>
          <w:szCs w:val="15"/>
          <w:color w:val="auto"/>
        </w:rPr>
      </w:pPr>
    </w:p>
    <w:p>
      <w:pPr>
        <w:ind w:left="1250" w:hanging="1250"/>
        <w:spacing w:after="0" w:line="283" w:lineRule="auto"/>
        <w:tabs>
          <w:tab w:leader="none" w:pos="1250" w:val="left"/>
        </w:tabs>
        <w:numPr>
          <w:ilvl w:val="0"/>
          <w:numId w:val="59"/>
        </w:numPr>
        <w:rPr>
          <w:rFonts w:ascii="Times New Roman" w:cs="Times New Roman" w:eastAsia="Times New Roman" w:hAnsi="Times New Roman"/>
          <w:sz w:val="15"/>
          <w:szCs w:val="15"/>
          <w:u w:val="single" w:color="auto"/>
          <w:color w:val="0000EE"/>
        </w:rPr>
      </w:pPr>
      <w:hyperlink r:id="rId170">
        <w:r>
          <w:rPr>
            <w:rFonts w:ascii="Times New Roman" w:cs="Times New Roman" w:eastAsia="Times New Roman" w:hAnsi="Times New Roman"/>
            <w:sz w:val="15"/>
            <w:szCs w:val="15"/>
            <w:u w:val="single" w:color="auto"/>
            <w:color w:val="0000EE"/>
          </w:rPr>
          <w:t>Custodian Agreement dated March 21, 2007 between GSC Investment LLC and U.S. Bank National Association (incorporated by reference to Saratoga Investment</w:t>
        </w:r>
      </w:hyperlink>
      <w:r>
        <w:rPr>
          <w:rFonts w:ascii="Times New Roman" w:cs="Times New Roman" w:eastAsia="Times New Roman" w:hAnsi="Times New Roman"/>
          <w:sz w:val="15"/>
          <w:szCs w:val="15"/>
          <w:u w:val="single" w:color="auto"/>
          <w:color w:val="0000EE"/>
        </w:rPr>
        <w:t xml:space="preserve"> </w:t>
      </w:r>
      <w:hyperlink r:id="rId170">
        <w:r>
          <w:rPr>
            <w:rFonts w:ascii="Times New Roman" w:cs="Times New Roman" w:eastAsia="Times New Roman" w:hAnsi="Times New Roman"/>
            <w:sz w:val="15"/>
            <w:szCs w:val="15"/>
            <w:u w:val="single" w:color="auto"/>
            <w:color w:val="0000EE"/>
          </w:rPr>
          <w:t>Corp.’s Form 10-Q for the quarterly period ended May 31, 2007).</w:t>
        </w:r>
      </w:hyperlink>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0</wp:posOffset>
            </wp:positionH>
            <wp:positionV relativeFrom="paragraph">
              <wp:posOffset>-477520</wp:posOffset>
            </wp:positionV>
            <wp:extent cx="7155180" cy="1143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715518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-248285</wp:posOffset>
            </wp:positionV>
            <wp:extent cx="7155180" cy="2292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7155180" cy="229235"/>
                    </a:xfrm>
                    <a:prstGeom prst="rect">
                      <a:avLst/>
                    </a:prstGeom>
                    <a:noFill/>
                  </pic:spPr>
                </pic:pic>
              </a:graphicData>
            </a:graphic>
          </wp:anchor>
        </w:drawing>
      </w:r>
    </w:p>
    <w:p>
      <w:pPr>
        <w:spacing w:after="0" w:line="103" w:lineRule="exact"/>
        <w:rPr>
          <w:rFonts w:ascii="Times New Roman" w:cs="Times New Roman" w:eastAsia="Times New Roman" w:hAnsi="Times New Roman"/>
          <w:sz w:val="15"/>
          <w:szCs w:val="15"/>
          <w:color w:val="auto"/>
        </w:rPr>
      </w:pPr>
    </w:p>
    <w:tbl>
      <w:tblPr>
        <w:tblLayout w:type="fixed"/>
        <w:tblInd w:w="1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(k)(1)</w:t>
            </w:r>
          </w:p>
        </w:tc>
        <w:tc>
          <w:tcPr>
            <w:tcW w:w="10020" w:type="dxa"/>
            <w:vAlign w:val="bottom"/>
            <w:tcBorders>
              <w:bottom w:val="single" w:sz="8" w:color="0000EE"/>
            </w:tcBorders>
            <w:gridSpan w:val="5"/>
            <w:shd w:val="clear" w:color="auto" w:fill="CCEEFF"/>
          </w:tcPr>
          <w:p>
            <w:pPr>
              <w:spacing w:after="0"/>
              <w:rPr>
                <w:rFonts w:ascii="Times New Roman" w:cs="Times New Roman" w:eastAsia="Times New Roman" w:hAnsi="Times New Roman"/>
                <w:sz w:val="15"/>
                <w:szCs w:val="15"/>
                <w:color w:val="0000EE"/>
              </w:rPr>
            </w:pPr>
            <w:hyperlink r:id="rId173">
              <w:r>
                <w:rPr>
                  <w:rFonts w:ascii="Times New Roman" w:cs="Times New Roman" w:eastAsia="Times New Roman" w:hAnsi="Times New Roman"/>
                  <w:sz w:val="15"/>
                  <w:szCs w:val="15"/>
                  <w:color w:val="0000EE"/>
                </w:rPr>
                <w:t>Administration Agreement dated July 30, 2010 between GSC Investment Corp. and Saratoga Investment Advisors, LLC (incorporated by reference to Saratoga</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5"/>
            <w:shd w:val="clear" w:color="auto" w:fill="CCEEFF"/>
          </w:tcPr>
          <w:p>
            <w:pPr>
              <w:spacing w:after="0" w:line="161" w:lineRule="exact"/>
              <w:rPr>
                <w:rFonts w:ascii="Times New Roman" w:cs="Times New Roman" w:eastAsia="Times New Roman" w:hAnsi="Times New Roman"/>
                <w:sz w:val="15"/>
                <w:szCs w:val="15"/>
                <w:color w:val="0000EE"/>
              </w:rPr>
            </w:pPr>
            <w:hyperlink r:id="rId173">
              <w:r>
                <w:rPr>
                  <w:rFonts w:ascii="Times New Roman" w:cs="Times New Roman" w:eastAsia="Times New Roman" w:hAnsi="Times New Roman"/>
                  <w:sz w:val="15"/>
                  <w:szCs w:val="15"/>
                  <w:color w:val="0000EE"/>
                </w:rPr>
                <w:t>Investment Corp.’s Current Report on Form 8-K filed on August 3, 2010).</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180" w:type="dxa"/>
            <w:vAlign w:val="bottom"/>
            <w:tcBorders>
              <w:top w:val="single" w:sz="8" w:color="0000EE"/>
            </w:tcBorders>
          </w:tcPr>
          <w:p>
            <w:pPr>
              <w:spacing w:after="0"/>
              <w:rPr>
                <w:sz w:val="15"/>
                <w:szCs w:val="15"/>
                <w:color w:val="auto"/>
              </w:rPr>
            </w:pPr>
          </w:p>
        </w:tc>
        <w:tc>
          <w:tcPr>
            <w:tcW w:w="3280" w:type="dxa"/>
            <w:vAlign w:val="bottom"/>
            <w:tcBorders>
              <w:top w:val="single" w:sz="8" w:color="0000EE"/>
            </w:tcBorders>
          </w:tcPr>
          <w:p>
            <w:pPr>
              <w:spacing w:after="0"/>
              <w:rPr>
                <w:sz w:val="15"/>
                <w:szCs w:val="15"/>
                <w:color w:val="auto"/>
              </w:rPr>
            </w:pPr>
          </w:p>
        </w:tc>
        <w:tc>
          <w:tcPr>
            <w:tcW w:w="24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4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(k)(2)</w:t>
            </w:r>
          </w:p>
        </w:tc>
        <w:tc>
          <w:tcPr>
            <w:tcW w:w="10020" w:type="dxa"/>
            <w:vAlign w:val="bottom"/>
            <w:tcBorders>
              <w:bottom w:val="single" w:sz="8" w:color="0000EE"/>
            </w:tcBorders>
            <w:gridSpan w:val="5"/>
            <w:shd w:val="clear" w:color="auto" w:fill="CCEEFF"/>
          </w:tcPr>
          <w:p>
            <w:pPr>
              <w:spacing w:after="0" w:line="147" w:lineRule="exact"/>
              <w:rPr>
                <w:rFonts w:ascii="Times New Roman" w:cs="Times New Roman" w:eastAsia="Times New Roman" w:hAnsi="Times New Roman"/>
                <w:sz w:val="15"/>
                <w:szCs w:val="15"/>
                <w:color w:val="0000EE"/>
              </w:rPr>
            </w:pPr>
            <w:hyperlink r:id="rId174">
              <w:r>
                <w:rPr>
                  <w:rFonts w:ascii="Times New Roman" w:cs="Times New Roman" w:eastAsia="Times New Roman" w:hAnsi="Times New Roman"/>
                  <w:sz w:val="15"/>
                  <w:szCs w:val="15"/>
                  <w:color w:val="0000EE"/>
                </w:rPr>
                <w:t>Trademark License Agreement dated July 30, 2010 between Saratoga Investment Advisors, LLC and GSC Investment Corp. (incorporated by reference to Saratoga</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5"/>
            <w:shd w:val="clear" w:color="auto" w:fill="CCEEFF"/>
          </w:tcPr>
          <w:p>
            <w:pPr>
              <w:spacing w:after="0" w:line="161" w:lineRule="exact"/>
              <w:rPr>
                <w:rFonts w:ascii="Times New Roman" w:cs="Times New Roman" w:eastAsia="Times New Roman" w:hAnsi="Times New Roman"/>
                <w:sz w:val="15"/>
                <w:szCs w:val="15"/>
                <w:color w:val="0000EE"/>
              </w:rPr>
            </w:pPr>
            <w:hyperlink r:id="rId174">
              <w:r>
                <w:rPr>
                  <w:rFonts w:ascii="Times New Roman" w:cs="Times New Roman" w:eastAsia="Times New Roman" w:hAnsi="Times New Roman"/>
                  <w:sz w:val="15"/>
                  <w:szCs w:val="15"/>
                  <w:color w:val="0000EE"/>
                </w:rPr>
                <w:t>Investment Corp.’s Current Report on Form 8-K filed on August 3, 2010).</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180" w:type="dxa"/>
            <w:vAlign w:val="bottom"/>
            <w:tcBorders>
              <w:top w:val="single" w:sz="8" w:color="0000EE"/>
            </w:tcBorders>
          </w:tcPr>
          <w:p>
            <w:pPr>
              <w:spacing w:after="0"/>
              <w:rPr>
                <w:sz w:val="15"/>
                <w:szCs w:val="15"/>
                <w:color w:val="auto"/>
              </w:rPr>
            </w:pPr>
          </w:p>
        </w:tc>
        <w:tc>
          <w:tcPr>
            <w:tcW w:w="3280" w:type="dxa"/>
            <w:vAlign w:val="bottom"/>
            <w:tcBorders>
              <w:top w:val="single" w:sz="8" w:color="0000EE"/>
            </w:tcBorders>
          </w:tcPr>
          <w:p>
            <w:pPr>
              <w:spacing w:after="0"/>
              <w:rPr>
                <w:sz w:val="15"/>
                <w:szCs w:val="15"/>
                <w:color w:val="auto"/>
              </w:rPr>
            </w:pPr>
          </w:p>
        </w:tc>
        <w:tc>
          <w:tcPr>
            <w:tcW w:w="24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4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(k)(3)</w:t>
            </w:r>
          </w:p>
        </w:tc>
        <w:tc>
          <w:tcPr>
            <w:tcW w:w="10020" w:type="dxa"/>
            <w:vAlign w:val="bottom"/>
            <w:tcBorders>
              <w:bottom w:val="single" w:sz="8" w:color="0000EE"/>
            </w:tcBorders>
            <w:gridSpan w:val="5"/>
            <w:shd w:val="clear" w:color="auto" w:fill="CCEEFF"/>
          </w:tcPr>
          <w:p>
            <w:pPr>
              <w:spacing w:after="0" w:line="147" w:lineRule="exact"/>
              <w:rPr>
                <w:rFonts w:ascii="Times New Roman" w:cs="Times New Roman" w:eastAsia="Times New Roman" w:hAnsi="Times New Roman"/>
                <w:sz w:val="15"/>
                <w:szCs w:val="15"/>
                <w:color w:val="0000EE"/>
              </w:rPr>
            </w:pPr>
            <w:hyperlink r:id="rId175">
              <w:r>
                <w:rPr>
                  <w:rFonts w:ascii="Times New Roman" w:cs="Times New Roman" w:eastAsia="Times New Roman" w:hAnsi="Times New Roman"/>
                  <w:sz w:val="15"/>
                  <w:szCs w:val="15"/>
                  <w:color w:val="0000EE"/>
                </w:rPr>
                <w:t>Form of Indemnification Agreement between Saratoga Investment Corp. and each officer and director of Saratoga Investment Corp. (incorporated by reference to</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5"/>
            <w:shd w:val="clear" w:color="auto" w:fill="CCEEFF"/>
          </w:tcPr>
          <w:p>
            <w:pPr>
              <w:spacing w:after="0" w:line="161" w:lineRule="exact"/>
              <w:rPr>
                <w:rFonts w:ascii="Times New Roman" w:cs="Times New Roman" w:eastAsia="Times New Roman" w:hAnsi="Times New Roman"/>
                <w:sz w:val="15"/>
                <w:szCs w:val="15"/>
                <w:color w:val="0000EE"/>
              </w:rPr>
            </w:pPr>
            <w:hyperlink r:id="rId175">
              <w:r>
                <w:rPr>
                  <w:rFonts w:ascii="Times New Roman" w:cs="Times New Roman" w:eastAsia="Times New Roman" w:hAnsi="Times New Roman"/>
                  <w:sz w:val="15"/>
                  <w:szCs w:val="15"/>
                  <w:color w:val="0000EE"/>
                </w:rPr>
                <w:t>Amendment No. 2 to Saratoga Investment Corp.’s Registration Statement on Form N-2 filed on January 12, 2007).</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180" w:type="dxa"/>
            <w:vAlign w:val="bottom"/>
            <w:tcBorders>
              <w:top w:val="single" w:sz="8" w:color="0000EE"/>
            </w:tcBorders>
          </w:tcPr>
          <w:p>
            <w:pPr>
              <w:spacing w:after="0"/>
              <w:rPr>
                <w:sz w:val="15"/>
                <w:szCs w:val="15"/>
                <w:color w:val="auto"/>
              </w:rPr>
            </w:pPr>
          </w:p>
        </w:tc>
        <w:tc>
          <w:tcPr>
            <w:tcW w:w="3280" w:type="dxa"/>
            <w:vAlign w:val="bottom"/>
            <w:tcBorders>
              <w:top w:val="single" w:sz="8" w:color="0000EE"/>
            </w:tcBorders>
          </w:tcPr>
          <w:p>
            <w:pPr>
              <w:spacing w:after="0"/>
              <w:rPr>
                <w:sz w:val="15"/>
                <w:szCs w:val="15"/>
                <w:color w:val="auto"/>
              </w:rPr>
            </w:pPr>
          </w:p>
        </w:tc>
        <w:tc>
          <w:tcPr>
            <w:tcW w:w="2440" w:type="dxa"/>
            <w:vAlign w:val="bottom"/>
            <w:tcBorders>
              <w:top w:val="single" w:sz="8" w:color="0000EE"/>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4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(k)(4)</w:t>
            </w:r>
          </w:p>
        </w:tc>
        <w:tc>
          <w:tcPr>
            <w:tcW w:w="10020" w:type="dxa"/>
            <w:vAlign w:val="bottom"/>
            <w:tcBorders>
              <w:bottom w:val="single" w:sz="8" w:color="0000EE"/>
            </w:tcBorders>
            <w:gridSpan w:val="5"/>
            <w:shd w:val="clear" w:color="auto" w:fill="CCEEFF"/>
          </w:tcPr>
          <w:p>
            <w:pPr>
              <w:spacing w:after="0" w:line="147" w:lineRule="exact"/>
              <w:rPr>
                <w:rFonts w:ascii="Times New Roman" w:cs="Times New Roman" w:eastAsia="Times New Roman" w:hAnsi="Times New Roman"/>
                <w:sz w:val="15"/>
                <w:szCs w:val="15"/>
                <w:color w:val="0000EE"/>
              </w:rPr>
            </w:pPr>
            <w:hyperlink r:id="rId176">
              <w:r>
                <w:rPr>
                  <w:rFonts w:ascii="Times New Roman" w:cs="Times New Roman" w:eastAsia="Times New Roman" w:hAnsi="Times New Roman"/>
                  <w:sz w:val="15"/>
                  <w:szCs w:val="15"/>
                  <w:color w:val="0000EE"/>
                </w:rPr>
                <w:t>Amended and Restated Indenture, dated as of November 15, 2016, among Saratoga Investment Corp. CLO 2013-1, Ltd., Saratoga Investment Corp. CLO 2013-1, Inc.</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20" w:type="dxa"/>
            <w:vAlign w:val="bottom"/>
            <w:tcBorders>
              <w:bottom w:val="single" w:sz="8" w:color="0000EE"/>
            </w:tcBorders>
            <w:gridSpan w:val="5"/>
            <w:shd w:val="clear" w:color="auto" w:fill="CCEEFF"/>
          </w:tcPr>
          <w:p>
            <w:pPr>
              <w:spacing w:after="0" w:line="161" w:lineRule="exact"/>
              <w:rPr>
                <w:rFonts w:ascii="Times New Roman" w:cs="Times New Roman" w:eastAsia="Times New Roman" w:hAnsi="Times New Roman"/>
                <w:sz w:val="15"/>
                <w:szCs w:val="15"/>
                <w:color w:val="0000EE"/>
              </w:rPr>
            </w:pPr>
            <w:hyperlink r:id="rId176">
              <w:r>
                <w:rPr>
                  <w:rFonts w:ascii="Times New Roman" w:cs="Times New Roman" w:eastAsia="Times New Roman" w:hAnsi="Times New Roman"/>
                  <w:sz w:val="15"/>
                  <w:szCs w:val="15"/>
                  <w:color w:val="0000EE"/>
                </w:rPr>
                <w:t>and U.S. Bank National Association. (incorporated by reference to Saratoga Investment Corp.’s Registration Statement on Form N-2, File No. 333-216344, filed on</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5"/>
            <w:shd w:val="clear" w:color="auto" w:fill="CCEEFF"/>
          </w:tcPr>
          <w:p>
            <w:pPr>
              <w:spacing w:after="0" w:line="161" w:lineRule="exact"/>
              <w:rPr>
                <w:rFonts w:ascii="Times New Roman" w:cs="Times New Roman" w:eastAsia="Times New Roman" w:hAnsi="Times New Roman"/>
                <w:sz w:val="15"/>
                <w:szCs w:val="15"/>
                <w:color w:val="0000EE"/>
              </w:rPr>
            </w:pPr>
            <w:hyperlink r:id="rId176">
              <w:r>
                <w:rPr>
                  <w:rFonts w:ascii="Times New Roman" w:cs="Times New Roman" w:eastAsia="Times New Roman" w:hAnsi="Times New Roman"/>
                  <w:sz w:val="15"/>
                  <w:szCs w:val="15"/>
                  <w:color w:val="0000EE"/>
                </w:rPr>
                <w:t>February 28, 2017).</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180" w:type="dxa"/>
            <w:vAlign w:val="bottom"/>
            <w:tcBorders>
              <w:top w:val="single" w:sz="8" w:color="0000EE"/>
            </w:tcBorders>
          </w:tcPr>
          <w:p>
            <w:pPr>
              <w:spacing w:after="0"/>
              <w:rPr>
                <w:sz w:val="15"/>
                <w:szCs w:val="15"/>
                <w:color w:val="auto"/>
              </w:rPr>
            </w:pPr>
          </w:p>
        </w:tc>
        <w:tc>
          <w:tcPr>
            <w:tcW w:w="3280" w:type="dxa"/>
            <w:vAlign w:val="bottom"/>
            <w:tcBorders>
              <w:top w:val="single" w:sz="8" w:color="CCEEFF"/>
            </w:tcBorders>
          </w:tcPr>
          <w:p>
            <w:pPr>
              <w:spacing w:after="0"/>
              <w:rPr>
                <w:sz w:val="15"/>
                <w:szCs w:val="15"/>
                <w:color w:val="auto"/>
              </w:rPr>
            </w:pPr>
          </w:p>
        </w:tc>
        <w:tc>
          <w:tcPr>
            <w:tcW w:w="24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4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(k)(5)</w:t>
            </w:r>
          </w:p>
        </w:tc>
        <w:tc>
          <w:tcPr>
            <w:tcW w:w="10020" w:type="dxa"/>
            <w:vAlign w:val="bottom"/>
            <w:tcBorders>
              <w:bottom w:val="single" w:sz="8" w:color="0000EE"/>
            </w:tcBorders>
            <w:gridSpan w:val="5"/>
            <w:shd w:val="clear" w:color="auto" w:fill="CCEEFF"/>
          </w:tcPr>
          <w:p>
            <w:pPr>
              <w:spacing w:after="0" w:line="147" w:lineRule="exact"/>
              <w:rPr>
                <w:rFonts w:ascii="Times New Roman" w:cs="Times New Roman" w:eastAsia="Times New Roman" w:hAnsi="Times New Roman"/>
                <w:sz w:val="15"/>
                <w:szCs w:val="15"/>
                <w:color w:val="0000EE"/>
              </w:rPr>
            </w:pPr>
            <w:hyperlink r:id="rId177">
              <w:r>
                <w:rPr>
                  <w:rFonts w:ascii="Times New Roman" w:cs="Times New Roman" w:eastAsia="Times New Roman" w:hAnsi="Times New Roman"/>
                  <w:sz w:val="15"/>
                  <w:szCs w:val="15"/>
                  <w:color w:val="0000EE"/>
                </w:rPr>
                <w:t>Amended and Restated Collateral Management Agreement, dated February 26, 2021, by and between Saratoga Investment Corp. and Saratoga Investment Corp. CLO</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5"/>
            <w:shd w:val="clear" w:color="auto" w:fill="CCEEFF"/>
          </w:tcPr>
          <w:p>
            <w:pPr>
              <w:spacing w:after="0" w:line="161" w:lineRule="exact"/>
              <w:rPr>
                <w:rFonts w:ascii="Times New Roman" w:cs="Times New Roman" w:eastAsia="Times New Roman" w:hAnsi="Times New Roman"/>
                <w:sz w:val="15"/>
                <w:szCs w:val="15"/>
                <w:color w:val="0000EE"/>
              </w:rPr>
            </w:pPr>
            <w:hyperlink r:id="rId177">
              <w:r>
                <w:rPr>
                  <w:rFonts w:ascii="Times New Roman" w:cs="Times New Roman" w:eastAsia="Times New Roman" w:hAnsi="Times New Roman"/>
                  <w:sz w:val="15"/>
                  <w:szCs w:val="15"/>
                  <w:color w:val="0000EE"/>
                </w:rPr>
                <w:t>2013-1, Ltd. (incorporated by reference to Saratoga Investment Corp.’s Current Report on Form 8-K filed on March 4, 2021).</w:t>
              </w:r>
            </w:hyperlink>
          </w:p>
        </w:tc>
        <w:tc>
          <w:tcPr>
            <w:tcW w:w="0" w:type="dxa"/>
            <w:vAlign w:val="bottom"/>
          </w:tcPr>
          <w:p>
            <w:pPr>
              <w:spacing w:after="0"/>
              <w:rPr>
                <w:sz w:val="1"/>
                <w:szCs w:val="1"/>
                <w:color w:val="auto"/>
              </w:rPr>
            </w:pPr>
          </w:p>
        </w:tc>
      </w:tr>
      <w:tr>
        <w:trPr>
          <w:trHeight w:val="544"/>
        </w:trPr>
        <w:tc>
          <w:tcPr>
            <w:tcW w:w="20" w:type="dxa"/>
            <w:vAlign w:val="bottom"/>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0000EE"/>
              <w:bottom w:val="single" w:sz="8" w:color="auto"/>
            </w:tcBorders>
          </w:tcPr>
          <w:p>
            <w:pPr>
              <w:spacing w:after="0"/>
              <w:rPr>
                <w:sz w:val="24"/>
                <w:szCs w:val="24"/>
                <w:color w:val="auto"/>
              </w:rPr>
            </w:pPr>
          </w:p>
        </w:tc>
        <w:tc>
          <w:tcPr>
            <w:tcW w:w="6360" w:type="dxa"/>
            <w:vAlign w:val="bottom"/>
            <w:tcBorders>
              <w:top w:val="single" w:sz="8" w:color="0000EE"/>
              <w:bottom w:val="single" w:sz="8" w:color="auto"/>
            </w:tcBorders>
            <w:gridSpan w:val="3"/>
          </w:tcPr>
          <w:p>
            <w:pPr>
              <w:ind w:left="3100"/>
              <w:spacing w:after="0"/>
              <w:rPr>
                <w:sz w:val="20"/>
                <w:szCs w:val="20"/>
                <w:color w:val="auto"/>
              </w:rPr>
            </w:pPr>
            <w:r>
              <w:rPr>
                <w:rFonts w:ascii="Times New Roman" w:cs="Times New Roman" w:eastAsia="Times New Roman" w:hAnsi="Times New Roman"/>
                <w:sz w:val="15"/>
                <w:szCs w:val="15"/>
                <w:color w:val="auto"/>
              </w:rPr>
              <w:t>C-3</w:t>
            </w:r>
          </w:p>
        </w:tc>
        <w:tc>
          <w:tcPr>
            <w:tcW w:w="24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70"/>
          </w:cols>
          <w:pgMar w:left="310" w:top="757" w:right="31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(k)(6)</w:t>
            </w:r>
          </w:p>
        </w:tc>
        <w:tc>
          <w:tcPr>
            <w:tcW w:w="10020" w:type="dxa"/>
            <w:vAlign w:val="bottom"/>
            <w:tcBorders>
              <w:bottom w:val="single" w:sz="8" w:color="0000EE"/>
            </w:tcBorders>
            <w:gridSpan w:val="12"/>
            <w:shd w:val="clear" w:color="auto" w:fill="CCEEFF"/>
          </w:tcPr>
          <w:p>
            <w:pPr>
              <w:spacing w:after="0"/>
              <w:rPr>
                <w:rFonts w:ascii="Times New Roman" w:cs="Times New Roman" w:eastAsia="Times New Roman" w:hAnsi="Times New Roman"/>
                <w:sz w:val="15"/>
                <w:szCs w:val="15"/>
                <w:color w:val="0000EE"/>
              </w:rPr>
            </w:pPr>
            <w:hyperlink r:id="rId178">
              <w:r>
                <w:rPr>
                  <w:rFonts w:ascii="Times New Roman" w:cs="Times New Roman" w:eastAsia="Times New Roman" w:hAnsi="Times New Roman"/>
                  <w:sz w:val="15"/>
                  <w:szCs w:val="15"/>
                  <w:color w:val="0000EE"/>
                </w:rPr>
                <w:t>Amended and Restated Collateral Administration Agreement, dated February 26, 2021, by and between Saratoga Investment Corp., Saratoga Investment Corp. CLO</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12"/>
            <w:shd w:val="clear" w:color="auto" w:fill="CCEEFF"/>
          </w:tcPr>
          <w:p>
            <w:pPr>
              <w:spacing w:after="0" w:line="161" w:lineRule="exact"/>
              <w:rPr>
                <w:rFonts w:ascii="Times New Roman" w:cs="Times New Roman" w:eastAsia="Times New Roman" w:hAnsi="Times New Roman"/>
                <w:sz w:val="15"/>
                <w:szCs w:val="15"/>
                <w:color w:val="0000EE"/>
              </w:rPr>
            </w:pPr>
            <w:hyperlink r:id="rId178">
              <w:r>
                <w:rPr>
                  <w:rFonts w:ascii="Times New Roman" w:cs="Times New Roman" w:eastAsia="Times New Roman" w:hAnsi="Times New Roman"/>
                  <w:sz w:val="15"/>
                  <w:szCs w:val="15"/>
                  <w:color w:val="0000EE"/>
                </w:rPr>
                <w:t>2013-1, Ltd. and U.S. Bank National Association (incorporated by reference to Saratoga Investment Corp.’s Current Report on Form 8-K filed on March 4, 2021).</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2580" w:type="dxa"/>
            <w:vAlign w:val="bottom"/>
            <w:tcBorders>
              <w:top w:val="single" w:sz="8" w:color="0000EE"/>
            </w:tcBorders>
          </w:tcPr>
          <w:p>
            <w:pPr>
              <w:spacing w:after="0"/>
              <w:rPr>
                <w:sz w:val="15"/>
                <w:szCs w:val="15"/>
                <w:color w:val="auto"/>
              </w:rPr>
            </w:pPr>
          </w:p>
        </w:tc>
        <w:tc>
          <w:tcPr>
            <w:tcW w:w="3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(k)(7)</w:t>
            </w:r>
          </w:p>
        </w:tc>
        <w:tc>
          <w:tcPr>
            <w:tcW w:w="10020" w:type="dxa"/>
            <w:vAlign w:val="bottom"/>
            <w:tcBorders>
              <w:bottom w:val="single" w:sz="8" w:color="0000EE"/>
            </w:tcBorders>
            <w:gridSpan w:val="12"/>
            <w:shd w:val="clear" w:color="auto" w:fill="CCEEFF"/>
          </w:tcPr>
          <w:p>
            <w:pPr>
              <w:spacing w:after="0" w:line="147" w:lineRule="exact"/>
              <w:rPr>
                <w:rFonts w:ascii="Times New Roman" w:cs="Times New Roman" w:eastAsia="Times New Roman" w:hAnsi="Times New Roman"/>
                <w:sz w:val="15"/>
                <w:szCs w:val="15"/>
                <w:color w:val="0000EE"/>
              </w:rPr>
            </w:pPr>
            <w:hyperlink r:id="rId179">
              <w:r>
                <w:rPr>
                  <w:rFonts w:ascii="Times New Roman" w:cs="Times New Roman" w:eastAsia="Times New Roman" w:hAnsi="Times New Roman"/>
                  <w:sz w:val="15"/>
                  <w:szCs w:val="15"/>
                  <w:color w:val="0000EE"/>
                </w:rPr>
                <w:t>Credit and Security Agreement, dated as of March 27, 2024, by and among Saratoga Investment Funding III, LLC, as borrower, Saratoga Investment Corp., as</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20" w:type="dxa"/>
            <w:vAlign w:val="bottom"/>
            <w:tcBorders>
              <w:bottom w:val="single" w:sz="8" w:color="0000EE"/>
            </w:tcBorders>
            <w:gridSpan w:val="12"/>
            <w:shd w:val="clear" w:color="auto" w:fill="CCEEFF"/>
          </w:tcPr>
          <w:p>
            <w:pPr>
              <w:spacing w:after="0" w:line="161" w:lineRule="exact"/>
              <w:rPr>
                <w:rFonts w:ascii="Times New Roman" w:cs="Times New Roman" w:eastAsia="Times New Roman" w:hAnsi="Times New Roman"/>
                <w:sz w:val="15"/>
                <w:szCs w:val="15"/>
                <w:color w:val="0000EE"/>
              </w:rPr>
            </w:pPr>
            <w:hyperlink r:id="rId179">
              <w:r>
                <w:rPr>
                  <w:rFonts w:ascii="Times New Roman" w:cs="Times New Roman" w:eastAsia="Times New Roman" w:hAnsi="Times New Roman"/>
                  <w:sz w:val="15"/>
                  <w:szCs w:val="15"/>
                  <w:color w:val="0000EE"/>
                </w:rPr>
                <w:t>collateral manager and equityholder, the lenders from time to time party thereto, Live Oak Banking Company, as administrative agent and collateral agent, U.S. Bank</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20" w:type="dxa"/>
            <w:vAlign w:val="bottom"/>
            <w:tcBorders>
              <w:bottom w:val="single" w:sz="8" w:color="0000EE"/>
            </w:tcBorders>
            <w:gridSpan w:val="12"/>
            <w:shd w:val="clear" w:color="auto" w:fill="CCEEFF"/>
          </w:tcPr>
          <w:p>
            <w:pPr>
              <w:spacing w:after="0" w:line="161" w:lineRule="exact"/>
              <w:rPr>
                <w:rFonts w:ascii="Times New Roman" w:cs="Times New Roman" w:eastAsia="Times New Roman" w:hAnsi="Times New Roman"/>
                <w:sz w:val="15"/>
                <w:szCs w:val="15"/>
                <w:color w:val="0000EE"/>
                <w:w w:val="99"/>
              </w:rPr>
            </w:pPr>
            <w:hyperlink r:id="rId179">
              <w:r>
                <w:rPr>
                  <w:rFonts w:ascii="Times New Roman" w:cs="Times New Roman" w:eastAsia="Times New Roman" w:hAnsi="Times New Roman"/>
                  <w:sz w:val="15"/>
                  <w:szCs w:val="15"/>
                  <w:color w:val="0000EE"/>
                  <w:w w:val="99"/>
                </w:rPr>
                <w:t>National Association, as custodian, and U.S. Bank Trust Company, National Association, as collateral administrator (incorporated by reference to Saratoga Investment</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12"/>
            <w:shd w:val="clear" w:color="auto" w:fill="CCEEFF"/>
          </w:tcPr>
          <w:p>
            <w:pPr>
              <w:spacing w:after="0" w:line="161" w:lineRule="exact"/>
              <w:rPr>
                <w:rFonts w:ascii="Times New Roman" w:cs="Times New Roman" w:eastAsia="Times New Roman" w:hAnsi="Times New Roman"/>
                <w:sz w:val="15"/>
                <w:szCs w:val="15"/>
                <w:color w:val="0000EE"/>
              </w:rPr>
            </w:pPr>
            <w:hyperlink r:id="rId179">
              <w:r>
                <w:rPr>
                  <w:rFonts w:ascii="Times New Roman" w:cs="Times New Roman" w:eastAsia="Times New Roman" w:hAnsi="Times New Roman"/>
                  <w:sz w:val="15"/>
                  <w:szCs w:val="15"/>
                  <w:color w:val="0000EE"/>
                </w:rPr>
                <w:t>Corp.’s Current Report on Form 8-K filed on March 28, 2024).</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2580" w:type="dxa"/>
            <w:vAlign w:val="bottom"/>
            <w:tcBorders>
              <w:top w:val="single" w:sz="8" w:color="0000EE"/>
            </w:tcBorders>
          </w:tcPr>
          <w:p>
            <w:pPr>
              <w:spacing w:after="0"/>
              <w:rPr>
                <w:sz w:val="15"/>
                <w:szCs w:val="15"/>
                <w:color w:val="auto"/>
              </w:rPr>
            </w:pPr>
          </w:p>
        </w:tc>
        <w:tc>
          <w:tcPr>
            <w:tcW w:w="3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(k)(8)</w:t>
            </w:r>
          </w:p>
        </w:tc>
        <w:tc>
          <w:tcPr>
            <w:tcW w:w="10020" w:type="dxa"/>
            <w:vAlign w:val="bottom"/>
            <w:tcBorders>
              <w:bottom w:val="single" w:sz="8" w:color="0000EE"/>
            </w:tcBorders>
            <w:gridSpan w:val="12"/>
            <w:shd w:val="clear" w:color="auto" w:fill="CCEEFF"/>
          </w:tcPr>
          <w:p>
            <w:pPr>
              <w:spacing w:after="0" w:line="147" w:lineRule="exact"/>
              <w:rPr>
                <w:rFonts w:ascii="Times New Roman" w:cs="Times New Roman" w:eastAsia="Times New Roman" w:hAnsi="Times New Roman"/>
                <w:sz w:val="15"/>
                <w:szCs w:val="15"/>
                <w:color w:val="0000EE"/>
                <w:w w:val="99"/>
              </w:rPr>
            </w:pPr>
            <w:hyperlink r:id="rId180">
              <w:r>
                <w:rPr>
                  <w:rFonts w:ascii="Times New Roman" w:cs="Times New Roman" w:eastAsia="Times New Roman" w:hAnsi="Times New Roman"/>
                  <w:sz w:val="15"/>
                  <w:szCs w:val="15"/>
                  <w:color w:val="0000EE"/>
                  <w:w w:val="99"/>
                </w:rPr>
                <w:t>First Amendment and Lender Joinder to Credit and Security Agreement, dated as of June 14, 2024, by and among Saratoga Investment Funding III, LLC, as borrower,</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20" w:type="dxa"/>
            <w:vAlign w:val="bottom"/>
            <w:tcBorders>
              <w:bottom w:val="single" w:sz="8" w:color="0000EE"/>
            </w:tcBorders>
            <w:gridSpan w:val="12"/>
            <w:shd w:val="clear" w:color="auto" w:fill="CCEEFF"/>
          </w:tcPr>
          <w:p>
            <w:pPr>
              <w:spacing w:after="0" w:line="161" w:lineRule="exact"/>
              <w:rPr>
                <w:rFonts w:ascii="Times New Roman" w:cs="Times New Roman" w:eastAsia="Times New Roman" w:hAnsi="Times New Roman"/>
                <w:sz w:val="15"/>
                <w:szCs w:val="15"/>
                <w:color w:val="0000EE"/>
              </w:rPr>
            </w:pPr>
            <w:hyperlink r:id="rId180">
              <w:r>
                <w:rPr>
                  <w:rFonts w:ascii="Times New Roman" w:cs="Times New Roman" w:eastAsia="Times New Roman" w:hAnsi="Times New Roman"/>
                  <w:sz w:val="15"/>
                  <w:szCs w:val="15"/>
                  <w:color w:val="0000EE"/>
                </w:rPr>
                <w:t>Saratoga Investment Corp., as collateral manager and equityholder, the lenders parties thereto, and Live Oak Banking Company, as administrative agent and collateral</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12"/>
            <w:shd w:val="clear" w:color="auto" w:fill="CCEEFF"/>
          </w:tcPr>
          <w:p>
            <w:pPr>
              <w:spacing w:after="0" w:line="161" w:lineRule="exact"/>
              <w:rPr>
                <w:rFonts w:ascii="Times New Roman" w:cs="Times New Roman" w:eastAsia="Times New Roman" w:hAnsi="Times New Roman"/>
                <w:sz w:val="15"/>
                <w:szCs w:val="15"/>
                <w:color w:val="0000EE"/>
              </w:rPr>
            </w:pPr>
            <w:hyperlink r:id="rId180">
              <w:r>
                <w:rPr>
                  <w:rFonts w:ascii="Times New Roman" w:cs="Times New Roman" w:eastAsia="Times New Roman" w:hAnsi="Times New Roman"/>
                  <w:sz w:val="15"/>
                  <w:szCs w:val="15"/>
                  <w:color w:val="0000EE"/>
                </w:rPr>
                <w:t>agent (incorporated by reference to Saratoga Investment Corp.’s Current Report on Form 8-K filed on June 17, 2024).</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2580" w:type="dxa"/>
            <w:vAlign w:val="bottom"/>
            <w:tcBorders>
              <w:top w:val="single" w:sz="8" w:color="0000EE"/>
            </w:tcBorders>
          </w:tcPr>
          <w:p>
            <w:pPr>
              <w:spacing w:after="0"/>
              <w:rPr>
                <w:sz w:val="15"/>
                <w:szCs w:val="15"/>
                <w:color w:val="auto"/>
              </w:rPr>
            </w:pPr>
          </w:p>
        </w:tc>
        <w:tc>
          <w:tcPr>
            <w:tcW w:w="3300" w:type="dxa"/>
            <w:vAlign w:val="bottom"/>
            <w:tcBorders>
              <w:top w:val="single" w:sz="8" w:color="0000EE"/>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(k)(9)</w:t>
            </w:r>
          </w:p>
        </w:tc>
        <w:tc>
          <w:tcPr>
            <w:tcW w:w="10020" w:type="dxa"/>
            <w:vAlign w:val="bottom"/>
            <w:tcBorders>
              <w:bottom w:val="single" w:sz="8" w:color="0000EE"/>
            </w:tcBorders>
            <w:gridSpan w:val="12"/>
            <w:shd w:val="clear" w:color="auto" w:fill="CCEEFF"/>
          </w:tcPr>
          <w:p>
            <w:pPr>
              <w:spacing w:after="0" w:line="147" w:lineRule="exact"/>
              <w:rPr>
                <w:rFonts w:ascii="Times New Roman" w:cs="Times New Roman" w:eastAsia="Times New Roman" w:hAnsi="Times New Roman"/>
                <w:sz w:val="15"/>
                <w:szCs w:val="15"/>
                <w:color w:val="0000EE"/>
              </w:rPr>
            </w:pPr>
            <w:hyperlink r:id="rId181">
              <w:r>
                <w:rPr>
                  <w:rFonts w:ascii="Times New Roman" w:cs="Times New Roman" w:eastAsia="Times New Roman" w:hAnsi="Times New Roman"/>
                  <w:sz w:val="15"/>
                  <w:szCs w:val="15"/>
                  <w:color w:val="0000EE"/>
                </w:rPr>
                <w:t>Equity Pledge Agreement, dated as of March 27, 2024, by and between Saratoga Investment Corp., as pledgor, and Live Oak Banking Company, as collateral agent</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12"/>
            <w:shd w:val="clear" w:color="auto" w:fill="CCEEFF"/>
          </w:tcPr>
          <w:p>
            <w:pPr>
              <w:spacing w:after="0" w:line="161" w:lineRule="exact"/>
              <w:rPr>
                <w:rFonts w:ascii="Times New Roman" w:cs="Times New Roman" w:eastAsia="Times New Roman" w:hAnsi="Times New Roman"/>
                <w:sz w:val="15"/>
                <w:szCs w:val="15"/>
                <w:color w:val="0000EE"/>
              </w:rPr>
            </w:pPr>
            <w:hyperlink r:id="rId181">
              <w:r>
                <w:rPr>
                  <w:rFonts w:ascii="Times New Roman" w:cs="Times New Roman" w:eastAsia="Times New Roman" w:hAnsi="Times New Roman"/>
                  <w:sz w:val="15"/>
                  <w:szCs w:val="15"/>
                  <w:color w:val="0000EE"/>
                </w:rPr>
                <w:t>for the benefit of the secured parties (incorporated by reference to Saratoga Investment Corp.’s Current Report on Form 8-K filed on March 28, 2024).</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2580" w:type="dxa"/>
            <w:vAlign w:val="bottom"/>
            <w:tcBorders>
              <w:top w:val="single" w:sz="8" w:color="0000EE"/>
            </w:tcBorders>
          </w:tcPr>
          <w:p>
            <w:pPr>
              <w:spacing w:after="0"/>
              <w:rPr>
                <w:sz w:val="15"/>
                <w:szCs w:val="15"/>
                <w:color w:val="auto"/>
              </w:rPr>
            </w:pPr>
          </w:p>
        </w:tc>
        <w:tc>
          <w:tcPr>
            <w:tcW w:w="3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(k)(10)</w:t>
            </w:r>
          </w:p>
        </w:tc>
        <w:tc>
          <w:tcPr>
            <w:tcW w:w="10020" w:type="dxa"/>
            <w:vAlign w:val="bottom"/>
            <w:tcBorders>
              <w:bottom w:val="single" w:sz="8" w:color="0000EE"/>
            </w:tcBorders>
            <w:gridSpan w:val="12"/>
            <w:shd w:val="clear" w:color="auto" w:fill="CCEEFF"/>
          </w:tcPr>
          <w:p>
            <w:pPr>
              <w:spacing w:after="0" w:line="147" w:lineRule="exact"/>
              <w:rPr>
                <w:rFonts w:ascii="Times New Roman" w:cs="Times New Roman" w:eastAsia="Times New Roman" w:hAnsi="Times New Roman"/>
                <w:sz w:val="15"/>
                <w:szCs w:val="15"/>
                <w:color w:val="0000EE"/>
                <w:shd w:val="clear" w:color="auto" w:fill="CCEEFF"/>
              </w:rPr>
            </w:pPr>
            <w:hyperlink r:id="rId182">
              <w:r>
                <w:rPr>
                  <w:rFonts w:ascii="Times New Roman" w:cs="Times New Roman" w:eastAsia="Times New Roman" w:hAnsi="Times New Roman"/>
                  <w:sz w:val="15"/>
                  <w:szCs w:val="15"/>
                  <w:color w:val="0000EE"/>
                  <w:shd w:val="clear" w:color="auto" w:fill="CCEEFF"/>
                </w:rPr>
                <w:t>Loan Sale and Contribution Agreement, dated as of March 27, 2024, by and between Saratoga Investment Corp., as seller, and Saratoga Investment Funding III LLC,</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7620" w:type="dxa"/>
            <w:vAlign w:val="bottom"/>
            <w:tcBorders>
              <w:bottom w:val="single" w:sz="8" w:color="0000EE"/>
            </w:tcBorders>
            <w:gridSpan w:val="5"/>
            <w:shd w:val="clear" w:color="auto" w:fill="CCEEFF"/>
          </w:tcPr>
          <w:p>
            <w:pPr>
              <w:spacing w:after="0" w:line="161" w:lineRule="exact"/>
              <w:rPr>
                <w:rFonts w:ascii="Times New Roman" w:cs="Times New Roman" w:eastAsia="Times New Roman" w:hAnsi="Times New Roman"/>
                <w:sz w:val="15"/>
                <w:szCs w:val="15"/>
                <w:color w:val="0000EE"/>
                <w:w w:val="99"/>
                <w:shd w:val="clear" w:color="auto" w:fill="CCEEFF"/>
              </w:rPr>
            </w:pPr>
            <w:hyperlink r:id="rId182">
              <w:r>
                <w:rPr>
                  <w:rFonts w:ascii="Times New Roman" w:cs="Times New Roman" w:eastAsia="Times New Roman" w:hAnsi="Times New Roman"/>
                  <w:sz w:val="15"/>
                  <w:szCs w:val="15"/>
                  <w:color w:val="0000EE"/>
                  <w:w w:val="99"/>
                  <w:shd w:val="clear" w:color="auto" w:fill="CCEEFF"/>
                </w:rPr>
                <w:t>as purchaser (incorporated by reference to Saratoga Investment Corp.’s Current Report on Form 8-K filed on March 28, 2024).</w:t>
              </w:r>
            </w:hyperlink>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gridSpan w:val="3"/>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(k)(11)</w:t>
            </w:r>
          </w:p>
        </w:tc>
        <w:tc>
          <w:tcPr>
            <w:tcW w:w="10020" w:type="dxa"/>
            <w:vAlign w:val="bottom"/>
            <w:tcBorders>
              <w:bottom w:val="single" w:sz="8" w:color="0000EE"/>
            </w:tcBorders>
            <w:gridSpan w:val="12"/>
            <w:shd w:val="clear" w:color="auto" w:fill="CCEEFF"/>
          </w:tcPr>
          <w:p>
            <w:pPr>
              <w:spacing w:after="0" w:line="147" w:lineRule="exact"/>
              <w:rPr>
                <w:rFonts w:ascii="Times New Roman" w:cs="Times New Roman" w:eastAsia="Times New Roman" w:hAnsi="Times New Roman"/>
                <w:sz w:val="15"/>
                <w:szCs w:val="15"/>
                <w:color w:val="0000EE"/>
              </w:rPr>
            </w:pPr>
            <w:hyperlink r:id="rId183">
              <w:r>
                <w:rPr>
                  <w:rFonts w:ascii="Times New Roman" w:cs="Times New Roman" w:eastAsia="Times New Roman" w:hAnsi="Times New Roman"/>
                  <w:sz w:val="15"/>
                  <w:szCs w:val="15"/>
                  <w:color w:val="0000EE"/>
                </w:rPr>
                <w:t>Saratoga Senior Loan Fund I JV LLC Limited Liability Company Agreement dated October 26, 2021, by and between Saratoga Investment Corp. and TJHA JV I</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12"/>
            <w:shd w:val="clear" w:color="auto" w:fill="CCEEFF"/>
          </w:tcPr>
          <w:p>
            <w:pPr>
              <w:spacing w:after="0" w:line="161" w:lineRule="exact"/>
              <w:rPr>
                <w:rFonts w:ascii="Times New Roman" w:cs="Times New Roman" w:eastAsia="Times New Roman" w:hAnsi="Times New Roman"/>
                <w:sz w:val="15"/>
                <w:szCs w:val="15"/>
                <w:color w:val="0000EE"/>
              </w:rPr>
            </w:pPr>
            <w:hyperlink r:id="rId183">
              <w:r>
                <w:rPr>
                  <w:rFonts w:ascii="Times New Roman" w:cs="Times New Roman" w:eastAsia="Times New Roman" w:hAnsi="Times New Roman"/>
                  <w:sz w:val="15"/>
                  <w:szCs w:val="15"/>
                  <w:color w:val="0000EE"/>
                </w:rPr>
                <w:t>LLC (incorporated by reference to Saratoga Investment Corp.’s Current Report on Form 8-K filed on October 27, 2021).</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2580" w:type="dxa"/>
            <w:vAlign w:val="bottom"/>
            <w:tcBorders>
              <w:top w:val="single" w:sz="8" w:color="0000EE"/>
            </w:tcBorders>
          </w:tcPr>
          <w:p>
            <w:pPr>
              <w:spacing w:after="0"/>
              <w:rPr>
                <w:sz w:val="15"/>
                <w:szCs w:val="15"/>
                <w:color w:val="auto"/>
              </w:rPr>
            </w:pPr>
          </w:p>
        </w:tc>
        <w:tc>
          <w:tcPr>
            <w:tcW w:w="3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(k)(12)</w:t>
            </w:r>
          </w:p>
        </w:tc>
        <w:tc>
          <w:tcPr>
            <w:tcW w:w="10020" w:type="dxa"/>
            <w:vAlign w:val="bottom"/>
            <w:tcBorders>
              <w:bottom w:val="single" w:sz="8" w:color="0000EE"/>
            </w:tcBorders>
            <w:gridSpan w:val="12"/>
            <w:shd w:val="clear" w:color="auto" w:fill="CCEEFF"/>
          </w:tcPr>
          <w:p>
            <w:pPr>
              <w:spacing w:after="0" w:line="147" w:lineRule="exact"/>
              <w:rPr>
                <w:rFonts w:ascii="Times New Roman" w:cs="Times New Roman" w:eastAsia="Times New Roman" w:hAnsi="Times New Roman"/>
                <w:sz w:val="15"/>
                <w:szCs w:val="15"/>
                <w:color w:val="0000EE"/>
              </w:rPr>
            </w:pPr>
            <w:hyperlink r:id="rId184">
              <w:r>
                <w:rPr>
                  <w:rFonts w:ascii="Times New Roman" w:cs="Times New Roman" w:eastAsia="Times New Roman" w:hAnsi="Times New Roman"/>
                  <w:sz w:val="15"/>
                  <w:szCs w:val="15"/>
                  <w:color w:val="0000EE"/>
                </w:rPr>
                <w:t>Credit and Security Agreement, dated as of November 6, 2025, by and among Saratoga Investment Funding II, LLC, as borrower, Saratoga Investment Corp., as</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20" w:type="dxa"/>
            <w:vAlign w:val="bottom"/>
            <w:tcBorders>
              <w:bottom w:val="single" w:sz="8" w:color="0000EE"/>
            </w:tcBorders>
            <w:gridSpan w:val="12"/>
            <w:shd w:val="clear" w:color="auto" w:fill="CCEEFF"/>
          </w:tcPr>
          <w:p>
            <w:pPr>
              <w:spacing w:after="0" w:line="161" w:lineRule="exact"/>
              <w:rPr>
                <w:rFonts w:ascii="Times New Roman" w:cs="Times New Roman" w:eastAsia="Times New Roman" w:hAnsi="Times New Roman"/>
                <w:sz w:val="15"/>
                <w:szCs w:val="15"/>
                <w:color w:val="0000EE"/>
              </w:rPr>
            </w:pPr>
            <w:hyperlink r:id="rId184">
              <w:r>
                <w:rPr>
                  <w:rFonts w:ascii="Times New Roman" w:cs="Times New Roman" w:eastAsia="Times New Roman" w:hAnsi="Times New Roman"/>
                  <w:sz w:val="15"/>
                  <w:szCs w:val="15"/>
                  <w:color w:val="0000EE"/>
                </w:rPr>
                <w:t>collateral manager and equityholder, the lenders parties thereto, Valley National Bank, as administrative agent, lead arranger and bookrunner, Bank OZK, as</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20" w:type="dxa"/>
            <w:vAlign w:val="bottom"/>
            <w:gridSpan w:val="12"/>
            <w:shd w:val="clear" w:color="auto" w:fill="CCEEFF"/>
          </w:tcPr>
          <w:p>
            <w:pPr>
              <w:spacing w:after="0" w:line="161" w:lineRule="exact"/>
              <w:rPr>
                <w:rFonts w:ascii="Times New Roman" w:cs="Times New Roman" w:eastAsia="Times New Roman" w:hAnsi="Times New Roman"/>
                <w:sz w:val="15"/>
                <w:szCs w:val="15"/>
                <w:color w:val="0000EE"/>
              </w:rPr>
            </w:pPr>
            <w:hyperlink r:id="rId184">
              <w:r>
                <w:rPr>
                  <w:rFonts w:ascii="Times New Roman" w:cs="Times New Roman" w:eastAsia="Times New Roman" w:hAnsi="Times New Roman"/>
                  <w:sz w:val="15"/>
                  <w:szCs w:val="15"/>
                  <w:color w:val="0000EE"/>
                </w:rPr>
                <w:t>documentation agent, U.S. Bank National Association, as collateral custodian, and U.S. Bank Trust Company, National Association, as collateral agent and collateral</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0000EE"/>
            </w:tcBorders>
            <w:gridSpan w:val="11"/>
            <w:shd w:val="clear" w:color="auto" w:fill="CCEEFF"/>
          </w:tcPr>
          <w:p>
            <w:pPr>
              <w:spacing w:after="0" w:line="161" w:lineRule="exact"/>
              <w:rPr>
                <w:rFonts w:ascii="Times New Roman" w:cs="Times New Roman" w:eastAsia="Times New Roman" w:hAnsi="Times New Roman"/>
                <w:sz w:val="15"/>
                <w:szCs w:val="15"/>
                <w:color w:val="0000EE"/>
              </w:rPr>
            </w:pPr>
            <w:hyperlink r:id="rId184">
              <w:r>
                <w:rPr>
                  <w:rFonts w:ascii="Times New Roman" w:cs="Times New Roman" w:eastAsia="Times New Roman" w:hAnsi="Times New Roman"/>
                  <w:sz w:val="15"/>
                  <w:szCs w:val="15"/>
                  <w:color w:val="0000EE"/>
                </w:rPr>
                <w:t>administrator (incorporated by reference to Saratoga Investment Corp.’s Current Report on Form 8-K filed on November 6, 2025).</w:t>
              </w:r>
            </w:hyperlink>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2580" w:type="dxa"/>
            <w:vAlign w:val="bottom"/>
            <w:tcBorders>
              <w:top w:val="single" w:sz="8" w:color="0000EE"/>
            </w:tcBorders>
          </w:tcPr>
          <w:p>
            <w:pPr>
              <w:spacing w:after="0"/>
              <w:rPr>
                <w:sz w:val="15"/>
                <w:szCs w:val="15"/>
                <w:color w:val="auto"/>
              </w:rPr>
            </w:pPr>
          </w:p>
        </w:tc>
        <w:tc>
          <w:tcPr>
            <w:tcW w:w="3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(k)(13)</w:t>
            </w:r>
          </w:p>
        </w:tc>
        <w:tc>
          <w:tcPr>
            <w:tcW w:w="10020" w:type="dxa"/>
            <w:vAlign w:val="bottom"/>
            <w:tcBorders>
              <w:bottom w:val="single" w:sz="8" w:color="0000EE"/>
            </w:tcBorders>
            <w:gridSpan w:val="12"/>
            <w:shd w:val="clear" w:color="auto" w:fill="CCEEFF"/>
          </w:tcPr>
          <w:p>
            <w:pPr>
              <w:spacing w:after="0" w:line="147" w:lineRule="exact"/>
              <w:rPr>
                <w:rFonts w:ascii="Times New Roman" w:cs="Times New Roman" w:eastAsia="Times New Roman" w:hAnsi="Times New Roman"/>
                <w:sz w:val="15"/>
                <w:szCs w:val="15"/>
                <w:color w:val="0000EE"/>
              </w:rPr>
            </w:pPr>
            <w:hyperlink r:id="rId185">
              <w:r>
                <w:rPr>
                  <w:rFonts w:ascii="Times New Roman" w:cs="Times New Roman" w:eastAsia="Times New Roman" w:hAnsi="Times New Roman"/>
                  <w:sz w:val="15"/>
                  <w:szCs w:val="15"/>
                  <w:color w:val="0000EE"/>
                </w:rPr>
                <w:t>Equity Pledge Agreement, dated as of November 6, 2025, by and between Saratoga Investment Corp., as pledgor, and U.S. Bank Trust Company, National</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20" w:type="dxa"/>
            <w:vAlign w:val="bottom"/>
            <w:tcBorders>
              <w:bottom w:val="single" w:sz="8" w:color="0000EE"/>
            </w:tcBorders>
            <w:gridSpan w:val="12"/>
            <w:shd w:val="clear" w:color="auto" w:fill="CCEEFF"/>
          </w:tcPr>
          <w:p>
            <w:pPr>
              <w:spacing w:after="0" w:line="161" w:lineRule="exact"/>
              <w:rPr>
                <w:rFonts w:ascii="Times New Roman" w:cs="Times New Roman" w:eastAsia="Times New Roman" w:hAnsi="Times New Roman"/>
                <w:sz w:val="15"/>
                <w:szCs w:val="15"/>
                <w:color w:val="0000EE"/>
              </w:rPr>
            </w:pPr>
            <w:hyperlink r:id="rId185">
              <w:r>
                <w:rPr>
                  <w:rFonts w:ascii="Times New Roman" w:cs="Times New Roman" w:eastAsia="Times New Roman" w:hAnsi="Times New Roman"/>
                  <w:sz w:val="15"/>
                  <w:szCs w:val="15"/>
                  <w:color w:val="0000EE"/>
                </w:rPr>
                <w:t>Association, as collateral agent for the benefit of the secured parties (incorporated by reference to Saratoga Investment Corp.’s Current Report on Form 8-K filed on</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12"/>
            <w:shd w:val="clear" w:color="auto" w:fill="CCEEFF"/>
          </w:tcPr>
          <w:p>
            <w:pPr>
              <w:spacing w:after="0" w:line="161" w:lineRule="exact"/>
              <w:rPr>
                <w:rFonts w:ascii="Times New Roman" w:cs="Times New Roman" w:eastAsia="Times New Roman" w:hAnsi="Times New Roman"/>
                <w:sz w:val="15"/>
                <w:szCs w:val="15"/>
                <w:color w:val="0000EE"/>
              </w:rPr>
            </w:pPr>
            <w:hyperlink r:id="rId185">
              <w:r>
                <w:rPr>
                  <w:rFonts w:ascii="Times New Roman" w:cs="Times New Roman" w:eastAsia="Times New Roman" w:hAnsi="Times New Roman"/>
                  <w:sz w:val="15"/>
                  <w:szCs w:val="15"/>
                  <w:color w:val="0000EE"/>
                </w:rPr>
                <w:t>November 6, 2025).</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2580" w:type="dxa"/>
            <w:vAlign w:val="bottom"/>
            <w:tcBorders>
              <w:top w:val="single" w:sz="8" w:color="CCEEFF"/>
            </w:tcBorders>
          </w:tcPr>
          <w:p>
            <w:pPr>
              <w:spacing w:after="0"/>
              <w:rPr>
                <w:sz w:val="15"/>
                <w:szCs w:val="15"/>
                <w:color w:val="auto"/>
              </w:rPr>
            </w:pPr>
          </w:p>
        </w:tc>
        <w:tc>
          <w:tcPr>
            <w:tcW w:w="3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(k)(14)</w:t>
            </w:r>
          </w:p>
        </w:tc>
        <w:tc>
          <w:tcPr>
            <w:tcW w:w="10020" w:type="dxa"/>
            <w:vAlign w:val="bottom"/>
            <w:tcBorders>
              <w:bottom w:val="single" w:sz="8" w:color="0000EE"/>
            </w:tcBorders>
            <w:gridSpan w:val="12"/>
            <w:shd w:val="clear" w:color="auto" w:fill="CCEEFF"/>
          </w:tcPr>
          <w:p>
            <w:pPr>
              <w:spacing w:after="0" w:line="147" w:lineRule="exact"/>
              <w:rPr>
                <w:rFonts w:ascii="Times New Roman" w:cs="Times New Roman" w:eastAsia="Times New Roman" w:hAnsi="Times New Roman"/>
                <w:sz w:val="15"/>
                <w:szCs w:val="15"/>
                <w:color w:val="0000EE"/>
              </w:rPr>
            </w:pPr>
            <w:hyperlink r:id="rId186">
              <w:r>
                <w:rPr>
                  <w:rFonts w:ascii="Times New Roman" w:cs="Times New Roman" w:eastAsia="Times New Roman" w:hAnsi="Times New Roman"/>
                  <w:sz w:val="15"/>
                  <w:szCs w:val="15"/>
                  <w:color w:val="0000EE"/>
                </w:rPr>
                <w:t>Loan Sale and Contribution Agreement, dated as of November 6, 2025, by and between Saratoga Investment Corp., as seller, and Saratoga Investment Funding II</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12"/>
            <w:shd w:val="clear" w:color="auto" w:fill="CCEEFF"/>
          </w:tcPr>
          <w:p>
            <w:pPr>
              <w:spacing w:after="0" w:line="161" w:lineRule="exact"/>
              <w:rPr>
                <w:rFonts w:ascii="Times New Roman" w:cs="Times New Roman" w:eastAsia="Times New Roman" w:hAnsi="Times New Roman"/>
                <w:sz w:val="15"/>
                <w:szCs w:val="15"/>
                <w:color w:val="0000EE"/>
              </w:rPr>
            </w:pPr>
            <w:hyperlink r:id="rId186">
              <w:r>
                <w:rPr>
                  <w:rFonts w:ascii="Times New Roman" w:cs="Times New Roman" w:eastAsia="Times New Roman" w:hAnsi="Times New Roman"/>
                  <w:sz w:val="15"/>
                  <w:szCs w:val="15"/>
                  <w:color w:val="0000EE"/>
                </w:rPr>
                <w:t>LLC, as purchaser (incorporated by reference to Saratoga Investment Corp.’s Current Report on Form 8-K filed on November 6, 2025).</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2580" w:type="dxa"/>
            <w:vAlign w:val="bottom"/>
            <w:tcBorders>
              <w:top w:val="single" w:sz="8" w:color="0000EE"/>
            </w:tcBorders>
          </w:tcPr>
          <w:p>
            <w:pPr>
              <w:spacing w:after="0"/>
              <w:rPr>
                <w:sz w:val="15"/>
                <w:szCs w:val="15"/>
                <w:color w:val="auto"/>
              </w:rPr>
            </w:pPr>
          </w:p>
        </w:tc>
        <w:tc>
          <w:tcPr>
            <w:tcW w:w="3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(k)(15)</w:t>
            </w:r>
          </w:p>
        </w:tc>
        <w:tc>
          <w:tcPr>
            <w:tcW w:w="10020" w:type="dxa"/>
            <w:vAlign w:val="bottom"/>
            <w:gridSpan w:val="12"/>
            <w:shd w:val="clear" w:color="auto" w:fill="CCEEFF"/>
          </w:tcPr>
          <w:p>
            <w:pPr>
              <w:spacing w:after="0" w:line="147" w:lineRule="exact"/>
              <w:rPr>
                <w:rFonts w:ascii="Times New Roman" w:cs="Times New Roman" w:eastAsia="Times New Roman" w:hAnsi="Times New Roman"/>
                <w:sz w:val="15"/>
                <w:szCs w:val="15"/>
                <w:color w:val="0000EE"/>
              </w:rPr>
            </w:pPr>
            <w:hyperlink r:id="rId187">
              <w:r>
                <w:rPr>
                  <w:rFonts w:ascii="Times New Roman" w:cs="Times New Roman" w:eastAsia="Times New Roman" w:hAnsi="Times New Roman"/>
                  <w:sz w:val="15"/>
                  <w:szCs w:val="15"/>
                  <w:color w:val="0000EE"/>
                </w:rPr>
                <w:t>Limited Guaranty Agreement, dated as of November 6, 2025, by Saratoga Investment Corp., as guarantor, in favor of Valley National Bank, as administrator for the</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0000EE"/>
            </w:tcBorders>
            <w:gridSpan w:val="11"/>
            <w:shd w:val="clear" w:color="auto" w:fill="CCEEFF"/>
          </w:tcPr>
          <w:p>
            <w:pPr>
              <w:spacing w:after="0" w:line="161" w:lineRule="exact"/>
              <w:rPr>
                <w:rFonts w:ascii="Times New Roman" w:cs="Times New Roman" w:eastAsia="Times New Roman" w:hAnsi="Times New Roman"/>
                <w:sz w:val="15"/>
                <w:szCs w:val="15"/>
                <w:color w:val="0000EE"/>
              </w:rPr>
            </w:pPr>
            <w:hyperlink r:id="rId187">
              <w:r>
                <w:rPr>
                  <w:rFonts w:ascii="Times New Roman" w:cs="Times New Roman" w:eastAsia="Times New Roman" w:hAnsi="Times New Roman"/>
                  <w:sz w:val="15"/>
                  <w:szCs w:val="15"/>
                  <w:color w:val="0000EE"/>
                </w:rPr>
                <w:t>secured parties (incorporated by reference to Saratoga Investment Corp.’s Current Report on Form 8-K filed on November 6, 2025).</w:t>
              </w:r>
            </w:hyperlink>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2580" w:type="dxa"/>
            <w:vAlign w:val="bottom"/>
            <w:tcBorders>
              <w:top w:val="single" w:sz="8" w:color="0000EE"/>
            </w:tcBorders>
          </w:tcPr>
          <w:p>
            <w:pPr>
              <w:spacing w:after="0"/>
              <w:rPr>
                <w:sz w:val="15"/>
                <w:szCs w:val="15"/>
                <w:color w:val="auto"/>
              </w:rPr>
            </w:pPr>
          </w:p>
        </w:tc>
        <w:tc>
          <w:tcPr>
            <w:tcW w:w="3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(k)(16)</w:t>
            </w:r>
          </w:p>
        </w:tc>
        <w:tc>
          <w:tcPr>
            <w:tcW w:w="10020" w:type="dxa"/>
            <w:vAlign w:val="bottom"/>
            <w:tcBorders>
              <w:bottom w:val="single" w:sz="8" w:color="0000EE"/>
            </w:tcBorders>
            <w:gridSpan w:val="12"/>
            <w:shd w:val="clear" w:color="auto" w:fill="CCEEFF"/>
          </w:tcPr>
          <w:p>
            <w:pPr>
              <w:spacing w:after="0" w:line="147" w:lineRule="exact"/>
              <w:rPr>
                <w:rFonts w:ascii="Times New Roman" w:cs="Times New Roman" w:eastAsia="Times New Roman" w:hAnsi="Times New Roman"/>
                <w:sz w:val="15"/>
                <w:szCs w:val="15"/>
                <w:color w:val="0000EE"/>
              </w:rPr>
            </w:pPr>
            <w:hyperlink r:id="rId188">
              <w:r>
                <w:rPr>
                  <w:rFonts w:ascii="Times New Roman" w:cs="Times New Roman" w:eastAsia="Times New Roman" w:hAnsi="Times New Roman"/>
                  <w:sz w:val="15"/>
                  <w:szCs w:val="15"/>
                  <w:color w:val="0000EE"/>
                </w:rPr>
                <w:t>Springing Guaranty Agreement, dated as of November 6, 2025, by Saratoga Investment Corp., as guarantor, in favor of Valley National Bank, as administrator for the</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7940" w:type="dxa"/>
            <w:vAlign w:val="bottom"/>
            <w:tcBorders>
              <w:bottom w:val="single" w:sz="8" w:color="0000EE"/>
            </w:tcBorders>
            <w:gridSpan w:val="7"/>
            <w:shd w:val="clear" w:color="auto" w:fill="CCEEFF"/>
          </w:tcPr>
          <w:p>
            <w:pPr>
              <w:spacing w:after="0" w:line="161" w:lineRule="exact"/>
              <w:rPr>
                <w:rFonts w:ascii="Times New Roman" w:cs="Times New Roman" w:eastAsia="Times New Roman" w:hAnsi="Times New Roman"/>
                <w:sz w:val="15"/>
                <w:szCs w:val="15"/>
                <w:color w:val="0000EE"/>
                <w:w w:val="99"/>
              </w:rPr>
            </w:pPr>
            <w:hyperlink r:id="rId188">
              <w:r>
                <w:rPr>
                  <w:rFonts w:ascii="Times New Roman" w:cs="Times New Roman" w:eastAsia="Times New Roman" w:hAnsi="Times New Roman"/>
                  <w:sz w:val="15"/>
                  <w:szCs w:val="15"/>
                  <w:color w:val="0000EE"/>
                  <w:w w:val="99"/>
                </w:rPr>
                <w:t>secured parties (incorporated by reference to Saratoga Investment Corp.’s Current Report on Form 8-K filed on November 6, 2025).</w:t>
              </w:r>
            </w:hyperlink>
          </w:p>
        </w:tc>
        <w:tc>
          <w:tcPr>
            <w:tcW w:w="2080" w:type="dxa"/>
            <w:vAlign w:val="bottom"/>
            <w:tcBorders>
              <w:bottom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4"/>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gridSpan w:val="10"/>
          </w:tcPr>
          <w:p>
            <w:pPr>
              <w:ind w:left="500"/>
              <w:spacing w:after="0"/>
              <w:rPr>
                <w:sz w:val="20"/>
                <w:szCs w:val="20"/>
                <w:color w:val="auto"/>
              </w:rPr>
            </w:pPr>
            <w:r>
              <w:rPr>
                <w:rFonts w:ascii="Times New Roman" w:cs="Times New Roman" w:eastAsia="Times New Roman" w:hAnsi="Times New Roman"/>
                <w:sz w:val="15"/>
                <w:szCs w:val="15"/>
                <w:color w:val="auto"/>
              </w:rPr>
              <w:t>C-4</w:t>
            </w:r>
          </w:p>
        </w:tc>
        <w:tc>
          <w:tcPr>
            <w:tcW w:w="0" w:type="dxa"/>
            <w:vAlign w:val="bottom"/>
          </w:tcPr>
          <w:p>
            <w:pPr>
              <w:spacing w:after="0"/>
              <w:rPr>
                <w:sz w:val="1"/>
                <w:szCs w:val="1"/>
                <w:color w:val="auto"/>
              </w:rPr>
            </w:pPr>
          </w:p>
        </w:tc>
      </w:tr>
    </w:tbl>
    <w:p>
      <w:pPr>
        <w:sectPr>
          <w:pgSz w:w="11900" w:h="16838" w:orient="portrait"/>
          <w:cols w:equalWidth="0" w:num="1">
            <w:col w:w="11260"/>
          </w:cols>
          <w:pgMar w:left="320" w:top="745" w:right="319" w:bottom="1440" w:gutter="0" w:footer="0" w:header="0"/>
        </w:sectPr>
      </w:pPr>
    </w:p>
    <w:bookmarkStart w:id="94" w:name="page95"/>
    <w:bookmarkEnd w:id="94"/>
    <w:p>
      <w:pPr>
        <w:ind w:left="1250" w:hanging="1250"/>
        <w:spacing w:after="0" w:line="283" w:lineRule="auto"/>
        <w:tabs>
          <w:tab w:leader="none" w:pos="125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EE"/>
        </w:rPr>
        <w:t>Opinion and Consent of Eversheds Sutherland (US) LLP, counsel for Saratoga Investment Corp. (incorporated by reference to Saratoga Investment Corp.’s Registration Statement on Form N-2.*</w:t>
      </w:r>
    </w:p>
    <w:p>
      <w:pPr>
        <w:spacing w:after="0" w:line="134" w:lineRule="exact"/>
        <w:rPr>
          <w:rFonts w:ascii="Times New Roman" w:cs="Times New Roman" w:eastAsia="Times New Roman" w:hAnsi="Times New Roman"/>
          <w:sz w:val="15"/>
          <w:szCs w:val="15"/>
          <w:color w:val="auto"/>
        </w:rPr>
      </w:pPr>
    </w:p>
    <w:p>
      <w:pPr>
        <w:ind w:left="1250" w:hanging="1250"/>
        <w:spacing w:after="0"/>
        <w:tabs>
          <w:tab w:leader="none" w:pos="125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-443230</wp:posOffset>
            </wp:positionV>
            <wp:extent cx="7155180" cy="2292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7155180" cy="2292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-99695</wp:posOffset>
            </wp:positionV>
            <wp:extent cx="7155180" cy="1143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(n)(1)</w:t>
            </w:r>
          </w:p>
        </w:tc>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0000EE"/>
              </w:rPr>
              <w:t>Consent of Ernst &amp; Young LLP, Independent Registered Public Accounting Firm, relating to Saratoga Investment Corp.*</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67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7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(n)(2)</w:t>
            </w:r>
          </w:p>
        </w:tc>
        <w:tc>
          <w:tcPr>
            <w:tcW w:w="1002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Consent of CohnReznick LLP, Independent Auditors, relating to Saratoga Investment Corp. CLO 2013-1, Ltd.*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700" w:type="dxa"/>
            <w:vAlign w:val="bottom"/>
            <w:shd w:val="clear" w:color="auto" w:fill="0000EE"/>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250" w:hanging="1250"/>
        <w:spacing w:after="0"/>
        <w:tabs>
          <w:tab w:leader="none" w:pos="125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applicable.</w:t>
      </w:r>
    </w:p>
    <w:p>
      <w:pPr>
        <w:spacing w:after="0" w:line="188" w:lineRule="exact"/>
        <w:rPr>
          <w:rFonts w:ascii="Times New Roman" w:cs="Times New Roman" w:eastAsia="Times New Roman" w:hAnsi="Times New Roman"/>
          <w:sz w:val="15"/>
          <w:szCs w:val="15"/>
          <w:color w:val="auto"/>
        </w:rPr>
      </w:pPr>
    </w:p>
    <w:p>
      <w:pPr>
        <w:ind w:left="1250" w:hanging="1250"/>
        <w:spacing w:after="0"/>
        <w:tabs>
          <w:tab w:leader="none" w:pos="125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applicable.</w:t>
      </w:r>
    </w:p>
    <w:p>
      <w:pPr>
        <w:spacing w:after="0" w:line="188" w:lineRule="exact"/>
        <w:rPr>
          <w:rFonts w:ascii="Times New Roman" w:cs="Times New Roman" w:eastAsia="Times New Roman" w:hAnsi="Times New Roman"/>
          <w:sz w:val="15"/>
          <w:szCs w:val="15"/>
          <w:color w:val="auto"/>
        </w:rPr>
      </w:pPr>
    </w:p>
    <w:p>
      <w:pPr>
        <w:ind w:left="1250" w:hanging="1250"/>
        <w:spacing w:after="0"/>
        <w:tabs>
          <w:tab w:leader="none" w:pos="125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applicable.</w:t>
      </w:r>
    </w:p>
    <w:p>
      <w:pPr>
        <w:spacing w:after="0" w:line="188" w:lineRule="exact"/>
        <w:rPr>
          <w:rFonts w:ascii="Times New Roman" w:cs="Times New Roman" w:eastAsia="Times New Roman" w:hAnsi="Times New Roman"/>
          <w:sz w:val="15"/>
          <w:szCs w:val="15"/>
          <w:color w:val="auto"/>
        </w:rPr>
      </w:pPr>
    </w:p>
    <w:p>
      <w:pPr>
        <w:ind w:left="1250" w:hanging="1250"/>
        <w:spacing w:after="0" w:line="283" w:lineRule="auto"/>
        <w:tabs>
          <w:tab w:leader="none" w:pos="1250" w:val="left"/>
        </w:tabs>
        <w:numPr>
          <w:ilvl w:val="0"/>
          <w:numId w:val="61"/>
        </w:numPr>
        <w:rPr>
          <w:rFonts w:ascii="Times New Roman" w:cs="Times New Roman" w:eastAsia="Times New Roman" w:hAnsi="Times New Roman"/>
          <w:sz w:val="15"/>
          <w:szCs w:val="15"/>
          <w:u w:val="single" w:color="auto"/>
          <w:color w:val="0000EE"/>
        </w:rPr>
      </w:pPr>
      <w:hyperlink r:id="rId191">
        <w:r>
          <w:rPr>
            <w:rFonts w:ascii="Times New Roman" w:cs="Times New Roman" w:eastAsia="Times New Roman" w:hAnsi="Times New Roman"/>
            <w:sz w:val="15"/>
            <w:szCs w:val="15"/>
            <w:u w:val="single" w:color="auto"/>
            <w:color w:val="0000EE"/>
          </w:rPr>
          <w:t>Code of Ethics of Saratoga Investment Corp. adopted under Rule 17j-1 (incorporated by reference to Amendment No. 7 to Saratoga Investment Corp.’s Registration</w:t>
        </w:r>
      </w:hyperlink>
      <w:r>
        <w:rPr>
          <w:rFonts w:ascii="Times New Roman" w:cs="Times New Roman" w:eastAsia="Times New Roman" w:hAnsi="Times New Roman"/>
          <w:sz w:val="15"/>
          <w:szCs w:val="15"/>
          <w:u w:val="single" w:color="auto"/>
          <w:color w:val="0000EE"/>
        </w:rPr>
        <w:t xml:space="preserve"> </w:t>
      </w:r>
      <w:hyperlink r:id="rId191">
        <w:r>
          <w:rPr>
            <w:rFonts w:ascii="Times New Roman" w:cs="Times New Roman" w:eastAsia="Times New Roman" w:hAnsi="Times New Roman"/>
            <w:sz w:val="15"/>
            <w:szCs w:val="15"/>
            <w:u w:val="single" w:color="auto"/>
            <w:color w:val="0000EE"/>
          </w:rPr>
          <w:t>Statement on Form N-2, File No. 333-138051, filed on March 22, 2007).</w:t>
        </w:r>
      </w:hyperlink>
    </w:p>
    <w:p>
      <w:pPr>
        <w:spacing w:after="0" w:line="134" w:lineRule="exact"/>
        <w:rPr>
          <w:rFonts w:ascii="Times New Roman" w:cs="Times New Roman" w:eastAsia="Times New Roman" w:hAnsi="Times New Roman"/>
          <w:sz w:val="15"/>
          <w:szCs w:val="15"/>
          <w:u w:val="single" w:color="auto"/>
          <w:color w:val="0000EE"/>
        </w:rPr>
      </w:pPr>
    </w:p>
    <w:p>
      <w:pPr>
        <w:ind w:left="1250" w:hanging="1250"/>
        <w:spacing w:after="0"/>
        <w:tabs>
          <w:tab w:leader="none" w:pos="125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EE"/>
        </w:rPr>
        <w:t>Calculation of Filing Fee Table*</w:t>
      </w:r>
    </w:p>
    <w:p>
      <w:pPr>
        <w:spacing w:after="0" w:line="188" w:lineRule="exact"/>
        <w:rPr>
          <w:rFonts w:ascii="Times New Roman" w:cs="Times New Roman" w:eastAsia="Times New Roman" w:hAnsi="Times New Roman"/>
          <w:sz w:val="15"/>
          <w:szCs w:val="15"/>
          <w:color w:val="auto"/>
        </w:rPr>
      </w:pPr>
    </w:p>
    <w:p>
      <w:pPr>
        <w:ind w:left="1250" w:hanging="1250"/>
        <w:spacing w:after="0"/>
        <w:tabs>
          <w:tab w:leader="none" w:pos="125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EE"/>
        </w:rPr>
        <w:t>Power of Attorney (see signature page of this registration statement).</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0</wp:posOffset>
            </wp:positionH>
            <wp:positionV relativeFrom="paragraph">
              <wp:posOffset>-1360170</wp:posOffset>
            </wp:positionV>
            <wp:extent cx="7155180" cy="1143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2">
                      <a:extLst>
                        <a:ext uri="{28A0092B-C50C-407E-A947-70E740481C1C}"/>
                      </a:extLst>
                    </a:blip>
                    <a:srcRect/>
                    <a:stretch>
                      <a:fillRect/>
                    </a:stretch>
                  </pic:blipFill>
                  <pic:spPr bwMode="auto">
                    <a:xfrm>
                      <a:off x="0" y="0"/>
                      <a:ext cx="715518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-1130935</wp:posOffset>
            </wp:positionV>
            <wp:extent cx="7155180" cy="1143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3">
                      <a:extLst>
                        <a:ext uri="{28A0092B-C50C-407E-A947-70E740481C1C}"/>
                      </a:extLst>
                    </a:blip>
                    <a:srcRect/>
                    <a:stretch>
                      <a:fillRect/>
                    </a:stretch>
                  </pic:blipFill>
                  <pic:spPr bwMode="auto">
                    <a:xfrm>
                      <a:off x="0" y="0"/>
                      <a:ext cx="715518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-901700</wp:posOffset>
            </wp:positionV>
            <wp:extent cx="7155180" cy="1143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4">
                      <a:extLst>
                        <a:ext uri="{28A0092B-C50C-407E-A947-70E740481C1C}"/>
                      </a:extLst>
                    </a:blip>
                    <a:srcRect/>
                    <a:stretch>
                      <a:fillRect/>
                    </a:stretch>
                  </pic:blipFill>
                  <pic:spPr bwMode="auto">
                    <a:xfrm>
                      <a:off x="0" y="0"/>
                      <a:ext cx="715518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-672465</wp:posOffset>
            </wp:positionV>
            <wp:extent cx="7155180" cy="2292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5">
                      <a:extLst>
                        <a:ext uri="{28A0092B-C50C-407E-A947-70E740481C1C}"/>
                      </a:extLst>
                    </a:blip>
                    <a:srcRect/>
                    <a:stretch>
                      <a:fillRect/>
                    </a:stretch>
                  </pic:blipFill>
                  <pic:spPr bwMode="auto">
                    <a:xfrm>
                      <a:off x="0" y="0"/>
                      <a:ext cx="7155180" cy="2292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-328930</wp:posOffset>
            </wp:positionV>
            <wp:extent cx="7155180" cy="1143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6">
                      <a:extLst>
                        <a:ext uri="{28A0092B-C50C-407E-A947-70E740481C1C}"/>
                      </a:extLst>
                    </a:blip>
                    <a:srcRect/>
                    <a:stretch>
                      <a:fillRect/>
                    </a:stretch>
                  </pic:blipFill>
                  <pic:spPr bwMode="auto">
                    <a:xfrm>
                      <a:off x="0" y="0"/>
                      <a:ext cx="715518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-99695</wp:posOffset>
            </wp:positionV>
            <wp:extent cx="7155180" cy="1143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7">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157" w:lineRule="exact"/>
        <w:rPr>
          <w:rFonts w:ascii="Times New Roman" w:cs="Times New Roman" w:eastAsia="Times New Roman" w:hAnsi="Times New Roman"/>
          <w:sz w:val="15"/>
          <w:szCs w:val="15"/>
          <w:color w:val="auto"/>
        </w:rPr>
      </w:pPr>
    </w:p>
    <w:tbl>
      <w:tblPr>
        <w:tblLayout w:type="fixed"/>
        <w:tblInd w:w="1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99.1</w:t>
            </w:r>
          </w:p>
        </w:tc>
        <w:tc>
          <w:tcPr>
            <w:tcW w:w="10020" w:type="dxa"/>
            <w:vAlign w:val="bottom"/>
            <w:gridSpan w:val="6"/>
            <w:shd w:val="clear" w:color="auto" w:fill="CCEEFF"/>
          </w:tcPr>
          <w:p>
            <w:pPr>
              <w:spacing w:after="0"/>
              <w:rPr>
                <w:rFonts w:ascii="Times New Roman" w:cs="Times New Roman" w:eastAsia="Times New Roman" w:hAnsi="Times New Roman"/>
                <w:sz w:val="15"/>
                <w:szCs w:val="15"/>
                <w:color w:val="0000EE"/>
              </w:rPr>
            </w:pPr>
            <w:hyperlink r:id="rId198">
              <w:r>
                <w:rPr>
                  <w:rFonts w:ascii="Times New Roman" w:cs="Times New Roman" w:eastAsia="Times New Roman" w:hAnsi="Times New Roman"/>
                  <w:sz w:val="15"/>
                  <w:szCs w:val="15"/>
                  <w:color w:val="0000EE"/>
                </w:rPr>
                <w:t>Form of prospectus supplement for common stock offerings (incorporated by reference to Amendment No. 1 to Saratoga Investment Corp.’s Registration Statement</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0000EE"/>
            </w:tcBorders>
            <w:gridSpan w:val="5"/>
            <w:shd w:val="clear" w:color="auto" w:fill="CCEEFF"/>
          </w:tcPr>
          <w:p>
            <w:pPr>
              <w:spacing w:after="0" w:line="161" w:lineRule="exact"/>
              <w:rPr>
                <w:rFonts w:ascii="Times New Roman" w:cs="Times New Roman" w:eastAsia="Times New Roman" w:hAnsi="Times New Roman"/>
                <w:sz w:val="15"/>
                <w:szCs w:val="15"/>
                <w:color w:val="0000EE"/>
              </w:rPr>
            </w:pPr>
            <w:hyperlink r:id="rId198">
              <w:r>
                <w:rPr>
                  <w:rFonts w:ascii="Times New Roman" w:cs="Times New Roman" w:eastAsia="Times New Roman" w:hAnsi="Times New Roman"/>
                  <w:sz w:val="15"/>
                  <w:szCs w:val="15"/>
                  <w:color w:val="0000EE"/>
                </w:rPr>
                <w:t>on Form N-2, File No. 333-196526, filed on December 5, 2014).</w:t>
              </w:r>
            </w:hyperlink>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33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54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99.2</w:t>
            </w:r>
          </w:p>
        </w:tc>
        <w:tc>
          <w:tcPr>
            <w:tcW w:w="10020" w:type="dxa"/>
            <w:vAlign w:val="bottom"/>
            <w:gridSpan w:val="6"/>
            <w:shd w:val="clear" w:color="auto" w:fill="CCEEFF"/>
          </w:tcPr>
          <w:p>
            <w:pPr>
              <w:spacing w:after="0" w:line="147" w:lineRule="exact"/>
              <w:rPr>
                <w:rFonts w:ascii="Times New Roman" w:cs="Times New Roman" w:eastAsia="Times New Roman" w:hAnsi="Times New Roman"/>
                <w:sz w:val="15"/>
                <w:szCs w:val="15"/>
                <w:color w:val="0000EE"/>
              </w:rPr>
            </w:pPr>
            <w:hyperlink r:id="rId199">
              <w:r>
                <w:rPr>
                  <w:rFonts w:ascii="Times New Roman" w:cs="Times New Roman" w:eastAsia="Times New Roman" w:hAnsi="Times New Roman"/>
                  <w:sz w:val="15"/>
                  <w:szCs w:val="15"/>
                  <w:color w:val="0000EE"/>
                </w:rPr>
                <w:t>Form of prospectus supplement for preferred stock offerings (incorporated by reference to Amendment No. 1 to Saratoga Investment Corp.’s Registration Statement</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0000EE"/>
            </w:tcBorders>
            <w:gridSpan w:val="5"/>
            <w:shd w:val="clear" w:color="auto" w:fill="CCEEFF"/>
          </w:tcPr>
          <w:p>
            <w:pPr>
              <w:spacing w:after="0" w:line="161" w:lineRule="exact"/>
              <w:rPr>
                <w:rFonts w:ascii="Times New Roman" w:cs="Times New Roman" w:eastAsia="Times New Roman" w:hAnsi="Times New Roman"/>
                <w:sz w:val="15"/>
                <w:szCs w:val="15"/>
                <w:color w:val="0000EE"/>
              </w:rPr>
            </w:pPr>
            <w:hyperlink r:id="rId199">
              <w:r>
                <w:rPr>
                  <w:rFonts w:ascii="Times New Roman" w:cs="Times New Roman" w:eastAsia="Times New Roman" w:hAnsi="Times New Roman"/>
                  <w:sz w:val="15"/>
                  <w:szCs w:val="15"/>
                  <w:color w:val="0000EE"/>
                </w:rPr>
                <w:t>on Form N-2, File No. 333-196526, filed on December 5, 2014).</w:t>
              </w:r>
            </w:hyperlink>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33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54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99.3</w:t>
            </w:r>
          </w:p>
        </w:tc>
        <w:tc>
          <w:tcPr>
            <w:tcW w:w="10020" w:type="dxa"/>
            <w:vAlign w:val="bottom"/>
            <w:tcBorders>
              <w:bottom w:val="single" w:sz="8" w:color="0000EE"/>
            </w:tcBorders>
            <w:gridSpan w:val="6"/>
            <w:shd w:val="clear" w:color="auto" w:fill="CCEEFF"/>
          </w:tcPr>
          <w:p>
            <w:pPr>
              <w:spacing w:after="0" w:line="147" w:lineRule="exact"/>
              <w:rPr>
                <w:rFonts w:ascii="Times New Roman" w:cs="Times New Roman" w:eastAsia="Times New Roman" w:hAnsi="Times New Roman"/>
                <w:sz w:val="15"/>
                <w:szCs w:val="15"/>
                <w:color w:val="0000EE"/>
              </w:rPr>
            </w:pPr>
            <w:hyperlink r:id="rId200">
              <w:r>
                <w:rPr>
                  <w:rFonts w:ascii="Times New Roman" w:cs="Times New Roman" w:eastAsia="Times New Roman" w:hAnsi="Times New Roman"/>
                  <w:sz w:val="15"/>
                  <w:szCs w:val="15"/>
                  <w:color w:val="0000EE"/>
                </w:rPr>
                <w:t>Form of prospectus supplement for subscription rights offering (incorporated by reference to Amendment No. 1 to Saratoga Investment Corp.’s Registration</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6"/>
            <w:shd w:val="clear" w:color="auto" w:fill="CCEEFF"/>
          </w:tcPr>
          <w:p>
            <w:pPr>
              <w:spacing w:after="0" w:line="161" w:lineRule="exact"/>
              <w:rPr>
                <w:rFonts w:ascii="Times New Roman" w:cs="Times New Roman" w:eastAsia="Times New Roman" w:hAnsi="Times New Roman"/>
                <w:sz w:val="15"/>
                <w:szCs w:val="15"/>
                <w:color w:val="0000EE"/>
              </w:rPr>
            </w:pPr>
            <w:hyperlink r:id="rId200">
              <w:r>
                <w:rPr>
                  <w:rFonts w:ascii="Times New Roman" w:cs="Times New Roman" w:eastAsia="Times New Roman" w:hAnsi="Times New Roman"/>
                  <w:sz w:val="15"/>
                  <w:szCs w:val="15"/>
                  <w:color w:val="0000EE"/>
                </w:rPr>
                <w:t>Statement on Form N-2, File No. 333-196526, filed on December 5, 2014).</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33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54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99.4</w:t>
            </w:r>
          </w:p>
        </w:tc>
        <w:tc>
          <w:tcPr>
            <w:tcW w:w="10020" w:type="dxa"/>
            <w:vAlign w:val="bottom"/>
            <w:tcBorders>
              <w:bottom w:val="single" w:sz="8" w:color="0000EE"/>
            </w:tcBorders>
            <w:gridSpan w:val="6"/>
            <w:shd w:val="clear" w:color="auto" w:fill="CCEEFF"/>
          </w:tcPr>
          <w:p>
            <w:pPr>
              <w:spacing w:after="0" w:line="147" w:lineRule="exact"/>
              <w:rPr>
                <w:rFonts w:ascii="Times New Roman" w:cs="Times New Roman" w:eastAsia="Times New Roman" w:hAnsi="Times New Roman"/>
                <w:sz w:val="15"/>
                <w:szCs w:val="15"/>
                <w:color w:val="0000EE"/>
              </w:rPr>
            </w:pPr>
            <w:hyperlink r:id="rId201">
              <w:r>
                <w:rPr>
                  <w:rFonts w:ascii="Times New Roman" w:cs="Times New Roman" w:eastAsia="Times New Roman" w:hAnsi="Times New Roman"/>
                  <w:sz w:val="15"/>
                  <w:szCs w:val="15"/>
                  <w:color w:val="0000EE"/>
                </w:rPr>
                <w:t>Form of prospectus supplement for warrant offerings (incorporated by reference to Amendment No. 1 to Saratoga Investment Corp.’s Registration Statement on Form</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20" w:type="dxa"/>
            <w:vAlign w:val="bottom"/>
            <w:gridSpan w:val="6"/>
            <w:shd w:val="clear" w:color="auto" w:fill="CCEEFF"/>
          </w:tcPr>
          <w:p>
            <w:pPr>
              <w:spacing w:after="0" w:line="161" w:lineRule="exact"/>
              <w:rPr>
                <w:rFonts w:ascii="Times New Roman" w:cs="Times New Roman" w:eastAsia="Times New Roman" w:hAnsi="Times New Roman"/>
                <w:sz w:val="15"/>
                <w:szCs w:val="15"/>
                <w:color w:val="0000EE"/>
              </w:rPr>
            </w:pPr>
            <w:hyperlink r:id="rId201">
              <w:r>
                <w:rPr>
                  <w:rFonts w:ascii="Times New Roman" w:cs="Times New Roman" w:eastAsia="Times New Roman" w:hAnsi="Times New Roman"/>
                  <w:sz w:val="15"/>
                  <w:szCs w:val="15"/>
                  <w:color w:val="0000EE"/>
                </w:rPr>
                <w:t>N-2, File No. 333-196526, filed on December 5, 2014).</w:t>
              </w:r>
            </w:hyperlink>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3320" w:type="dxa"/>
            <w:vAlign w:val="bottom"/>
            <w:tcBorders>
              <w:top w:val="single" w:sz="8" w:color="0000EE"/>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54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99.5</w:t>
            </w:r>
          </w:p>
        </w:tc>
        <w:tc>
          <w:tcPr>
            <w:tcW w:w="10020" w:type="dxa"/>
            <w:vAlign w:val="bottom"/>
            <w:gridSpan w:val="6"/>
            <w:shd w:val="clear" w:color="auto" w:fill="CCEEFF"/>
          </w:tcPr>
          <w:p>
            <w:pPr>
              <w:spacing w:after="0" w:line="147" w:lineRule="exact"/>
              <w:rPr>
                <w:rFonts w:ascii="Times New Roman" w:cs="Times New Roman" w:eastAsia="Times New Roman" w:hAnsi="Times New Roman"/>
                <w:sz w:val="15"/>
                <w:szCs w:val="15"/>
                <w:color w:val="0000EE"/>
              </w:rPr>
            </w:pPr>
            <w:hyperlink r:id="rId202">
              <w:r>
                <w:rPr>
                  <w:rFonts w:ascii="Times New Roman" w:cs="Times New Roman" w:eastAsia="Times New Roman" w:hAnsi="Times New Roman"/>
                  <w:sz w:val="15"/>
                  <w:szCs w:val="15"/>
                  <w:color w:val="0000EE"/>
                </w:rPr>
                <w:t>Form of prospectus supplement for retail note offerings (incorporated by reference to Amendment No. 1 to Saratoga Investment Corp.’s Registration Statement on</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0000EE"/>
            </w:tcBorders>
            <w:gridSpan w:val="5"/>
            <w:shd w:val="clear" w:color="auto" w:fill="CCEEFF"/>
          </w:tcPr>
          <w:p>
            <w:pPr>
              <w:spacing w:after="0" w:line="161" w:lineRule="exact"/>
              <w:rPr>
                <w:rFonts w:ascii="Times New Roman" w:cs="Times New Roman" w:eastAsia="Times New Roman" w:hAnsi="Times New Roman"/>
                <w:sz w:val="15"/>
                <w:szCs w:val="15"/>
                <w:color w:val="0000EE"/>
              </w:rPr>
            </w:pPr>
            <w:hyperlink r:id="rId202">
              <w:r>
                <w:rPr>
                  <w:rFonts w:ascii="Times New Roman" w:cs="Times New Roman" w:eastAsia="Times New Roman" w:hAnsi="Times New Roman"/>
                  <w:sz w:val="15"/>
                  <w:szCs w:val="15"/>
                  <w:color w:val="0000EE"/>
                </w:rPr>
                <w:t>Form N-2, File No. 333-196526, filed on December 5, 2014).</w:t>
              </w:r>
            </w:hyperlink>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33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54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122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99.6</w:t>
            </w:r>
          </w:p>
        </w:tc>
        <w:tc>
          <w:tcPr>
            <w:tcW w:w="10020" w:type="dxa"/>
            <w:vAlign w:val="bottom"/>
            <w:tcBorders>
              <w:bottom w:val="single" w:sz="8" w:color="0000EE"/>
            </w:tcBorders>
            <w:gridSpan w:val="6"/>
            <w:shd w:val="clear" w:color="auto" w:fill="CCEEFF"/>
          </w:tcPr>
          <w:p>
            <w:pPr>
              <w:spacing w:after="0" w:line="147" w:lineRule="exact"/>
              <w:rPr>
                <w:rFonts w:ascii="Times New Roman" w:cs="Times New Roman" w:eastAsia="Times New Roman" w:hAnsi="Times New Roman"/>
                <w:sz w:val="15"/>
                <w:szCs w:val="15"/>
                <w:color w:val="0000EE"/>
              </w:rPr>
            </w:pPr>
            <w:hyperlink r:id="rId203">
              <w:r>
                <w:rPr>
                  <w:rFonts w:ascii="Times New Roman" w:cs="Times New Roman" w:eastAsia="Times New Roman" w:hAnsi="Times New Roman"/>
                  <w:sz w:val="15"/>
                  <w:szCs w:val="15"/>
                  <w:color w:val="0000EE"/>
                </w:rPr>
                <w:t>Form of prospectus supplement for institutional note offerings (incorporated by reference to Amendment No. 1 to Saratoga Investment Corp.’s Registration Statement</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3880" w:type="dxa"/>
            <w:vAlign w:val="bottom"/>
            <w:tcBorders>
              <w:bottom w:val="single" w:sz="8" w:color="0000EE"/>
            </w:tcBorders>
            <w:gridSpan w:val="3"/>
            <w:shd w:val="clear" w:color="auto" w:fill="CCEEFF"/>
          </w:tcPr>
          <w:p>
            <w:pPr>
              <w:spacing w:after="0" w:line="161" w:lineRule="exact"/>
              <w:rPr>
                <w:rFonts w:ascii="Times New Roman" w:cs="Times New Roman" w:eastAsia="Times New Roman" w:hAnsi="Times New Roman"/>
                <w:sz w:val="15"/>
                <w:szCs w:val="15"/>
                <w:color w:val="0000EE"/>
                <w:w w:val="99"/>
              </w:rPr>
            </w:pPr>
            <w:hyperlink r:id="rId203">
              <w:r>
                <w:rPr>
                  <w:rFonts w:ascii="Times New Roman" w:cs="Times New Roman" w:eastAsia="Times New Roman" w:hAnsi="Times New Roman"/>
                  <w:sz w:val="15"/>
                  <w:szCs w:val="15"/>
                  <w:color w:val="0000EE"/>
                  <w:w w:val="99"/>
                </w:rPr>
                <w:t>on Form N-2, File No. 333-196526, filed on December 5, 2014).</w:t>
              </w:r>
            </w:hyperlink>
          </w:p>
        </w:tc>
        <w:tc>
          <w:tcPr>
            <w:tcW w:w="6140" w:type="dxa"/>
            <w:vAlign w:val="bottom"/>
            <w:tcBorders>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5"/>
                <w:szCs w:val="15"/>
                <w:color w:val="auto"/>
              </w:rPr>
              <w:t>101.INS</w:t>
            </w:r>
          </w:p>
        </w:tc>
        <w:tc>
          <w:tcPr>
            <w:tcW w:w="1002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Inline XBRL Instance Document.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101.SCH</w:t>
            </w:r>
          </w:p>
        </w:tc>
        <w:tc>
          <w:tcPr>
            <w:tcW w:w="10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5"/>
                <w:szCs w:val="15"/>
                <w:color w:val="auto"/>
              </w:rPr>
              <w:t>101.CAL</w:t>
            </w:r>
          </w:p>
        </w:tc>
        <w:tc>
          <w:tcPr>
            <w:tcW w:w="1002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101.DEF</w:t>
            </w:r>
          </w:p>
        </w:tc>
        <w:tc>
          <w:tcPr>
            <w:tcW w:w="10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5"/>
                <w:szCs w:val="15"/>
                <w:color w:val="auto"/>
              </w:rPr>
              <w:t>101.LAB</w:t>
            </w:r>
          </w:p>
        </w:tc>
        <w:tc>
          <w:tcPr>
            <w:tcW w:w="1002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101.PRE</w:t>
            </w:r>
          </w:p>
        </w:tc>
        <w:tc>
          <w:tcPr>
            <w:tcW w:w="10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c>
          <w:tcPr>
            <w:tcW w:w="0" w:type="dxa"/>
            <w:vAlign w:val="bottom"/>
          </w:tcPr>
          <w:p>
            <w:pPr>
              <w:spacing w:after="0"/>
              <w:rPr>
                <w:sz w:val="1"/>
                <w:szCs w:val="1"/>
                <w:color w:val="auto"/>
              </w:rPr>
            </w:pPr>
          </w:p>
        </w:tc>
      </w:tr>
    </w:tbl>
    <w:p>
      <w:pPr>
        <w:ind w:left="1250" w:hanging="1250"/>
        <w:spacing w:after="0"/>
        <w:tabs>
          <w:tab w:leader="none" w:pos="125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(formatted as Inline XBRL and contained in Exhibit 101).</w:t>
      </w:r>
    </w:p>
    <w:p>
      <w:pPr>
        <w:spacing w:after="0" w:line="173" w:lineRule="exact"/>
        <w:rPr>
          <w:rFonts w:ascii="Times New Roman" w:cs="Times New Roman" w:eastAsia="Times New Roman" w:hAnsi="Times New Roman"/>
          <w:sz w:val="15"/>
          <w:szCs w:val="15"/>
          <w:color w:val="auto"/>
        </w:rPr>
      </w:pPr>
    </w:p>
    <w:p>
      <w:pPr>
        <w:ind w:left="1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Filed herewith.</w:t>
      </w:r>
    </w:p>
    <w:p>
      <w:pPr>
        <w:spacing w:after="0" w:line="188" w:lineRule="exact"/>
        <w:rPr>
          <w:rFonts w:ascii="Times New Roman" w:cs="Times New Roman" w:eastAsia="Times New Roman" w:hAnsi="Times New Roman"/>
          <w:sz w:val="15"/>
          <w:szCs w:val="15"/>
          <w:color w:val="auto"/>
        </w:rPr>
      </w:pPr>
    </w:p>
    <w:p>
      <w:pPr>
        <w:ind w:left="1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To be filed by post-effective amendment, if applicable.</w:t>
      </w:r>
    </w:p>
    <w:p>
      <w:pPr>
        <w:spacing w:after="0" w:line="36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56" w:right="319" w:bottom="1440" w:gutter="0" w:footer="0" w:header="0"/>
        </w:sectPr>
      </w:pPr>
    </w:p>
    <w:bookmarkStart w:id="95" w:name="page96"/>
    <w:bookmarkEnd w:id="95"/>
    <w:tbl>
      <w:tblPr>
        <w:tblLayout w:type="fixed"/>
        <w:tblInd w:w="10" w:type="dxa"/>
        <w:tblCellMar>
          <w:top w:w="0" w:type="dxa"/>
          <w:left w:w="0" w:type="dxa"/>
          <w:bottom w:w="0" w:type="dxa"/>
          <w:right w:w="0" w:type="dxa"/>
        </w:tblCellMar>
      </w:tblPr>
      <w:tr>
        <w:trPr>
          <w:trHeight w:val="200"/>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26. Marketing Arrangements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100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The information contained under the heading “Plan of Distribution” on this Registration Statement is incorporated herein by reference.</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27. Other Expenses of Issuance and Distribution</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Securities and Exchange Commission registration fee</w:t>
            </w:r>
          </w:p>
        </w:tc>
        <w:tc>
          <w:tcPr>
            <w:tcW w:w="2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56,687.78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5"/>
                <w:szCs w:val="15"/>
                <w:color w:val="auto"/>
              </w:rPr>
              <w:t>FINRA filing fee</w:t>
            </w:r>
          </w:p>
        </w:tc>
        <w:tc>
          <w:tcPr>
            <w:tcW w:w="28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62,072.53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 Stock Exchange listing fees(1)</w:t>
            </w:r>
          </w:p>
        </w:tc>
        <w:tc>
          <w:tcPr>
            <w:tcW w:w="2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65,000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5"/>
                <w:szCs w:val="15"/>
                <w:color w:val="auto"/>
              </w:rPr>
              <w:t>Printing expenses(1)</w:t>
            </w:r>
          </w:p>
        </w:tc>
        <w:tc>
          <w:tcPr>
            <w:tcW w:w="28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80,000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Accounting fees and expenses(1)</w:t>
            </w:r>
          </w:p>
        </w:tc>
        <w:tc>
          <w:tcPr>
            <w:tcW w:w="2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50,000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5"/>
                <w:szCs w:val="15"/>
                <w:color w:val="auto"/>
              </w:rPr>
              <w:t>Legal fees and expenses(1)</w:t>
            </w:r>
          </w:p>
        </w:tc>
        <w:tc>
          <w:tcPr>
            <w:tcW w:w="28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120,000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Miscellaneous(1)</w:t>
            </w:r>
          </w:p>
        </w:tc>
        <w:tc>
          <w:tcPr>
            <w:tcW w:w="28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443,760.31</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450" w:right="20" w:hanging="450"/>
        <w:spacing w:after="0" w:line="283" w:lineRule="auto"/>
        <w:tabs>
          <w:tab w:leader="none" w:pos="45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set forth above, with the exception of the Securities and Exchange Commission fee, are in each case estimated. All expenses set forth above will be borne by the Registrant.</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28. Persons Controlled by or Under Common Control</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1"/>
        </w:trPr>
        <w:tc>
          <w:tcPr>
            <w:tcW w:w="100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The Registrant directly owns 100% of each of the following consolidated subsidiaries: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100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   Saratoga Investment Funding II LLC, a Delaware limited liability company;</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100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   Saratoga Investment Fund III LLC, a Delaware limited liability company;</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100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   Saratoga Investment Corp. SBIC II LP, a Delaware limited partnership;</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100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   Saratoga Investment Corp. SBIC III LP, a Delaware limited partnership; and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100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   Saratoga Investment Corp. GP. LLC, a Delaware limited liability company.;</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100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In addition, the Registrant may be deemed to control Saratoga Investment Corp. CLO 2013-1 Ltd., one of the Registrant’s portfolio companies.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29. Number of Holders of Securities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100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The following table sets forth the approximate number of record holders of each class of the Company’s securities as of January 14, 2026.</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1"/>
        </w:trPr>
        <w:tc>
          <w:tcPr>
            <w:tcW w:w="9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Number of</w:t>
            </w:r>
          </w:p>
        </w:tc>
      </w:tr>
      <w:tr>
        <w:trPr>
          <w:trHeight w:val="180"/>
        </w:trPr>
        <w:tc>
          <w:tcPr>
            <w:tcW w:w="9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Record</w:t>
            </w:r>
          </w:p>
        </w:tc>
      </w:tr>
      <w:tr>
        <w:trPr>
          <w:trHeight w:val="199"/>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Title of Class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Holders</w:t>
            </w:r>
          </w:p>
        </w:tc>
      </w:tr>
      <w:tr>
        <w:trPr>
          <w:trHeight w:val="172"/>
        </w:trPr>
        <w:tc>
          <w:tcPr>
            <w:tcW w:w="9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Stock, $0.001 par value</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Borders>
              <w:top w:val="single" w:sz="8" w:color="CCEEFF"/>
            </w:tcBorders>
            <w:shd w:val="clear" w:color="auto" w:fill="CCEEFF"/>
          </w:tcPr>
          <w:p>
            <w:pPr>
              <w:spacing w:after="0"/>
              <w:rPr>
                <w:sz w:val="14"/>
                <w:szCs w:val="14"/>
                <w:color w:val="auto"/>
              </w:rPr>
            </w:pPr>
          </w:p>
        </w:tc>
      </w:tr>
      <w:tr>
        <w:trPr>
          <w:trHeight w:val="180"/>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4.375% 2026 Notes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r>
      <w:tr>
        <w:trPr>
          <w:trHeight w:val="18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4.35% 2027 Notes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r>
      <w:tr>
        <w:trPr>
          <w:trHeight w:val="180"/>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6.00% 2027 Notes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r>
      <w:tr>
        <w:trPr>
          <w:trHeight w:val="18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6.25% 2027 Notes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r>
      <w:tr>
        <w:trPr>
          <w:trHeight w:val="180"/>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8.00% 2027 Notes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r>
      <w:tr>
        <w:trPr>
          <w:trHeight w:val="18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8.125% 2027 Notes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r>
      <w:tr>
        <w:trPr>
          <w:trHeight w:val="196"/>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8.50% 2027 Notes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r>
    </w:tbl>
    <w:p>
      <w:pPr>
        <w:spacing w:after="0" w:line="1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30. Indemnification</w:t>
      </w:r>
    </w:p>
    <w:p>
      <w:pPr>
        <w:spacing w:after="0" w:line="19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Reference is made to Section 2-418 of the MGCL, Article VII of the Registrant’s charter and Article XI of the Registrant’s Amended and Restated Bylaws.</w:t>
      </w:r>
    </w:p>
    <w:p>
      <w:pPr>
        <w:spacing w:after="0" w:line="188" w:lineRule="exact"/>
        <w:rPr>
          <w:sz w:val="20"/>
          <w:szCs w:val="20"/>
          <w:color w:val="auto"/>
        </w:rPr>
      </w:pPr>
    </w:p>
    <w:p>
      <w:pPr>
        <w:jc w:val="both"/>
        <w:ind w:left="10" w:firstLine="271"/>
        <w:spacing w:after="0" w:line="261" w:lineRule="auto"/>
        <w:rPr>
          <w:sz w:val="20"/>
          <w:szCs w:val="20"/>
          <w:color w:val="auto"/>
        </w:rPr>
      </w:pPr>
      <w:r>
        <w:rPr>
          <w:rFonts w:ascii="Times New Roman" w:cs="Times New Roman" w:eastAsia="Times New Roman" w:hAnsi="Times New Roman"/>
          <w:sz w:val="15"/>
          <w:szCs w:val="15"/>
          <w:color w:val="auto"/>
        </w:rPr>
        <w:t>The MGCL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The Registrant’s charter contains such a provision which eliminates directors’ and officers’ liability to the maximum extent permitted by the MGCL, subject to the requirements of the Investment Company Act of 1940, as amended (the “1940 Act”).</w:t>
      </w:r>
    </w:p>
    <w:p>
      <w:pPr>
        <w:spacing w:after="0" w:line="33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53" w:right="319" w:bottom="1440" w:gutter="0" w:footer="0" w:header="0"/>
        </w:sectPr>
      </w:pPr>
    </w:p>
    <w:bookmarkStart w:id="96" w:name="page97"/>
    <w:bookmarkEnd w:id="96"/>
    <w:p>
      <w:pPr>
        <w:jc w:val="both"/>
        <w:ind w:firstLine="271"/>
        <w:spacing w:after="0" w:line="253" w:lineRule="auto"/>
        <w:rPr>
          <w:sz w:val="20"/>
          <w:szCs w:val="20"/>
          <w:color w:val="auto"/>
        </w:rPr>
      </w:pPr>
      <w:r>
        <w:rPr>
          <w:rFonts w:ascii="Times New Roman" w:cs="Times New Roman" w:eastAsia="Times New Roman" w:hAnsi="Times New Roman"/>
          <w:sz w:val="15"/>
          <w:szCs w:val="15"/>
          <w:color w:val="auto"/>
        </w:rPr>
        <w:t>The Registrant’s charter authorizes the Registrant, to the maximum extent permitted by the MGCL and subject to the requirements of the 1940 Act, to indemnify any present or former director or officer or any individual who, while serving as the Registrant’s director or officer and at the Registrant’s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The Registrant’s bylaws obligate the Registrant, to the maximum extent permitted by the MGCL and subject to the requirements of the 1940 Act, to indemnify any present or former director or officer or any individual who, while serving as the Registrant’s director or officer and at the Registrant’s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the Registrant to indemnify and advance expenses to any person who served a predecessor of the Registrant in any of the capacities described above and any of the Registrant’s employees or agents or any employees or agents of the Registrant’s predecessor. In accordance with the 1940 Act, the Registrant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63"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The MGCL requires a corporation (unless its charter provides otherwise, which the Registrant’s charter does not) to indemnify a director or officer who has been successful in the defense of any 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the MGCL,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the MGCL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Investment Adviser and Administrator</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Investment Advisory and Management Agreement (the “Management Agreement”), by and between the Registrant and Saratoga Investment Advisors, LLC (in its capacity as the Registrant’s investment adviser, the “Investment Adviser”)provides that, absent willful misfeasance, bad faith or gross negligence in the performance of its duties or by reason of the reckless disregard of its duties and obligations, the Investment Adviser and its officers, managers, agents, employees, controlling persons, members and any other person or entity affiliated with it are entitled to indemnification from the Registrant for any damages, liabilities, costs and expenses (including reasonable attorneys’ fees and amounts reasonably paid in settlement) arising from the rendering of the Investment Adviser’s services under the Management Agreement or otherwise as an investment adviser of the Registrant.</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Administration Agreement (the “Administration Agreement”), by and between the Registrant and Saratoga Investment Advisors, LLC (in its capacity as the Registrant’s administrator, the “Administrator”) provides that, absent willful misfeasance, bad faith or gross negligence in the performance of its duties or by reason of the reckless disregard of its duties and obligations, the Administrator and its officers, managers, agents, employees, controlling persons, members and any other person or entity affiliated with it are entitled to indemnification from the Registrant for any damages, liabilities, costs and expenses (including reasonable attorneys’ fees and amounts reasonably paid in settlement) arising from the rendering of the Administrator’s services under the Administration Agreement or otherwise as administrator for the Registrant.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57" w:right="319" w:bottom="1440" w:gutter="0" w:footer="0" w:header="0"/>
        </w:sectPr>
      </w:pPr>
    </w:p>
    <w:bookmarkStart w:id="97" w:name="page98"/>
    <w:bookmarkEnd w:id="97"/>
    <w:p>
      <w:pPr>
        <w:jc w:val="both"/>
        <w:ind w:left="10" w:firstLine="271"/>
        <w:spacing w:after="0" w:line="256" w:lineRule="auto"/>
        <w:rPr>
          <w:sz w:val="20"/>
          <w:szCs w:val="20"/>
          <w:color w:val="auto"/>
        </w:rPr>
      </w:pPr>
      <w:r>
        <w:rPr>
          <w:rFonts w:ascii="Times New Roman" w:cs="Times New Roman" w:eastAsia="Times New Roman" w:hAnsi="Times New Roman"/>
          <w:sz w:val="15"/>
          <w:szCs w:val="15"/>
          <w:color w:val="auto"/>
        </w:rPr>
        <w:t>The law also provides for comparable indemnification for corporate officers and agents. Insofar as indemnification for liability arising under the Securities Act of 1933, as amended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56" w:lineRule="exact"/>
        <w:rPr>
          <w:sz w:val="20"/>
          <w:szCs w:val="20"/>
          <w:color w:val="auto"/>
        </w:rPr>
      </w:pPr>
    </w:p>
    <w:p>
      <w:pPr>
        <w:jc w:val="both"/>
        <w:ind w:left="10" w:firstLine="271"/>
        <w:spacing w:after="0" w:line="261" w:lineRule="auto"/>
        <w:rPr>
          <w:sz w:val="20"/>
          <w:szCs w:val="20"/>
          <w:color w:val="auto"/>
        </w:rPr>
      </w:pPr>
      <w:r>
        <w:rPr>
          <w:rFonts w:ascii="Times New Roman" w:cs="Times New Roman" w:eastAsia="Times New Roman" w:hAnsi="Times New Roman"/>
          <w:sz w:val="15"/>
          <w:szCs w:val="15"/>
          <w:color w:val="auto"/>
        </w:rPr>
        <w:t>The Registrant has entered into indemnification agreements with its directors. The indemnification agreements are intended to provide the Registrant’s directors the maximum indemnification permitted under the MGCL and the 1940 Act. Each indemnification agreement provides that the Registrant shall indemnify the director who is a party to the agreement (an “Indemnitee”), including the advancement of legal expenses, if, by reason of his or her corporate status, the Indemnitee is, or is threatened to be, made a party to or a witness in any threatened, pending, or completed proceeding, other than a proceeding by or in the right of the Registrant.</w:t>
      </w:r>
    </w:p>
    <w:p>
      <w:pPr>
        <w:spacing w:after="0" w:line="1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31. Business and Other Connections of Investment Adviser</w:t>
      </w:r>
    </w:p>
    <w:p>
      <w:pPr>
        <w:spacing w:after="0" w:line="192" w:lineRule="exact"/>
        <w:rPr>
          <w:sz w:val="20"/>
          <w:szCs w:val="20"/>
          <w:color w:val="auto"/>
        </w:rPr>
      </w:pPr>
    </w:p>
    <w:p>
      <w:pPr>
        <w:jc w:val="both"/>
        <w:ind w:left="10" w:firstLine="271"/>
        <w:spacing w:after="0" w:line="261" w:lineRule="auto"/>
        <w:rPr>
          <w:sz w:val="20"/>
          <w:szCs w:val="20"/>
          <w:color w:val="auto"/>
        </w:rPr>
      </w:pPr>
      <w:r>
        <w:rPr>
          <w:rFonts w:ascii="Times New Roman" w:cs="Times New Roman" w:eastAsia="Times New Roman" w:hAnsi="Times New Roman"/>
          <w:sz w:val="15"/>
          <w:szCs w:val="15"/>
          <w:color w:val="auto"/>
        </w:rPr>
        <w:t>A description of any other business, profession, vocation or employment of a substantial nature in which the Investment Adviser, and each managing director, director or executive officer of the Investment Adviser, is or has been during the past two fiscal years, engaged in for his or her own account or in the capacity of director, officer, employee, partner or trustee, is set forth in Part A of this Registration Statement in the sections entitled “Management.” Additional information regarding the Investment Adviser and its officers and directors will be set forth in its Form ADV to be filed with the Securities and Exchange Commission.</w:t>
      </w:r>
    </w:p>
    <w:p>
      <w:pPr>
        <w:spacing w:after="0" w:line="1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32. Location of Accounts and Records</w:t>
      </w:r>
    </w:p>
    <w:p>
      <w:pPr>
        <w:spacing w:after="0" w:line="19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All accounts, books and other documents required to be maintained by Section 31(a) of the 1940 Act, and the rules thereunder, are maintained at the offices of:</w:t>
      </w:r>
    </w:p>
    <w:p>
      <w:pPr>
        <w:spacing w:after="0" w:line="188" w:lineRule="exact"/>
        <w:rPr>
          <w:sz w:val="20"/>
          <w:szCs w:val="20"/>
          <w:color w:val="auto"/>
        </w:rPr>
      </w:pPr>
    </w:p>
    <w:p>
      <w:pPr>
        <w:ind w:left="550" w:hanging="279"/>
        <w:spacing w:after="0"/>
        <w:tabs>
          <w:tab w:leader="none" w:pos="55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Saratoga Investment Corp., 535 Madison Avenue, New York, New York 10022;</w:t>
      </w:r>
    </w:p>
    <w:p>
      <w:pPr>
        <w:spacing w:after="0" w:line="188" w:lineRule="exact"/>
        <w:rPr>
          <w:rFonts w:ascii="Times New Roman" w:cs="Times New Roman" w:eastAsia="Times New Roman" w:hAnsi="Times New Roman"/>
          <w:sz w:val="15"/>
          <w:szCs w:val="15"/>
          <w:color w:val="auto"/>
        </w:rPr>
      </w:pPr>
    </w:p>
    <w:p>
      <w:pPr>
        <w:ind w:left="550" w:hanging="279"/>
        <w:spacing w:after="0"/>
        <w:tabs>
          <w:tab w:leader="none" w:pos="55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Transfer Agent, Broadridge Financial Solutions, Inc., 1717 Arch St., Suite 1300, Philadelphia, Pennsylvania 19103;</w:t>
      </w:r>
    </w:p>
    <w:p>
      <w:pPr>
        <w:spacing w:after="0" w:line="188" w:lineRule="exact"/>
        <w:rPr>
          <w:rFonts w:ascii="Times New Roman" w:cs="Times New Roman" w:eastAsia="Times New Roman" w:hAnsi="Times New Roman"/>
          <w:sz w:val="15"/>
          <w:szCs w:val="15"/>
          <w:color w:val="auto"/>
        </w:rPr>
      </w:pPr>
    </w:p>
    <w:p>
      <w:pPr>
        <w:ind w:left="550" w:hanging="279"/>
        <w:spacing w:after="0"/>
        <w:tabs>
          <w:tab w:leader="none" w:pos="55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Custodian, U.S. Bank National Association, 214 N. Tryon Street, 12th Floor, Charlotte, North Carolina 28202; and</w:t>
      </w:r>
    </w:p>
    <w:p>
      <w:pPr>
        <w:spacing w:after="0" w:line="188" w:lineRule="exact"/>
        <w:rPr>
          <w:rFonts w:ascii="Times New Roman" w:cs="Times New Roman" w:eastAsia="Times New Roman" w:hAnsi="Times New Roman"/>
          <w:sz w:val="15"/>
          <w:szCs w:val="15"/>
          <w:color w:val="auto"/>
        </w:rPr>
      </w:pPr>
    </w:p>
    <w:p>
      <w:pPr>
        <w:ind w:left="550" w:hanging="279"/>
        <w:spacing w:after="0"/>
        <w:tabs>
          <w:tab w:leader="none" w:pos="55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Investment Adviser, Saratoga Investment Advisors, LLC, 535 Madison Avenue, New York, New York 10022.</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33. Management Services</w:t>
      </w:r>
    </w:p>
    <w:p>
      <w:pPr>
        <w:spacing w:after="0" w:line="192" w:lineRule="exact"/>
        <w:rPr>
          <w:sz w:val="20"/>
          <w:szCs w:val="20"/>
          <w:color w:val="auto"/>
        </w:rPr>
      </w:pPr>
    </w:p>
    <w:p>
      <w:pPr>
        <w:jc w:val="center"/>
        <w:ind w:right="975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34. Undertakings.</w:t>
      </w:r>
    </w:p>
    <w:p>
      <w:pPr>
        <w:spacing w:after="0" w:line="192" w:lineRule="exact"/>
        <w:rPr>
          <w:sz w:val="20"/>
          <w:szCs w:val="20"/>
          <w:color w:val="auto"/>
        </w:rPr>
      </w:pPr>
    </w:p>
    <w:p>
      <w:pPr>
        <w:ind w:left="270" w:hanging="270"/>
        <w:spacing w:after="0"/>
        <w:tabs>
          <w:tab w:leader="none" w:pos="27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applicable.</w:t>
      </w:r>
    </w:p>
    <w:p>
      <w:pPr>
        <w:spacing w:after="0" w:line="188"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applicable.</w:t>
      </w:r>
    </w:p>
    <w:p>
      <w:pPr>
        <w:spacing w:after="0" w:line="36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57" w:right="319" w:bottom="1440" w:gutter="0" w:footer="0" w:header="0"/>
        </w:sectPr>
      </w:pPr>
    </w:p>
    <w:bookmarkStart w:id="98" w:name="page99"/>
    <w:bookmarkEnd w:id="98"/>
    <w:p>
      <w:pPr>
        <w:ind w:left="270" w:hanging="270"/>
        <w:spacing w:after="0"/>
        <w:tabs>
          <w:tab w:leader="none" w:pos="27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hereby undertakes:</w:t>
      </w:r>
    </w:p>
    <w:p>
      <w:pPr>
        <w:spacing w:after="0" w:line="188" w:lineRule="exact"/>
        <w:rPr>
          <w:rFonts w:ascii="Times New Roman" w:cs="Times New Roman" w:eastAsia="Times New Roman" w:hAnsi="Times New Roman"/>
          <w:sz w:val="15"/>
          <w:szCs w:val="15"/>
          <w:color w:val="auto"/>
        </w:rPr>
      </w:pPr>
    </w:p>
    <w:p>
      <w:pPr>
        <w:ind w:left="55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to file, during any period in which offers or sales are being made, a post-effective amendment to the registration statement:</w:t>
      </w:r>
    </w:p>
    <w:p>
      <w:pPr>
        <w:spacing w:after="0" w:line="188" w:lineRule="exact"/>
        <w:rPr>
          <w:rFonts w:ascii="Times New Roman" w:cs="Times New Roman" w:eastAsia="Times New Roman" w:hAnsi="Times New Roman"/>
          <w:sz w:val="15"/>
          <w:szCs w:val="15"/>
          <w:color w:val="auto"/>
        </w:rPr>
      </w:pPr>
    </w:p>
    <w:p>
      <w:pPr>
        <w:ind w:left="990" w:hanging="178"/>
        <w:spacing w:after="0"/>
        <w:tabs>
          <w:tab w:leader="none" w:pos="990" w:val="left"/>
        </w:tabs>
        <w:numPr>
          <w:ilvl w:val="2"/>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prospectus required by Section 10(a)(3) of the Securities Act;</w:t>
      </w:r>
    </w:p>
    <w:p>
      <w:pPr>
        <w:spacing w:after="0" w:line="188" w:lineRule="exact"/>
        <w:rPr>
          <w:rFonts w:ascii="Times New Roman" w:cs="Times New Roman" w:eastAsia="Times New Roman" w:hAnsi="Times New Roman"/>
          <w:sz w:val="15"/>
          <w:szCs w:val="15"/>
          <w:color w:val="auto"/>
        </w:rPr>
      </w:pPr>
    </w:p>
    <w:p>
      <w:pPr>
        <w:jc w:val="both"/>
        <w:ind w:left="550" w:firstLine="262"/>
        <w:spacing w:after="0" w:line="259" w:lineRule="auto"/>
        <w:tabs>
          <w:tab w:leader="none" w:pos="1067" w:val="left"/>
        </w:tabs>
        <w:numPr>
          <w:ilvl w:val="2"/>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in the effective registration statement; and</w:t>
      </w:r>
    </w:p>
    <w:p>
      <w:pPr>
        <w:spacing w:after="0" w:line="152" w:lineRule="exact"/>
        <w:rPr>
          <w:rFonts w:ascii="Times New Roman" w:cs="Times New Roman" w:eastAsia="Times New Roman" w:hAnsi="Times New Roman"/>
          <w:sz w:val="15"/>
          <w:szCs w:val="15"/>
          <w:color w:val="auto"/>
        </w:rPr>
      </w:pPr>
    </w:p>
    <w:p>
      <w:pPr>
        <w:ind w:left="550" w:right="20" w:firstLine="262"/>
        <w:spacing w:after="0" w:line="283" w:lineRule="auto"/>
        <w:tabs>
          <w:tab w:leader="none" w:pos="1109" w:val="left"/>
        </w:tabs>
        <w:numPr>
          <w:ilvl w:val="2"/>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33" w:lineRule="exact"/>
        <w:rPr>
          <w:sz w:val="20"/>
          <w:szCs w:val="20"/>
          <w:color w:val="auto"/>
        </w:rPr>
      </w:pPr>
    </w:p>
    <w:p>
      <w:pPr>
        <w:jc w:val="both"/>
        <w:ind w:left="550" w:right="20" w:firstLine="271"/>
        <w:spacing w:after="0" w:line="262" w:lineRule="auto"/>
        <w:rPr>
          <w:sz w:val="20"/>
          <w:szCs w:val="20"/>
          <w:color w:val="auto"/>
        </w:rPr>
      </w:pP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paragraphs 3(a)(i), (a)(ii) and 3(a)(iii) of this section do not apply if the registration statement is filed pursuant to General Instruction A.2 of Form N-2 and the information required to be included in a post-effective amendment by those paragraphs is contained in reports filed with or furnished to the SEC by the Registrant pursuant to Section 13 or Section 15(d) of the Exchange Act that are incorporated by reference into the registration statement, or is contained in a form of prospectus filed pursuant to Rule 424(b) that is part of the registration statement.</w:t>
      </w:r>
    </w:p>
    <w:p>
      <w:pPr>
        <w:spacing w:after="0" w:line="151" w:lineRule="exact"/>
        <w:rPr>
          <w:sz w:val="20"/>
          <w:szCs w:val="20"/>
          <w:color w:val="auto"/>
        </w:rPr>
      </w:pPr>
    </w:p>
    <w:p>
      <w:pPr>
        <w:ind w:left="270" w:firstLine="271"/>
        <w:spacing w:after="0" w:line="283" w:lineRule="auto"/>
        <w:rPr>
          <w:sz w:val="20"/>
          <w:szCs w:val="20"/>
          <w:color w:val="auto"/>
        </w:rPr>
      </w:pPr>
      <w:r>
        <w:rPr>
          <w:rFonts w:ascii="Times New Roman" w:cs="Times New Roman" w:eastAsia="Times New Roman" w:hAnsi="Times New Roman"/>
          <w:sz w:val="15"/>
          <w:szCs w:val="15"/>
          <w:color w:val="auto"/>
        </w:rPr>
        <w:t>b. that, for the purpose of determining any liability under the Securities Act, each such post-effective amendment shall be deemed to be a new registration statement relating to the securities offered therein, and the offering of those securities at that time shall be deemed to be the initial bona fide offering thereof;</w:t>
      </w:r>
    </w:p>
    <w:p>
      <w:pPr>
        <w:spacing w:after="0" w:line="13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5"/>
          <w:szCs w:val="15"/>
          <w:color w:val="auto"/>
        </w:rPr>
        <w:t>c. to remove from registration by means of a post-effective amendment any of the securities being registered which remain unsold at the termination of the offering;</w:t>
      </w:r>
    </w:p>
    <w:p>
      <w:pPr>
        <w:spacing w:after="0" w:line="188"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5"/>
          <w:szCs w:val="15"/>
          <w:color w:val="auto"/>
        </w:rPr>
        <w:t>d. that, for the purpose of determining liability under the Securities Act to any purchaser:</w:t>
      </w:r>
    </w:p>
    <w:p>
      <w:pPr>
        <w:spacing w:after="0" w:line="188" w:lineRule="exact"/>
        <w:rPr>
          <w:sz w:val="20"/>
          <w:szCs w:val="20"/>
          <w:color w:val="auto"/>
        </w:rPr>
      </w:pPr>
    </w:p>
    <w:p>
      <w:pPr>
        <w:ind w:left="1030" w:hanging="218"/>
        <w:spacing w:after="0"/>
        <w:tabs>
          <w:tab w:leader="none" w:pos="103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Registrant is relying on Rule 430B:</w:t>
      </w:r>
    </w:p>
    <w:p>
      <w:pPr>
        <w:spacing w:after="0" w:line="188" w:lineRule="exact"/>
        <w:rPr>
          <w:rFonts w:ascii="Times New Roman" w:cs="Times New Roman" w:eastAsia="Times New Roman" w:hAnsi="Times New Roman"/>
          <w:sz w:val="15"/>
          <w:szCs w:val="15"/>
          <w:color w:val="auto"/>
        </w:rPr>
      </w:pPr>
    </w:p>
    <w:p>
      <w:pPr>
        <w:ind w:left="810" w:firstLine="273"/>
        <w:spacing w:after="0" w:line="283" w:lineRule="auto"/>
        <w:tabs>
          <w:tab w:leader="none" w:pos="1337"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4" w:lineRule="exact"/>
        <w:rPr>
          <w:rFonts w:ascii="Times New Roman" w:cs="Times New Roman" w:eastAsia="Times New Roman" w:hAnsi="Times New Roman"/>
          <w:sz w:val="15"/>
          <w:szCs w:val="15"/>
          <w:color w:val="auto"/>
        </w:rPr>
      </w:pPr>
    </w:p>
    <w:p>
      <w:pPr>
        <w:jc w:val="both"/>
        <w:ind w:left="810" w:firstLine="273"/>
        <w:spacing w:after="0" w:line="255" w:lineRule="auto"/>
        <w:tabs>
          <w:tab w:leader="none" w:pos="1325"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55" w:lineRule="exact"/>
        <w:rPr>
          <w:rFonts w:ascii="Times New Roman" w:cs="Times New Roman" w:eastAsia="Times New Roman" w:hAnsi="Times New Roman"/>
          <w:sz w:val="15"/>
          <w:szCs w:val="15"/>
          <w:color w:val="auto"/>
        </w:rPr>
      </w:pPr>
    </w:p>
    <w:p>
      <w:pPr>
        <w:jc w:val="both"/>
        <w:ind w:left="550" w:firstLine="262"/>
        <w:spacing w:after="0" w:line="257" w:lineRule="auto"/>
        <w:tabs>
          <w:tab w:leader="none" w:pos="1036"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Registrant is subject to Rule 430C, each prospectus filed pursuant to Rule 424(b) under the Securities Act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33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57" w:right="319" w:bottom="1440" w:gutter="0" w:footer="0" w:header="0"/>
        </w:sectPr>
      </w:pPr>
    </w:p>
    <w:bookmarkStart w:id="99" w:name="page100"/>
    <w:bookmarkEnd w:id="99"/>
    <w:p>
      <w:pPr>
        <w:ind w:left="550"/>
        <w:spacing w:after="0"/>
        <w:rPr>
          <w:sz w:val="20"/>
          <w:szCs w:val="20"/>
          <w:color w:val="auto"/>
        </w:rPr>
      </w:pPr>
      <w:r>
        <w:rPr>
          <w:rFonts w:ascii="Times New Roman" w:cs="Times New Roman" w:eastAsia="Times New Roman" w:hAnsi="Times New Roman"/>
          <w:sz w:val="15"/>
          <w:szCs w:val="15"/>
          <w:color w:val="auto"/>
        </w:rPr>
        <w:t>e. that for the purpose of determining liability of the Registrant under the Securities Act to any purchaser in the initial distribution of securities:</w:t>
      </w:r>
    </w:p>
    <w:p>
      <w:pPr>
        <w:spacing w:after="0" w:line="188" w:lineRule="exact"/>
        <w:rPr>
          <w:sz w:val="20"/>
          <w:szCs w:val="20"/>
          <w:color w:val="auto"/>
        </w:rPr>
      </w:pPr>
    </w:p>
    <w:p>
      <w:pPr>
        <w:jc w:val="both"/>
        <w:ind w:left="810"/>
        <w:spacing w:after="0" w:line="267" w:lineRule="auto"/>
        <w:rPr>
          <w:sz w:val="20"/>
          <w:szCs w:val="20"/>
          <w:color w:val="auto"/>
        </w:rPr>
      </w:pPr>
      <w:r>
        <w:rPr>
          <w:rFonts w:ascii="Times New Roman" w:cs="Times New Roman" w:eastAsia="Times New Roman" w:hAnsi="Times New Roman"/>
          <w:sz w:val="15"/>
          <w:szCs w:val="15"/>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146" w:lineRule="exact"/>
        <w:rPr>
          <w:sz w:val="20"/>
          <w:szCs w:val="20"/>
          <w:color w:val="auto"/>
        </w:rPr>
      </w:pPr>
    </w:p>
    <w:p>
      <w:pPr>
        <w:ind w:left="1030" w:hanging="218"/>
        <w:spacing w:after="0"/>
        <w:tabs>
          <w:tab w:leader="none" w:pos="1030" w:val="left"/>
        </w:tabs>
        <w:numPr>
          <w:ilvl w:val="2"/>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preliminary prospectus or prospectus of the undersigned Registrant relating to the offering required to be filed pursuant to Rule 424, under the Securities Act;</w:t>
      </w:r>
    </w:p>
    <w:p>
      <w:pPr>
        <w:spacing w:after="0" w:line="188" w:lineRule="exact"/>
        <w:rPr>
          <w:rFonts w:ascii="Times New Roman" w:cs="Times New Roman" w:eastAsia="Times New Roman" w:hAnsi="Times New Roman"/>
          <w:sz w:val="15"/>
          <w:szCs w:val="15"/>
          <w:color w:val="auto"/>
        </w:rPr>
      </w:pPr>
    </w:p>
    <w:p>
      <w:pPr>
        <w:ind w:left="1030" w:hanging="218"/>
        <w:spacing w:after="0"/>
        <w:tabs>
          <w:tab w:leader="none" w:pos="1030" w:val="left"/>
        </w:tabs>
        <w:numPr>
          <w:ilvl w:val="2"/>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free writing prospectus relating to the offering prepared by or on behalf of the undersigned Registrant or used or referred to by the undersigned Registrant;</w:t>
      </w:r>
    </w:p>
    <w:p>
      <w:pPr>
        <w:spacing w:after="0" w:line="188" w:lineRule="exact"/>
        <w:rPr>
          <w:rFonts w:ascii="Times New Roman" w:cs="Times New Roman" w:eastAsia="Times New Roman" w:hAnsi="Times New Roman"/>
          <w:sz w:val="15"/>
          <w:szCs w:val="15"/>
          <w:color w:val="auto"/>
        </w:rPr>
      </w:pPr>
    </w:p>
    <w:p>
      <w:pPr>
        <w:ind w:left="550" w:right="20" w:firstLine="262"/>
        <w:spacing w:after="0" w:line="283" w:lineRule="auto"/>
        <w:tabs>
          <w:tab w:leader="none" w:pos="1042" w:val="left"/>
        </w:tabs>
        <w:numPr>
          <w:ilvl w:val="2"/>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any other free writing prospectus or advertisement pursuant to Rule 482 under the Securities Act relating to the offering containing material information about the undersigned Registrant or its securities provided by or on behalf of the undersigned Registrant; and</w:t>
      </w:r>
    </w:p>
    <w:p>
      <w:pPr>
        <w:spacing w:after="0" w:line="134" w:lineRule="exact"/>
        <w:rPr>
          <w:rFonts w:ascii="Times New Roman" w:cs="Times New Roman" w:eastAsia="Times New Roman" w:hAnsi="Times New Roman"/>
          <w:sz w:val="15"/>
          <w:szCs w:val="15"/>
          <w:color w:val="auto"/>
        </w:rPr>
      </w:pPr>
    </w:p>
    <w:p>
      <w:pPr>
        <w:ind w:left="1030" w:hanging="218"/>
        <w:spacing w:after="0"/>
        <w:tabs>
          <w:tab w:leader="none" w:pos="1030" w:val="left"/>
        </w:tabs>
        <w:numPr>
          <w:ilvl w:val="2"/>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communication that is an offer in the offering made by the undersigned Registrant to the purchaser.</w:t>
      </w:r>
    </w:p>
    <w:p>
      <w:pPr>
        <w:spacing w:after="0" w:line="188" w:lineRule="exact"/>
        <w:rPr>
          <w:rFonts w:ascii="Times New Roman" w:cs="Times New Roman" w:eastAsia="Times New Roman" w:hAnsi="Times New Roman"/>
          <w:sz w:val="15"/>
          <w:szCs w:val="15"/>
          <w:color w:val="auto"/>
        </w:rPr>
      </w:pPr>
    </w:p>
    <w:p>
      <w:pPr>
        <w:ind w:left="150" w:hanging="150"/>
        <w:spacing w:after="0"/>
        <w:tabs>
          <w:tab w:leader="none" w:pos="15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hereby undertakes:</w:t>
      </w:r>
    </w:p>
    <w:p>
      <w:pPr>
        <w:spacing w:after="0" w:line="188" w:lineRule="exact"/>
        <w:rPr>
          <w:rFonts w:ascii="Times New Roman" w:cs="Times New Roman" w:eastAsia="Times New Roman" w:hAnsi="Times New Roman"/>
          <w:sz w:val="15"/>
          <w:szCs w:val="15"/>
          <w:color w:val="auto"/>
        </w:rPr>
      </w:pPr>
    </w:p>
    <w:p>
      <w:pPr>
        <w:jc w:val="both"/>
        <w:ind w:left="270" w:firstLine="272"/>
        <w:spacing w:after="0" w:line="267" w:lineRule="auto"/>
        <w:tabs>
          <w:tab w:leader="none" w:pos="686" w:val="left"/>
        </w:tabs>
        <w:numPr>
          <w:ilvl w:val="1"/>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purpose of determining any liability under the Securities Act, the information omitted from the form of prospectus filed as part of this registration statement in reliance upon Rule 430A and contained in a form of prospectus filed by the Registrant under Rule 424(b)(1) under the Securities Act shall be deemed to be part of this registration statement as of the time it was declared effective; and</w:t>
      </w:r>
    </w:p>
    <w:p>
      <w:pPr>
        <w:spacing w:after="0" w:line="146" w:lineRule="exact"/>
        <w:rPr>
          <w:rFonts w:ascii="Times New Roman" w:cs="Times New Roman" w:eastAsia="Times New Roman" w:hAnsi="Times New Roman"/>
          <w:sz w:val="15"/>
          <w:szCs w:val="15"/>
          <w:color w:val="auto"/>
        </w:rPr>
      </w:pPr>
    </w:p>
    <w:p>
      <w:pPr>
        <w:ind w:left="270" w:right="20" w:firstLine="272"/>
        <w:spacing w:after="0" w:line="283" w:lineRule="auto"/>
        <w:tabs>
          <w:tab w:leader="none" w:pos="691" w:val="left"/>
        </w:tabs>
        <w:numPr>
          <w:ilvl w:val="1"/>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34" w:lineRule="exact"/>
        <w:rPr>
          <w:rFonts w:ascii="Times New Roman" w:cs="Times New Roman" w:eastAsia="Times New Roman" w:hAnsi="Times New Roman"/>
          <w:sz w:val="15"/>
          <w:szCs w:val="15"/>
          <w:color w:val="auto"/>
        </w:rPr>
      </w:pPr>
    </w:p>
    <w:p>
      <w:pPr>
        <w:jc w:val="both"/>
        <w:ind w:left="10" w:right="20" w:hanging="10"/>
        <w:spacing w:after="0" w:line="267" w:lineRule="auto"/>
        <w:tabs>
          <w:tab w:leader="none" w:pos="186"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into the registration statement shall be deemed to be a new registration statement relating to the securities offered therein, and the offering of such securities at that time shall be deemed to be the initial bona fide offering thereof.</w:t>
      </w:r>
    </w:p>
    <w:p>
      <w:pPr>
        <w:spacing w:after="0" w:line="146" w:lineRule="exact"/>
        <w:rPr>
          <w:rFonts w:ascii="Times New Roman" w:cs="Times New Roman" w:eastAsia="Times New Roman" w:hAnsi="Times New Roman"/>
          <w:sz w:val="15"/>
          <w:szCs w:val="15"/>
          <w:color w:val="auto"/>
        </w:rPr>
      </w:pPr>
    </w:p>
    <w:p>
      <w:pPr>
        <w:jc w:val="both"/>
        <w:ind w:left="10" w:hanging="10"/>
        <w:spacing w:after="0" w:line="257" w:lineRule="auto"/>
        <w:tabs>
          <w:tab w:leader="none" w:pos="176"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54" w:lineRule="exact"/>
        <w:rPr>
          <w:rFonts w:ascii="Times New Roman" w:cs="Times New Roman" w:eastAsia="Times New Roman" w:hAnsi="Times New Roman"/>
          <w:sz w:val="15"/>
          <w:szCs w:val="15"/>
          <w:color w:val="auto"/>
        </w:rPr>
      </w:pPr>
    </w:p>
    <w:p>
      <w:pPr>
        <w:ind w:left="10" w:right="20" w:hanging="10"/>
        <w:spacing w:after="0" w:line="283" w:lineRule="auto"/>
        <w:tabs>
          <w:tab w:leader="none" w:pos="164"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undertakes to send by first class mail or other means designed to ensure equally prompt delivery within two business days of receipt of a written or oral request, any prospectus or Statement of Additional Information.</w:t>
      </w:r>
    </w:p>
    <w:p>
      <w:pPr>
        <w:spacing w:after="0" w:line="31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56" w:right="31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and/or the Investment Company Act of 1940, the Registrant has duly caused this Registration Statement on Form N-2 to be signed on its behalf by the undersigned, thereunto duly authorized, in New York, New York, on the 15th day of January 2026.</w:t>
      </w:r>
    </w:p>
    <w:p>
      <w:pPr>
        <w:spacing w:after="0" w:line="1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b w:val="1"/>
          <w:bCs w:val="1"/>
          <w:color w:val="auto"/>
        </w:rPr>
        <w:t>SARATOGA INVESTMENT CORP.</w:t>
      </w:r>
    </w:p>
    <w:p>
      <w:pPr>
        <w:spacing w:after="0" w:line="192"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5"/>
          <w:szCs w:val="15"/>
          <w:color w:val="auto"/>
        </w:rPr>
        <w:t>By:</w:t>
        <w:tab/>
        <w:t>/s/ Christian L. Oberbeck</w:t>
      </w:r>
    </w:p>
    <w:p>
      <w:pPr>
        <w:spacing w:after="0" w:line="31"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5"/>
          <w:szCs w:val="15"/>
          <w:color w:val="auto"/>
        </w:rPr>
        <w:t>Name:</w:t>
        <w:tab/>
        <w:t>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-106680</wp:posOffset>
            </wp:positionV>
            <wp:extent cx="257111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0">
                      <a:extLst>
                        <a:ext uri="{28A0092B-C50C-407E-A947-70E740481C1C}"/>
                      </a:extLst>
                    </a:blip>
                    <a:srcRect/>
                    <a:stretch>
                      <a:fillRect/>
                    </a:stretch>
                  </pic:blipFill>
                  <pic:spPr bwMode="auto">
                    <a:xfrm>
                      <a:off x="0" y="0"/>
                      <a:ext cx="2571115" cy="6985"/>
                    </a:xfrm>
                    <a:prstGeom prst="rect">
                      <a:avLst/>
                    </a:prstGeom>
                    <a:noFill/>
                  </pic:spPr>
                </pic:pic>
              </a:graphicData>
            </a:graphic>
          </wp:anchor>
        </w:drawing>
      </w:r>
    </w:p>
    <w:p>
      <w:pPr>
        <w:spacing w:after="0" w:line="3"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5"/>
          <w:szCs w:val="15"/>
          <w:color w:val="auto"/>
        </w:rPr>
        <w:t>Title:</w:t>
      </w:r>
      <w:r>
        <w:rPr>
          <w:sz w:val="20"/>
          <w:szCs w:val="20"/>
          <w:color w:val="auto"/>
        </w:rPr>
        <w:tab/>
      </w:r>
      <w:r>
        <w:rPr>
          <w:rFonts w:ascii="Times New Roman" w:cs="Times New Roman" w:eastAsia="Times New Roman" w:hAnsi="Times New Roman"/>
          <w:sz w:val="15"/>
          <w:szCs w:val="15"/>
          <w:color w:val="auto"/>
        </w:rPr>
        <w:t>Chief Executive Officer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POWER OF ATTORNEY</w:t>
      </w:r>
    </w:p>
    <w:p>
      <w:pPr>
        <w:spacing w:after="0" w:line="188"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KNOW ALL THESE PRESENTS, that each person whose signature appears below hereby constitutes and appoints Henri J. Steenkamp his true and lawful attorney-in-fact and agents, with full power of substitution and re-substitution, for his and on his behalf and in his name, place and stead, in any and all capacities, to sign, execute and file this registration statement under the Securities Act of 1933, as amended, and any or all amendments (including, without limitation, post-effective amendments) to this registration statement and any registration statement filed pursuant to Rule 462(b) under the Securities Act of 1933, as amended, with all exhibits and any and all documents required to be filed with respect thereto, with the Securities and Exchange Commission or any other regulatory authority, granting unto such attorney-in-fact and agent full power and authority to do and perform each and every act and thing appropriate or necessary to be done in order to effectuate the same, as fully to all intents and purposes as he himself might or could do in person, hereby ratifying and confirming all that such attorney-in-fact and agent, or their substitute or substitutes, may lawfully do or cause to be done by virtue hereof.</w:t>
      </w:r>
    </w:p>
    <w:p>
      <w:pPr>
        <w:spacing w:after="0" w:line="156"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this Registration Statement on Form N-2 has been signed by the following persons, in the capacities and on the dates indicated below. The document may be executed by the signatories hereto on any number of counterparts, all of which constituted one and the same instrument.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28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5"/>
                <w:szCs w:val="15"/>
                <w:b w:val="1"/>
                <w:bCs w:val="1"/>
                <w:color w:val="auto"/>
              </w:rPr>
              <w:t>Signature</w:t>
            </w:r>
          </w:p>
        </w:tc>
        <w:tc>
          <w:tcPr>
            <w:tcW w:w="100" w:type="dxa"/>
            <w:vAlign w:val="bottom"/>
          </w:tcPr>
          <w:p>
            <w:pPr>
              <w:spacing w:after="0"/>
              <w:rPr>
                <w:sz w:val="17"/>
                <w:szCs w:val="17"/>
                <w:color w:val="auto"/>
              </w:rPr>
            </w:pPr>
          </w:p>
        </w:tc>
        <w:tc>
          <w:tcPr>
            <w:tcW w:w="47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5"/>
                <w:szCs w:val="15"/>
                <w:b w:val="1"/>
                <w:bCs w:val="1"/>
                <w:color w:val="auto"/>
              </w:rPr>
              <w:t>Title</w:t>
            </w:r>
          </w:p>
        </w:tc>
        <w:tc>
          <w:tcPr>
            <w:tcW w:w="12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r>
      <w:tr>
        <w:trPr>
          <w:trHeight w:val="352"/>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Christian L. Oberbeck</w:t>
            </w:r>
          </w:p>
        </w:tc>
        <w:tc>
          <w:tcPr>
            <w:tcW w:w="1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Chairman of the Board of Directors, Chief</w:t>
            </w: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January 15, 2026</w:t>
            </w:r>
          </w:p>
        </w:tc>
      </w:tr>
      <w:tr>
        <w:trPr>
          <w:trHeight w:val="187"/>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Christian L. Oberbeck</w:t>
            </w:r>
          </w:p>
        </w:tc>
        <w:tc>
          <w:tcPr>
            <w:tcW w:w="100" w:type="dxa"/>
            <w:vAlign w:val="bottom"/>
          </w:tcPr>
          <w:p>
            <w:pPr>
              <w:spacing w:after="0"/>
              <w:rPr>
                <w:sz w:val="16"/>
                <w:szCs w:val="16"/>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Executive Officer (Principal Executive Officer)</w:t>
            </w:r>
          </w:p>
        </w:tc>
        <w:tc>
          <w:tcPr>
            <w:tcW w:w="2020" w:type="dxa"/>
            <w:vAlign w:val="bottom"/>
          </w:tcPr>
          <w:p>
            <w:pPr>
              <w:spacing w:after="0"/>
              <w:rPr>
                <w:sz w:val="16"/>
                <w:szCs w:val="16"/>
                <w:color w:val="auto"/>
              </w:rPr>
            </w:pPr>
          </w:p>
        </w:tc>
      </w:tr>
      <w:tr>
        <w:trPr>
          <w:trHeight w:val="345"/>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Henri J. Steenkamp</w:t>
            </w:r>
          </w:p>
        </w:tc>
        <w:tc>
          <w:tcPr>
            <w:tcW w:w="1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Financial Officer (Principal</w:t>
            </w: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January 15, 2026</w:t>
            </w:r>
          </w:p>
        </w:tc>
      </w:tr>
      <w:tr>
        <w:trPr>
          <w:trHeight w:val="146"/>
        </w:trPr>
        <w:tc>
          <w:tcPr>
            <w:tcW w:w="428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rPr>
              <w:t>Henri J. Steenkamp</w:t>
            </w:r>
          </w:p>
        </w:tc>
        <w:tc>
          <w:tcPr>
            <w:tcW w:w="100" w:type="dxa"/>
            <w:vAlign w:val="bottom"/>
          </w:tcPr>
          <w:p>
            <w:pPr>
              <w:spacing w:after="0"/>
              <w:rPr>
                <w:sz w:val="12"/>
                <w:szCs w:val="12"/>
                <w:color w:val="auto"/>
              </w:rPr>
            </w:pPr>
          </w:p>
        </w:tc>
        <w:tc>
          <w:tcPr>
            <w:tcW w:w="486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5"/>
                <w:szCs w:val="15"/>
                <w:color w:val="auto"/>
              </w:rPr>
              <w:t>Accounting Officer and Principal Financial Officer),</w:t>
            </w:r>
          </w:p>
        </w:tc>
        <w:tc>
          <w:tcPr>
            <w:tcW w:w="2020" w:type="dxa"/>
            <w:vAlign w:val="bottom"/>
          </w:tcPr>
          <w:p>
            <w:pPr>
              <w:spacing w:after="0"/>
              <w:rPr>
                <w:sz w:val="12"/>
                <w:szCs w:val="12"/>
                <w:color w:val="auto"/>
              </w:rPr>
            </w:pPr>
          </w:p>
        </w:tc>
      </w:tr>
      <w:tr>
        <w:trPr>
          <w:trHeight w:val="196"/>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Member of the Board of Directors</w:t>
            </w:r>
          </w:p>
        </w:tc>
        <w:tc>
          <w:tcPr>
            <w:tcW w:w="2020" w:type="dxa"/>
            <w:vAlign w:val="bottom"/>
          </w:tcPr>
          <w:p>
            <w:pPr>
              <w:spacing w:after="0"/>
              <w:rPr>
                <w:sz w:val="17"/>
                <w:szCs w:val="17"/>
                <w:color w:val="auto"/>
              </w:rPr>
            </w:pPr>
          </w:p>
        </w:tc>
      </w:tr>
      <w:tr>
        <w:trPr>
          <w:trHeight w:val="360"/>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Steven M. Looney</w:t>
            </w:r>
          </w:p>
        </w:tc>
        <w:tc>
          <w:tcPr>
            <w:tcW w:w="1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Member of the Board of Directors</w:t>
            </w: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January 15, 2026</w:t>
            </w:r>
          </w:p>
        </w:tc>
      </w:tr>
      <w:tr>
        <w:trPr>
          <w:trHeight w:val="187"/>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Steven M. Looney</w:t>
            </w:r>
          </w:p>
        </w:tc>
        <w:tc>
          <w:tcPr>
            <w:tcW w:w="1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345"/>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Charles S. Whitman III</w:t>
            </w:r>
          </w:p>
        </w:tc>
        <w:tc>
          <w:tcPr>
            <w:tcW w:w="1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Member of the Board of Directors</w:t>
            </w: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January 15, 2026</w:t>
            </w:r>
          </w:p>
        </w:tc>
      </w:tr>
      <w:tr>
        <w:trPr>
          <w:trHeight w:val="187"/>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Charles S. Whitman III</w:t>
            </w:r>
          </w:p>
        </w:tc>
        <w:tc>
          <w:tcPr>
            <w:tcW w:w="1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345"/>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Cabell Williams</w:t>
            </w:r>
          </w:p>
        </w:tc>
        <w:tc>
          <w:tcPr>
            <w:tcW w:w="1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Member of the Board of Directors</w:t>
            </w: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January 15, 2026</w:t>
            </w:r>
          </w:p>
        </w:tc>
      </w:tr>
      <w:tr>
        <w:trPr>
          <w:trHeight w:val="187"/>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Cabell Williams</w:t>
            </w:r>
          </w:p>
        </w:tc>
        <w:tc>
          <w:tcPr>
            <w:tcW w:w="1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528"/>
        </w:trPr>
        <w:tc>
          <w:tcPr>
            <w:tcW w:w="4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5"/>
                <w:szCs w:val="15"/>
                <w:color w:val="auto"/>
              </w:rPr>
              <w:t>C-11</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52" w:right="319" w:bottom="1440" w:gutter="0" w:footer="0" w:header="0"/>
        </w:sectPr>
      </w:pPr>
    </w:p>
    <w:bookmarkStart w:id="101" w:name="page102"/>
    <w:bookmarkEnd w:id="101"/>
    <w:p>
      <w:pPr>
        <w:ind w:left="10220"/>
        <w:spacing w:after="0"/>
        <w:rPr>
          <w:sz w:val="20"/>
          <w:szCs w:val="20"/>
          <w:color w:val="auto"/>
        </w:rPr>
      </w:pPr>
      <w:r>
        <w:rPr>
          <w:rFonts w:ascii="Times New Roman" w:cs="Times New Roman" w:eastAsia="Times New Roman" w:hAnsi="Times New Roman"/>
          <w:sz w:val="17"/>
          <w:szCs w:val="17"/>
          <w:b w:val="1"/>
          <w:bCs w:val="1"/>
          <w:color w:val="auto"/>
        </w:rPr>
        <w:t>Exhibit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149860</wp:posOffset>
            </wp:positionV>
            <wp:extent cx="7155180"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1">
                      <a:extLst>
                        <a:ext uri="{28A0092B-C50C-407E-A947-70E740481C1C}"/>
                      </a:extLst>
                    </a:blip>
                    <a:srcRect/>
                    <a:stretch>
                      <a:fillRect/>
                    </a:stretch>
                  </pic:blipFill>
                  <pic:spPr bwMode="auto">
                    <a:xfrm>
                      <a:off x="0" y="0"/>
                      <a:ext cx="7155180" cy="146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179070</wp:posOffset>
            </wp:positionV>
            <wp:extent cx="715518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118745</wp:posOffset>
            </wp:positionV>
            <wp:extent cx="178308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3">
                      <a:extLst>
                        <a:ext uri="{28A0092B-C50C-407E-A947-70E740481C1C}"/>
                      </a:extLst>
                    </a:blip>
                    <a:srcRect/>
                    <a:stretch>
                      <a:fillRect/>
                    </a:stretch>
                  </pic:blipFill>
                  <pic:spPr bwMode="auto">
                    <a:xfrm>
                      <a:off x="0" y="0"/>
                      <a:ext cx="1783080" cy="6985"/>
                    </a:xfrm>
                    <a:prstGeom prst="rect">
                      <a:avLst/>
                    </a:prstGeom>
                    <a:noFill/>
                  </pic:spPr>
                </pic:pic>
              </a:graphicData>
            </a:graphic>
          </wp:anchor>
        </w:drawing>
      </w: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FORM T-1</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STATEMENT OF ELIGIBILITY UNDER</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THE TRUST INDENTURE ACT OF 1939 OF A</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CORPORATION DESIGNATED TO ACT AS TRUSTEE</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Check if an Application to Determine Eligibility of</w:t>
      </w:r>
    </w:p>
    <w:p>
      <w:pPr>
        <w:spacing w:after="0" w:line="3" w:lineRule="exact"/>
        <w:rPr>
          <w:sz w:val="20"/>
          <w:szCs w:val="20"/>
          <w:color w:val="auto"/>
        </w:rPr>
      </w:pPr>
    </w:p>
    <w:p>
      <w:pPr>
        <w:jc w:val="center"/>
        <w:ind w:right="20"/>
        <w:spacing w:after="0" w:line="173" w:lineRule="exact"/>
        <w:rPr>
          <w:sz w:val="20"/>
          <w:szCs w:val="20"/>
          <w:color w:val="auto"/>
        </w:rPr>
      </w:pPr>
      <w:r>
        <w:rPr>
          <w:rFonts w:ascii="Times New Roman" w:cs="Times New Roman" w:eastAsia="Times New Roman" w:hAnsi="Times New Roman"/>
          <w:sz w:val="15"/>
          <w:szCs w:val="15"/>
          <w:color w:val="auto"/>
        </w:rPr>
        <w:t xml:space="preserve">a Trustee Pursuant to Section 305(b)(2)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122555</wp:posOffset>
            </wp:positionV>
            <wp:extent cx="357378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4">
                      <a:extLst>
                        <a:ext uri="{28A0092B-C50C-407E-A947-70E740481C1C}"/>
                      </a:extLst>
                    </a:blip>
                    <a:srcRect/>
                    <a:stretch>
                      <a:fillRect/>
                    </a:stretch>
                  </pic:blipFill>
                  <pic:spPr bwMode="auto">
                    <a:xfrm>
                      <a:off x="0" y="0"/>
                      <a:ext cx="3573780" cy="6985"/>
                    </a:xfrm>
                    <a:prstGeom prst="rect">
                      <a:avLst/>
                    </a:prstGeom>
                    <a:noFill/>
                  </pic:spPr>
                </pic:pic>
              </a:graphicData>
            </a:graphic>
          </wp:anchor>
        </w:drawing>
      </w: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U.S. BANK TRUST COMPANY, NATIONAL ASSOCIATION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(Exact name of Trustee as specified in its charter)</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91-1821036</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I.R.S. Employer Identification No.</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77"/>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800 Nicollet Mall</w:t>
            </w:r>
          </w:p>
        </w:tc>
        <w:tc>
          <w:tcPr>
            <w:tcW w:w="2000" w:type="dxa"/>
            <w:vAlign w:val="bottom"/>
            <w:tcBorders>
              <w:top w:val="single" w:sz="8" w:color="auto"/>
            </w:tcBorders>
          </w:tcPr>
          <w:p>
            <w:pPr>
              <w:spacing w:after="0"/>
              <w:rPr>
                <w:sz w:val="15"/>
                <w:szCs w:val="15"/>
                <w:color w:val="auto"/>
              </w:rPr>
            </w:pPr>
          </w:p>
        </w:tc>
        <w:tc>
          <w:tcPr>
            <w:tcW w:w="36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Minneapolis, Minnesota</w:t>
            </w:r>
          </w:p>
        </w:tc>
        <w:tc>
          <w:tcPr>
            <w:tcW w:w="2000" w:type="dxa"/>
            <w:vAlign w:val="bottom"/>
            <w:tcBorders>
              <w:bottom w:val="single" w:sz="8" w:color="auto"/>
            </w:tcBorders>
          </w:tcPr>
          <w:p>
            <w:pPr>
              <w:spacing w:after="0"/>
              <w:rPr>
                <w:sz w:val="16"/>
                <w:szCs w:val="16"/>
                <w:color w:val="auto"/>
              </w:rPr>
            </w:pPr>
          </w:p>
        </w:tc>
        <w:tc>
          <w:tcPr>
            <w:tcW w:w="3620" w:type="dxa"/>
            <w:vAlign w:val="bottom"/>
            <w:tcBorders>
              <w:bottom w:val="single" w:sz="8" w:color="auto"/>
              <w:right w:val="single" w:sz="8" w:color="auto"/>
            </w:tcBorders>
          </w:tcPr>
          <w:p>
            <w:pPr>
              <w:jc w:val="center"/>
              <w:ind w:right="1945"/>
              <w:spacing w:after="0"/>
              <w:rPr>
                <w:sz w:val="20"/>
                <w:szCs w:val="20"/>
                <w:color w:val="auto"/>
              </w:rPr>
            </w:pPr>
            <w:r>
              <w:rPr>
                <w:rFonts w:ascii="Times New Roman" w:cs="Times New Roman" w:eastAsia="Times New Roman" w:hAnsi="Times New Roman"/>
                <w:sz w:val="15"/>
                <w:szCs w:val="15"/>
                <w:color w:val="auto"/>
                <w:w w:val="95"/>
              </w:rPr>
              <w:t>55402</w:t>
            </w:r>
          </w:p>
        </w:tc>
        <w:tc>
          <w:tcPr>
            <w:tcW w:w="0" w:type="dxa"/>
            <w:vAlign w:val="bottom"/>
          </w:tcPr>
          <w:p>
            <w:pPr>
              <w:spacing w:after="0"/>
              <w:rPr>
                <w:sz w:val="1"/>
                <w:szCs w:val="1"/>
                <w:color w:val="auto"/>
              </w:rPr>
            </w:pPr>
          </w:p>
        </w:tc>
      </w:tr>
      <w:tr>
        <w:trPr>
          <w:trHeight w:val="172"/>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(Address of principal executive offices)</w:t>
            </w:r>
          </w:p>
        </w:tc>
        <w:tc>
          <w:tcPr>
            <w:tcW w:w="2000" w:type="dxa"/>
            <w:vAlign w:val="bottom"/>
            <w:tcBorders>
              <w:bottom w:val="single" w:sz="8" w:color="auto"/>
            </w:tcBorders>
          </w:tcPr>
          <w:p>
            <w:pPr>
              <w:spacing w:after="0"/>
              <w:rPr>
                <w:sz w:val="14"/>
                <w:szCs w:val="14"/>
                <w:color w:val="auto"/>
              </w:rPr>
            </w:pPr>
          </w:p>
        </w:tc>
        <w:tc>
          <w:tcPr>
            <w:tcW w:w="3620" w:type="dxa"/>
            <w:vAlign w:val="bottom"/>
            <w:tcBorders>
              <w:bottom w:val="single" w:sz="8" w:color="auto"/>
              <w:right w:val="single" w:sz="8" w:color="auto"/>
            </w:tcBorders>
          </w:tcPr>
          <w:p>
            <w:pPr>
              <w:jc w:val="center"/>
              <w:ind w:right="1945"/>
              <w:spacing w:after="0"/>
              <w:rPr>
                <w:sz w:val="20"/>
                <w:szCs w:val="20"/>
                <w:color w:val="auto"/>
              </w:rPr>
            </w:pPr>
            <w:r>
              <w:rPr>
                <w:rFonts w:ascii="Times New Roman" w:cs="Times New Roman" w:eastAsia="Times New Roman" w:hAnsi="Times New Roman"/>
                <w:sz w:val="15"/>
                <w:szCs w:val="15"/>
                <w:color w:val="auto"/>
              </w:rPr>
              <w:t>(Zip Code)</w:t>
            </w:r>
          </w:p>
        </w:tc>
        <w:tc>
          <w:tcPr>
            <w:tcW w:w="0" w:type="dxa"/>
            <w:vAlign w:val="bottom"/>
          </w:tcPr>
          <w:p>
            <w:pPr>
              <w:spacing w:after="0"/>
              <w:rPr>
                <w:sz w:val="1"/>
                <w:szCs w:val="1"/>
                <w:color w:val="auto"/>
              </w:rPr>
            </w:pPr>
          </w:p>
        </w:tc>
      </w:tr>
      <w:tr>
        <w:trPr>
          <w:trHeight w:val="338"/>
        </w:trPr>
        <w:tc>
          <w:tcPr>
            <w:tcW w:w="7640" w:type="dxa"/>
            <w:vAlign w:val="bottom"/>
            <w:gridSpan w:val="2"/>
          </w:tcPr>
          <w:p>
            <w:pPr>
              <w:jc w:val="center"/>
              <w:ind w:left="3544"/>
              <w:spacing w:after="0"/>
              <w:rPr>
                <w:sz w:val="20"/>
                <w:szCs w:val="20"/>
                <w:color w:val="auto"/>
              </w:rPr>
            </w:pPr>
            <w:r>
              <w:rPr>
                <w:rFonts w:ascii="Times New Roman" w:cs="Times New Roman" w:eastAsia="Times New Roman" w:hAnsi="Times New Roman"/>
                <w:sz w:val="15"/>
                <w:szCs w:val="15"/>
                <w:color w:val="auto"/>
                <w:w w:val="99"/>
              </w:rPr>
              <w:t>Adina Casper</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640" w:type="dxa"/>
            <w:vAlign w:val="bottom"/>
            <w:gridSpan w:val="2"/>
          </w:tcPr>
          <w:p>
            <w:pPr>
              <w:jc w:val="center"/>
              <w:ind w:left="3524"/>
              <w:spacing w:after="0"/>
              <w:rPr>
                <w:sz w:val="20"/>
                <w:szCs w:val="20"/>
                <w:color w:val="auto"/>
              </w:rPr>
            </w:pPr>
            <w:r>
              <w:rPr>
                <w:rFonts w:ascii="Times New Roman" w:cs="Times New Roman" w:eastAsia="Times New Roman" w:hAnsi="Times New Roman"/>
                <w:sz w:val="15"/>
                <w:szCs w:val="15"/>
                <w:color w:val="auto"/>
                <w:w w:val="99"/>
              </w:rPr>
              <w:t>U.S. Bank Trust Company, National Association</w:t>
            </w: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gridSpan w:val="2"/>
          </w:tcPr>
          <w:p>
            <w:pPr>
              <w:jc w:val="center"/>
              <w:ind w:left="3544"/>
              <w:spacing w:after="0"/>
              <w:rPr>
                <w:sz w:val="20"/>
                <w:szCs w:val="20"/>
                <w:color w:val="auto"/>
              </w:rPr>
            </w:pPr>
            <w:r>
              <w:rPr>
                <w:rFonts w:ascii="Times New Roman" w:cs="Times New Roman" w:eastAsia="Times New Roman" w:hAnsi="Times New Roman"/>
                <w:sz w:val="15"/>
                <w:szCs w:val="15"/>
                <w:color w:val="auto"/>
                <w:w w:val="99"/>
              </w:rPr>
              <w:t>333 Thornall St</w:t>
            </w: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gridSpan w:val="2"/>
          </w:tcPr>
          <w:p>
            <w:pPr>
              <w:jc w:val="center"/>
              <w:ind w:left="3524"/>
              <w:spacing w:after="0"/>
              <w:rPr>
                <w:sz w:val="20"/>
                <w:szCs w:val="20"/>
                <w:color w:val="auto"/>
              </w:rPr>
            </w:pPr>
            <w:r>
              <w:rPr>
                <w:rFonts w:ascii="Times New Roman" w:cs="Times New Roman" w:eastAsia="Times New Roman" w:hAnsi="Times New Roman"/>
                <w:sz w:val="15"/>
                <w:szCs w:val="15"/>
                <w:color w:val="auto"/>
              </w:rPr>
              <w:t>Edison, NJ 08837</w:t>
            </w: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gridSpan w:val="2"/>
          </w:tcPr>
          <w:p>
            <w:pPr>
              <w:jc w:val="center"/>
              <w:ind w:left="3544"/>
              <w:spacing w:after="0"/>
              <w:rPr>
                <w:sz w:val="20"/>
                <w:szCs w:val="20"/>
                <w:color w:val="auto"/>
              </w:rPr>
            </w:pPr>
            <w:r>
              <w:rPr>
                <w:rFonts w:ascii="Times New Roman" w:cs="Times New Roman" w:eastAsia="Times New Roman" w:hAnsi="Times New Roman"/>
                <w:sz w:val="15"/>
                <w:szCs w:val="15"/>
                <w:color w:val="auto"/>
                <w:w w:val="99"/>
              </w:rPr>
              <w:t>(732)321-3956</w:t>
            </w: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40" w:type="dxa"/>
            <w:vAlign w:val="bottom"/>
            <w:gridSpan w:val="2"/>
          </w:tcPr>
          <w:p>
            <w:pPr>
              <w:jc w:val="center"/>
              <w:ind w:left="3524"/>
              <w:spacing w:after="0"/>
              <w:rPr>
                <w:sz w:val="20"/>
                <w:szCs w:val="20"/>
                <w:color w:val="auto"/>
              </w:rPr>
            </w:pPr>
            <w:r>
              <w:rPr>
                <w:rFonts w:ascii="Times New Roman" w:cs="Times New Roman" w:eastAsia="Times New Roman" w:hAnsi="Times New Roman"/>
                <w:sz w:val="15"/>
                <w:szCs w:val="15"/>
                <w:color w:val="auto"/>
              </w:rPr>
              <w:t>(Name, address and telephone number of agent for service)</w:t>
            </w: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7640" w:type="dxa"/>
            <w:vAlign w:val="bottom"/>
            <w:gridSpan w:val="2"/>
          </w:tcPr>
          <w:p>
            <w:pPr>
              <w:jc w:val="center"/>
              <w:ind w:left="3524"/>
              <w:spacing w:after="0"/>
              <w:rPr>
                <w:sz w:val="20"/>
                <w:szCs w:val="20"/>
                <w:color w:val="auto"/>
              </w:rPr>
            </w:pPr>
            <w:r>
              <w:rPr>
                <w:rFonts w:ascii="Times New Roman" w:cs="Times New Roman" w:eastAsia="Times New Roman" w:hAnsi="Times New Roman"/>
                <w:sz w:val="21"/>
                <w:szCs w:val="21"/>
                <w:b w:val="1"/>
                <w:bCs w:val="1"/>
                <w:color w:val="auto"/>
              </w:rPr>
              <w:t>Saratoga Investment Corp.</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40" w:type="dxa"/>
            <w:vAlign w:val="bottom"/>
            <w:gridSpan w:val="2"/>
          </w:tcPr>
          <w:p>
            <w:pPr>
              <w:jc w:val="center"/>
              <w:ind w:left="3524"/>
              <w:spacing w:after="0"/>
              <w:rPr>
                <w:sz w:val="20"/>
                <w:szCs w:val="20"/>
                <w:color w:val="auto"/>
              </w:rPr>
            </w:pPr>
            <w:r>
              <w:rPr>
                <w:rFonts w:ascii="Times New Roman" w:cs="Times New Roman" w:eastAsia="Times New Roman" w:hAnsi="Times New Roman"/>
                <w:sz w:val="15"/>
                <w:szCs w:val="15"/>
                <w:color w:val="auto"/>
              </w:rPr>
              <w:t>(Issuer with respect to the Securities)</w:t>
            </w: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640" w:type="dxa"/>
            <w:vAlign w:val="bottom"/>
            <w:tcBorders>
              <w:bottom w:val="single" w:sz="8" w:color="auto"/>
            </w:tcBorders>
            <w:gridSpan w:val="2"/>
          </w:tcPr>
          <w:p>
            <w:pPr>
              <w:spacing w:after="0"/>
              <w:rPr>
                <w:sz w:val="15"/>
                <w:szCs w:val="15"/>
                <w:color w:val="auto"/>
              </w:rPr>
            </w:pPr>
          </w:p>
        </w:tc>
        <w:tc>
          <w:tcPr>
            <w:tcW w:w="3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Maryland</w:t>
            </w:r>
          </w:p>
        </w:tc>
        <w:tc>
          <w:tcPr>
            <w:tcW w:w="2000" w:type="dxa"/>
            <w:vAlign w:val="bottom"/>
            <w:tcBorders>
              <w:bottom w:val="single" w:sz="8" w:color="auto"/>
            </w:tcBorders>
          </w:tcPr>
          <w:p>
            <w:pPr>
              <w:spacing w:after="0"/>
              <w:rPr>
                <w:sz w:val="14"/>
                <w:szCs w:val="14"/>
                <w:color w:val="auto"/>
              </w:rPr>
            </w:pPr>
          </w:p>
        </w:tc>
        <w:tc>
          <w:tcPr>
            <w:tcW w:w="3620" w:type="dxa"/>
            <w:vAlign w:val="bottom"/>
            <w:tcBorders>
              <w:bottom w:val="single" w:sz="8" w:color="auto"/>
              <w:right w:val="single" w:sz="8" w:color="auto"/>
            </w:tcBorders>
          </w:tcPr>
          <w:p>
            <w:pPr>
              <w:jc w:val="center"/>
              <w:ind w:right="1945"/>
              <w:spacing w:after="0"/>
              <w:rPr>
                <w:sz w:val="20"/>
                <w:szCs w:val="20"/>
                <w:color w:val="auto"/>
              </w:rPr>
            </w:pPr>
            <w:r>
              <w:rPr>
                <w:rFonts w:ascii="Times New Roman" w:cs="Times New Roman" w:eastAsia="Times New Roman" w:hAnsi="Times New Roman"/>
                <w:sz w:val="15"/>
                <w:szCs w:val="15"/>
                <w:color w:val="auto"/>
                <w:w w:val="99"/>
              </w:rPr>
              <w:t>20-8700615</w:t>
            </w:r>
          </w:p>
        </w:tc>
        <w:tc>
          <w:tcPr>
            <w:tcW w:w="0" w:type="dxa"/>
            <w:vAlign w:val="bottom"/>
          </w:tcPr>
          <w:p>
            <w:pPr>
              <w:spacing w:after="0"/>
              <w:rPr>
                <w:sz w:val="1"/>
                <w:szCs w:val="1"/>
                <w:color w:val="auto"/>
              </w:rPr>
            </w:pPr>
          </w:p>
        </w:tc>
      </w:tr>
      <w:tr>
        <w:trPr>
          <w:trHeight w:val="157"/>
        </w:trPr>
        <w:tc>
          <w:tcPr>
            <w:tcW w:w="5640" w:type="dxa"/>
            <w:vAlign w:val="bottom"/>
            <w:tcBorders>
              <w:left w:val="single" w:sz="8" w:color="auto"/>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5"/>
                <w:szCs w:val="15"/>
                <w:color w:val="auto"/>
                <w:w w:val="99"/>
              </w:rPr>
              <w:t>(State or other jurisdiction of</w:t>
            </w:r>
          </w:p>
        </w:tc>
        <w:tc>
          <w:tcPr>
            <w:tcW w:w="2000" w:type="dxa"/>
            <w:vAlign w:val="bottom"/>
          </w:tcPr>
          <w:p>
            <w:pPr>
              <w:spacing w:after="0"/>
              <w:rPr>
                <w:sz w:val="13"/>
                <w:szCs w:val="13"/>
                <w:color w:val="auto"/>
              </w:rPr>
            </w:pPr>
          </w:p>
        </w:tc>
        <w:tc>
          <w:tcPr>
            <w:tcW w:w="3620" w:type="dxa"/>
            <w:vAlign w:val="bottom"/>
            <w:tcBorders>
              <w:right w:val="single" w:sz="8" w:color="auto"/>
            </w:tcBorders>
          </w:tcPr>
          <w:p>
            <w:pPr>
              <w:jc w:val="center"/>
              <w:ind w:right="1985"/>
              <w:spacing w:after="0" w:line="157" w:lineRule="exact"/>
              <w:rPr>
                <w:sz w:val="20"/>
                <w:szCs w:val="20"/>
                <w:color w:val="auto"/>
              </w:rPr>
            </w:pPr>
            <w:r>
              <w:rPr>
                <w:rFonts w:ascii="Times New Roman" w:cs="Times New Roman" w:eastAsia="Times New Roman" w:hAnsi="Times New Roman"/>
                <w:sz w:val="15"/>
                <w:szCs w:val="15"/>
                <w:color w:val="auto"/>
              </w:rPr>
              <w:t>(I.R.S. Employer</w:t>
            </w:r>
          </w:p>
        </w:tc>
        <w:tc>
          <w:tcPr>
            <w:tcW w:w="0" w:type="dxa"/>
            <w:vAlign w:val="bottom"/>
          </w:tcPr>
          <w:p>
            <w:pPr>
              <w:spacing w:after="0"/>
              <w:rPr>
                <w:sz w:val="1"/>
                <w:szCs w:val="1"/>
                <w:color w:val="auto"/>
              </w:rPr>
            </w:pPr>
          </w:p>
        </w:tc>
      </w:tr>
      <w:tr>
        <w:trPr>
          <w:trHeight w:val="195"/>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2000" w:type="dxa"/>
            <w:vAlign w:val="bottom"/>
            <w:tcBorders>
              <w:bottom w:val="single" w:sz="8" w:color="auto"/>
            </w:tcBorders>
          </w:tcPr>
          <w:p>
            <w:pPr>
              <w:spacing w:after="0"/>
              <w:rPr>
                <w:sz w:val="16"/>
                <w:szCs w:val="16"/>
                <w:color w:val="auto"/>
              </w:rPr>
            </w:pPr>
          </w:p>
        </w:tc>
        <w:tc>
          <w:tcPr>
            <w:tcW w:w="3620" w:type="dxa"/>
            <w:vAlign w:val="bottom"/>
            <w:tcBorders>
              <w:bottom w:val="single" w:sz="8" w:color="auto"/>
              <w:right w:val="single" w:sz="8" w:color="auto"/>
            </w:tcBorders>
          </w:tcPr>
          <w:p>
            <w:pPr>
              <w:jc w:val="center"/>
              <w:ind w:right="1945"/>
              <w:spacing w:after="0"/>
              <w:rPr>
                <w:sz w:val="20"/>
                <w:szCs w:val="20"/>
                <w:color w:val="auto"/>
              </w:rPr>
            </w:pPr>
            <w:r>
              <w:rPr>
                <w:rFonts w:ascii="Times New Roman" w:cs="Times New Roman" w:eastAsia="Times New Roman" w:hAnsi="Times New Roman"/>
                <w:sz w:val="15"/>
                <w:szCs w:val="15"/>
                <w:color w:val="auto"/>
              </w:rPr>
              <w:t>Identification No.)</w:t>
            </w:r>
          </w:p>
        </w:tc>
        <w:tc>
          <w:tcPr>
            <w:tcW w:w="0" w:type="dxa"/>
            <w:vAlign w:val="bottom"/>
          </w:tcPr>
          <w:p>
            <w:pPr>
              <w:spacing w:after="0"/>
              <w:rPr>
                <w:sz w:val="1"/>
                <w:szCs w:val="1"/>
                <w:color w:val="auto"/>
              </w:rPr>
            </w:pPr>
          </w:p>
        </w:tc>
      </w:tr>
      <w:tr>
        <w:trPr>
          <w:trHeight w:val="172"/>
        </w:trPr>
        <w:tc>
          <w:tcPr>
            <w:tcW w:w="7640" w:type="dxa"/>
            <w:vAlign w:val="bottom"/>
            <w:tcBorders>
              <w:bottom w:val="single" w:sz="8" w:color="auto"/>
            </w:tcBorders>
            <w:gridSpan w:val="2"/>
          </w:tcPr>
          <w:p>
            <w:pPr>
              <w:spacing w:after="0"/>
              <w:rPr>
                <w:sz w:val="14"/>
                <w:szCs w:val="14"/>
                <w:color w:val="auto"/>
              </w:rPr>
            </w:pPr>
          </w:p>
        </w:tc>
        <w:tc>
          <w:tcPr>
            <w:tcW w:w="3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6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4"/>
                <w:szCs w:val="14"/>
                <w:color w:val="auto"/>
              </w:rPr>
              <w:t>535 Madison Avenue, 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Floor</w:t>
            </w:r>
          </w:p>
        </w:tc>
        <w:tc>
          <w:tcPr>
            <w:tcW w:w="2000" w:type="dxa"/>
            <w:vAlign w:val="bottom"/>
          </w:tcPr>
          <w:p>
            <w:pPr>
              <w:spacing w:after="0"/>
              <w:rPr>
                <w:sz w:val="16"/>
                <w:szCs w:val="16"/>
                <w:color w:val="auto"/>
              </w:rPr>
            </w:pPr>
          </w:p>
        </w:tc>
        <w:tc>
          <w:tcPr>
            <w:tcW w:w="3620" w:type="dxa"/>
            <w:vAlign w:val="bottom"/>
            <w:tcBorders>
              <w:right w:val="single" w:sz="8" w:color="auto"/>
            </w:tcBorders>
            <w:vMerge w:val="restart"/>
          </w:tcPr>
          <w:p>
            <w:pPr>
              <w:jc w:val="center"/>
              <w:ind w:right="1945"/>
              <w:spacing w:after="0"/>
              <w:rPr>
                <w:sz w:val="20"/>
                <w:szCs w:val="20"/>
                <w:color w:val="auto"/>
              </w:rPr>
            </w:pPr>
            <w:r>
              <w:rPr>
                <w:rFonts w:ascii="Times New Roman" w:cs="Times New Roman" w:eastAsia="Times New Roman" w:hAnsi="Times New Roman"/>
                <w:sz w:val="15"/>
                <w:szCs w:val="15"/>
                <w:color w:val="auto"/>
                <w:w w:val="95"/>
              </w:rPr>
              <w:t>10022</w:t>
            </w:r>
          </w:p>
        </w:tc>
        <w:tc>
          <w:tcPr>
            <w:tcW w:w="0" w:type="dxa"/>
            <w:vAlign w:val="bottom"/>
          </w:tcPr>
          <w:p>
            <w:pPr>
              <w:spacing w:after="0"/>
              <w:rPr>
                <w:sz w:val="1"/>
                <w:szCs w:val="1"/>
                <w:color w:val="auto"/>
              </w:rPr>
            </w:pPr>
          </w:p>
        </w:tc>
      </w:tr>
      <w:tr>
        <w:trPr>
          <w:trHeight w:val="195"/>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New York, NY</w:t>
            </w:r>
          </w:p>
        </w:tc>
        <w:tc>
          <w:tcPr>
            <w:tcW w:w="2000" w:type="dxa"/>
            <w:vAlign w:val="bottom"/>
            <w:tcBorders>
              <w:bottom w:val="single" w:sz="8" w:color="auto"/>
            </w:tcBorders>
          </w:tcPr>
          <w:p>
            <w:pPr>
              <w:spacing w:after="0"/>
              <w:rPr>
                <w:sz w:val="16"/>
                <w:szCs w:val="16"/>
                <w:color w:val="auto"/>
              </w:rPr>
            </w:pPr>
          </w:p>
        </w:tc>
        <w:tc>
          <w:tcPr>
            <w:tcW w:w="36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2000" w:type="dxa"/>
            <w:vAlign w:val="bottom"/>
            <w:tcBorders>
              <w:bottom w:val="single" w:sz="8" w:color="auto"/>
            </w:tcBorders>
          </w:tcPr>
          <w:p>
            <w:pPr>
              <w:spacing w:after="0"/>
              <w:rPr>
                <w:sz w:val="14"/>
                <w:szCs w:val="14"/>
                <w:color w:val="auto"/>
              </w:rPr>
            </w:pPr>
          </w:p>
        </w:tc>
        <w:tc>
          <w:tcPr>
            <w:tcW w:w="3620" w:type="dxa"/>
            <w:vAlign w:val="bottom"/>
            <w:tcBorders>
              <w:bottom w:val="single" w:sz="8" w:color="auto"/>
              <w:right w:val="single" w:sz="8" w:color="auto"/>
            </w:tcBorders>
          </w:tcPr>
          <w:p>
            <w:pPr>
              <w:jc w:val="center"/>
              <w:ind w:right="1945"/>
              <w:spacing w:after="0"/>
              <w:rPr>
                <w:sz w:val="20"/>
                <w:szCs w:val="20"/>
                <w:color w:val="auto"/>
              </w:rPr>
            </w:pPr>
            <w:r>
              <w:rPr>
                <w:rFonts w:ascii="Times New Roman" w:cs="Times New Roman" w:eastAsia="Times New Roman" w:hAnsi="Times New Roman"/>
                <w:sz w:val="15"/>
                <w:szCs w:val="15"/>
                <w:color w:val="auto"/>
              </w:rPr>
              <w:t>(Zip Code)</w:t>
            </w:r>
          </w:p>
        </w:tc>
        <w:tc>
          <w:tcPr>
            <w:tcW w:w="0" w:type="dxa"/>
            <w:vAlign w:val="bottom"/>
          </w:tcPr>
          <w:p>
            <w:pPr>
              <w:spacing w:after="0"/>
              <w:rPr>
                <w:sz w:val="1"/>
                <w:szCs w:val="1"/>
                <w:color w:val="auto"/>
              </w:rPr>
            </w:pPr>
          </w:p>
        </w:tc>
      </w:tr>
      <w:tr>
        <w:trPr>
          <w:trHeight w:val="334"/>
        </w:trPr>
        <w:tc>
          <w:tcPr>
            <w:tcW w:w="7640" w:type="dxa"/>
            <w:vAlign w:val="bottom"/>
            <w:gridSpan w:val="2"/>
          </w:tcPr>
          <w:p>
            <w:pPr>
              <w:jc w:val="center"/>
              <w:ind w:left="3544"/>
              <w:spacing w:after="0"/>
              <w:rPr>
                <w:sz w:val="20"/>
                <w:szCs w:val="20"/>
                <w:color w:val="auto"/>
              </w:rPr>
            </w:pPr>
            <w:r>
              <w:rPr>
                <w:rFonts w:ascii="Times New Roman" w:cs="Times New Roman" w:eastAsia="Times New Roman" w:hAnsi="Times New Roman"/>
                <w:sz w:val="15"/>
                <w:szCs w:val="15"/>
                <w:b w:val="1"/>
                <w:bCs w:val="1"/>
                <w:color w:val="auto"/>
              </w:rPr>
              <w:t>Debt Securities</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640" w:type="dxa"/>
            <w:vAlign w:val="bottom"/>
            <w:gridSpan w:val="2"/>
          </w:tcPr>
          <w:p>
            <w:pPr>
              <w:jc w:val="center"/>
              <w:ind w:left="3544"/>
              <w:spacing w:after="0"/>
              <w:rPr>
                <w:sz w:val="20"/>
                <w:szCs w:val="20"/>
                <w:color w:val="auto"/>
              </w:rPr>
            </w:pPr>
            <w:r>
              <w:rPr>
                <w:rFonts w:ascii="Times New Roman" w:cs="Times New Roman" w:eastAsia="Times New Roman" w:hAnsi="Times New Roman"/>
                <w:sz w:val="15"/>
                <w:szCs w:val="15"/>
                <w:b w:val="1"/>
                <w:bCs w:val="1"/>
                <w:color w:val="auto"/>
                <w:w w:val="99"/>
              </w:rPr>
              <w:t>(Title of the Indenture Securities)</w:t>
            </w: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6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56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4" w:right="319" w:bottom="1440" w:gutter="0" w:footer="0" w:header="0"/>
        </w:sectPr>
      </w:pPr>
    </w:p>
    <w:bookmarkStart w:id="102" w:name="page103"/>
    <w:bookmarkEnd w:id="102"/>
    <w:p>
      <w:pPr>
        <w:ind w:left="5260"/>
        <w:spacing w:after="0"/>
        <w:rPr>
          <w:sz w:val="20"/>
          <w:szCs w:val="20"/>
          <w:color w:val="auto"/>
        </w:rPr>
      </w:pPr>
      <w:r>
        <w:rPr>
          <w:rFonts w:ascii="Times New Roman" w:cs="Times New Roman" w:eastAsia="Times New Roman" w:hAnsi="Times New Roman"/>
          <w:sz w:val="15"/>
          <w:szCs w:val="15"/>
          <w:b w:val="1"/>
          <w:bCs w:val="1"/>
          <w:u w:val="single" w:color="auto"/>
          <w:color w:val="auto"/>
        </w:rPr>
        <w:t>FORM T-1</w:t>
      </w:r>
    </w:p>
    <w:p>
      <w:pPr>
        <w:spacing w:after="0" w:line="18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GENERAL INFORMATION</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Furnish the following information as to the Trustee.</w:t>
      </w:r>
    </w:p>
    <w:p>
      <w:pPr>
        <w:spacing w:after="0" w:line="190" w:lineRule="exact"/>
        <w:rPr>
          <w:sz w:val="20"/>
          <w:szCs w:val="20"/>
          <w:color w:val="auto"/>
        </w:rPr>
      </w:pPr>
    </w:p>
    <w:p>
      <w:pPr>
        <w:ind w:left="1080" w:hanging="278"/>
        <w:spacing w:after="0"/>
        <w:tabs>
          <w:tab w:leader="none" w:pos="108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340" w:right="6380" w:hanging="538"/>
        <w:spacing w:after="0" w:line="537" w:lineRule="auto"/>
        <w:tabs>
          <w:tab w:leader="none" w:pos="1069"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Whether it is authorized to exercise corporate trust powers. </w:t>
      </w:r>
      <w:r>
        <w:rPr>
          <w:rFonts w:ascii="Times New Roman" w:cs="Times New Roman" w:eastAsia="Times New Roman" w:hAnsi="Times New Roman"/>
          <w:sz w:val="15"/>
          <w:szCs w:val="15"/>
          <w:color w:val="auto"/>
        </w:rPr>
        <w:t>Yes</w:t>
      </w:r>
    </w:p>
    <w:p>
      <w:pPr>
        <w:spacing w:after="0" w:line="12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5"/>
          <w:szCs w:val="15"/>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 xml:space="preserve">AFFILIATIONS WITH THE OBLIGOR. </w:t>
      </w:r>
      <w:r>
        <w:rPr>
          <w:rFonts w:ascii="Times New Roman" w:cs="Times New Roman" w:eastAsia="Times New Roman" w:hAnsi="Times New Roman"/>
          <w:sz w:val="15"/>
          <w:szCs w:val="15"/>
          <w:i w:val="1"/>
          <w:iCs w:val="1"/>
          <w:color w:val="auto"/>
        </w:rPr>
        <w:t>If the obligor is an affiliate of the Trustee, describe each such affiliation.</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Items 3-15</w:t>
      </w:r>
      <w:r>
        <w:rPr>
          <w:sz w:val="20"/>
          <w:szCs w:val="20"/>
          <w:color w:val="auto"/>
        </w:rPr>
        <w:tab/>
      </w:r>
      <w:r>
        <w:rPr>
          <w:rFonts w:ascii="Times New Roman" w:cs="Times New Roman" w:eastAsia="Times New Roman" w:hAnsi="Times New Roman"/>
          <w:sz w:val="14"/>
          <w:szCs w:val="14"/>
          <w:i w:val="1"/>
          <w:iCs w:val="1"/>
          <w:color w:val="auto"/>
        </w:rPr>
        <w:t>Items 3-15 are not applicable because to the best of the Trustee's knowledge, the obligor is not in default under any Indenture for which the Trustee acts as Trustee.</w:t>
      </w:r>
    </w:p>
    <w:p>
      <w:pPr>
        <w:spacing w:after="0" w:line="21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16.</w:t>
      </w:r>
      <w:r>
        <w:rPr>
          <w:sz w:val="20"/>
          <w:szCs w:val="20"/>
          <w:color w:val="auto"/>
        </w:rPr>
        <w:tab/>
      </w:r>
      <w:r>
        <w:rPr>
          <w:rFonts w:ascii="Times New Roman" w:cs="Times New Roman" w:eastAsia="Times New Roman" w:hAnsi="Times New Roman"/>
          <w:sz w:val="15"/>
          <w:szCs w:val="15"/>
          <w:b w:val="1"/>
          <w:bCs w:val="1"/>
          <w:color w:val="auto"/>
        </w:rPr>
        <w:t xml:space="preserve">LIST OF EXHIBITS: </w:t>
      </w:r>
      <w:r>
        <w:rPr>
          <w:rFonts w:ascii="Times New Roman" w:cs="Times New Roman" w:eastAsia="Times New Roman" w:hAnsi="Times New Roman"/>
          <w:sz w:val="15"/>
          <w:szCs w:val="15"/>
          <w:i w:val="1"/>
          <w:iCs w:val="1"/>
          <w:color w:val="auto"/>
        </w:rPr>
        <w:t>List below all exhibits filed as a part of this statement of eligibility and qualification.</w:t>
      </w:r>
    </w:p>
    <w:p>
      <w:pPr>
        <w:spacing w:after="0" w:line="192" w:lineRule="exact"/>
        <w:rPr>
          <w:sz w:val="20"/>
          <w:szCs w:val="20"/>
          <w:color w:val="auto"/>
        </w:rPr>
      </w:pPr>
    </w:p>
    <w:p>
      <w:pPr>
        <w:ind w:left="1080" w:hanging="278"/>
        <w:spacing w:after="0"/>
        <w:tabs>
          <w:tab w:leader="none" w:pos="10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the Articles of Association of the Trustee, attached as Exhibit 1.</w:t>
      </w:r>
    </w:p>
    <w:p>
      <w:pPr>
        <w:spacing w:after="0" w:line="188" w:lineRule="exact"/>
        <w:rPr>
          <w:rFonts w:ascii="Times New Roman" w:cs="Times New Roman" w:eastAsia="Times New Roman" w:hAnsi="Times New Roman"/>
          <w:sz w:val="15"/>
          <w:szCs w:val="15"/>
          <w:color w:val="auto"/>
        </w:rPr>
      </w:pPr>
    </w:p>
    <w:p>
      <w:pPr>
        <w:ind w:left="1080" w:hanging="278"/>
        <w:spacing w:after="0"/>
        <w:tabs>
          <w:tab w:leader="none" w:pos="10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the certificate of authority of the Trustee to commence business, attached as Exhibit 2.</w:t>
      </w:r>
    </w:p>
    <w:p>
      <w:pPr>
        <w:spacing w:after="0" w:line="188" w:lineRule="exact"/>
        <w:rPr>
          <w:rFonts w:ascii="Times New Roman" w:cs="Times New Roman" w:eastAsia="Times New Roman" w:hAnsi="Times New Roman"/>
          <w:sz w:val="15"/>
          <w:szCs w:val="15"/>
          <w:color w:val="auto"/>
        </w:rPr>
      </w:pPr>
    </w:p>
    <w:p>
      <w:pPr>
        <w:ind w:left="1080" w:hanging="278"/>
        <w:spacing w:after="0"/>
        <w:tabs>
          <w:tab w:leader="none" w:pos="10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the authorization of the Trustee to exercise corporate trust powers, included as Exhibit 2.</w:t>
      </w:r>
    </w:p>
    <w:p>
      <w:pPr>
        <w:spacing w:after="0" w:line="188" w:lineRule="exact"/>
        <w:rPr>
          <w:rFonts w:ascii="Times New Roman" w:cs="Times New Roman" w:eastAsia="Times New Roman" w:hAnsi="Times New Roman"/>
          <w:sz w:val="15"/>
          <w:szCs w:val="15"/>
          <w:color w:val="auto"/>
        </w:rPr>
      </w:pPr>
    </w:p>
    <w:p>
      <w:pPr>
        <w:ind w:left="1080" w:hanging="278"/>
        <w:spacing w:after="0"/>
        <w:tabs>
          <w:tab w:leader="none" w:pos="10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the existing bylaws of the Trustee, attached as Exhibit 4.</w:t>
      </w:r>
    </w:p>
    <w:p>
      <w:pPr>
        <w:spacing w:after="0" w:line="188" w:lineRule="exact"/>
        <w:rPr>
          <w:rFonts w:ascii="Times New Roman" w:cs="Times New Roman" w:eastAsia="Times New Roman" w:hAnsi="Times New Roman"/>
          <w:sz w:val="15"/>
          <w:szCs w:val="15"/>
          <w:color w:val="auto"/>
        </w:rPr>
      </w:pPr>
    </w:p>
    <w:p>
      <w:pPr>
        <w:ind w:left="1080" w:hanging="278"/>
        <w:spacing w:after="0"/>
        <w:tabs>
          <w:tab w:leader="none" w:pos="10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each Indenture referred to in Item 4. Not applicable.</w:t>
      </w:r>
    </w:p>
    <w:p>
      <w:pPr>
        <w:spacing w:after="0" w:line="188" w:lineRule="exact"/>
        <w:rPr>
          <w:rFonts w:ascii="Times New Roman" w:cs="Times New Roman" w:eastAsia="Times New Roman" w:hAnsi="Times New Roman"/>
          <w:sz w:val="15"/>
          <w:szCs w:val="15"/>
          <w:color w:val="auto"/>
        </w:rPr>
      </w:pPr>
    </w:p>
    <w:p>
      <w:pPr>
        <w:ind w:left="1080" w:hanging="278"/>
        <w:spacing w:after="0"/>
        <w:tabs>
          <w:tab w:leader="none" w:pos="10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consent of the Trustee required by Section 321(b) of the Trust Indenture Act of 1939, attached as Exhibit 6.</w:t>
      </w:r>
    </w:p>
    <w:p>
      <w:pPr>
        <w:spacing w:after="0" w:line="188" w:lineRule="exact"/>
        <w:rPr>
          <w:rFonts w:ascii="Times New Roman" w:cs="Times New Roman" w:eastAsia="Times New Roman" w:hAnsi="Times New Roman"/>
          <w:sz w:val="15"/>
          <w:szCs w:val="15"/>
          <w:color w:val="auto"/>
        </w:rPr>
      </w:pPr>
    </w:p>
    <w:p>
      <w:pPr>
        <w:ind w:left="1080" w:hanging="278"/>
        <w:spacing w:after="0"/>
        <w:tabs>
          <w:tab w:leader="none" w:pos="10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Report of Condition of the Trustee as of June 30, 2025,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372745</wp:posOffset>
            </wp:positionV>
            <wp:extent cx="7155180" cy="14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40"/>
          </w:cols>
          <w:pgMar w:left="320" w:top="775" w:right="539" w:bottom="1440" w:gutter="0" w:footer="0" w:header="0"/>
        </w:sectPr>
      </w:pPr>
    </w:p>
    <w:bookmarkStart w:id="103" w:name="page104"/>
    <w:bookmarkEnd w:id="103"/>
    <w:p>
      <w:pPr>
        <w:jc w:val="center"/>
        <w:ind w:right="-259"/>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92" w:lineRule="exact"/>
        <w:rPr>
          <w:sz w:val="20"/>
          <w:szCs w:val="20"/>
          <w:color w:val="auto"/>
        </w:rPr>
      </w:pPr>
    </w:p>
    <w:p>
      <w:pPr>
        <w:ind w:firstLine="541"/>
        <w:spacing w:after="0" w:line="267" w:lineRule="auto"/>
        <w:rPr>
          <w:sz w:val="20"/>
          <w:szCs w:val="20"/>
          <w:color w:val="auto"/>
        </w:rPr>
      </w:pPr>
      <w:r>
        <w:rPr>
          <w:rFonts w:ascii="Times New Roman" w:cs="Times New Roman" w:eastAsia="Times New Roman" w:hAnsi="Times New Roman"/>
          <w:sz w:val="15"/>
          <w:szCs w:val="15"/>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Edison, State of New Jersey on the 14th of January, 2026.</w:t>
      </w:r>
    </w:p>
    <w:p>
      <w:pPr>
        <w:spacing w:after="0" w:line="146"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5"/>
          <w:szCs w:val="15"/>
          <w:color w:val="auto"/>
        </w:rPr>
        <w:t>By:</w:t>
        <w:tab/>
        <w:t>/s/ Adina Casper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57111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6">
                      <a:extLst>
                        <a:ext uri="{28A0092B-C50C-407E-A947-70E740481C1C}"/>
                      </a:extLst>
                    </a:blip>
                    <a:srcRect/>
                    <a:stretch>
                      <a:fillRect/>
                    </a:stretch>
                  </pic:blipFill>
                  <pic:spPr bwMode="auto">
                    <a:xfrm>
                      <a:off x="0" y="0"/>
                      <a:ext cx="2571115" cy="698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5"/>
          <w:szCs w:val="15"/>
          <w:color w:val="auto"/>
        </w:rPr>
        <w:t>Adina Casper</w:t>
      </w:r>
    </w:p>
    <w:p>
      <w:pPr>
        <w:spacing w:after="0" w:line="1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5"/>
          <w:szCs w:val="15"/>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7155180" cy="14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00"/>
          </w:cols>
          <w:pgMar w:left="320" w:top="775" w:right="57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Exhibit 1</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ARTICLES OF ASSOCIATION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 S. BANK TRUST COMPANY, NATIONAL ASSOCIATION</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For the purpose of organizing an association (the “Association”) to perform any lawful activities of national banks, the undersigned enter into the following Articles of Association: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FIRST. </w:t>
      </w:r>
      <w:r>
        <w:rPr>
          <w:rFonts w:ascii="Times New Roman" w:cs="Times New Roman" w:eastAsia="Times New Roman" w:hAnsi="Times New Roman"/>
          <w:sz w:val="15"/>
          <w:szCs w:val="15"/>
          <w:color w:val="auto"/>
        </w:rPr>
        <w:t>The title of this Association shall be U. S. Bank Trust Company, National Association.</w:t>
      </w:r>
    </w:p>
    <w:p>
      <w:pPr>
        <w:spacing w:after="0" w:line="188"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SECOND. </w:t>
      </w:r>
      <w:r>
        <w:rPr>
          <w:rFonts w:ascii="Times New Roman" w:cs="Times New Roman" w:eastAsia="Times New Roman" w:hAnsi="Times New Roman"/>
          <w:sz w:val="15"/>
          <w:szCs w:val="15"/>
          <w:color w:val="auto"/>
        </w:rPr>
        <w:t>The main office of the Association shall be in the city of Portland, county of Multnomah, state of Oregon. The business of the Association will be limited to fiduciary powers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the support of activities incidental to the exercise of those powers. The Association may not expand or alter its business beyond that stated in this article without the prior approval of the Comptroller of the Currency.</w:t>
      </w:r>
    </w:p>
    <w:p>
      <w:pPr>
        <w:spacing w:after="0" w:line="140" w:lineRule="exact"/>
        <w:rPr>
          <w:sz w:val="20"/>
          <w:szCs w:val="20"/>
          <w:color w:val="auto"/>
        </w:rPr>
      </w:pPr>
    </w:p>
    <w:p>
      <w:pPr>
        <w:jc w:val="both"/>
        <w:ind w:left="20" w:firstLine="1"/>
        <w:spacing w:after="0" w:line="260" w:lineRule="auto"/>
        <w:rPr>
          <w:sz w:val="20"/>
          <w:szCs w:val="20"/>
          <w:color w:val="auto"/>
        </w:rPr>
      </w:pPr>
      <w:r>
        <w:rPr>
          <w:rFonts w:ascii="Times New Roman" w:cs="Times New Roman" w:eastAsia="Times New Roman" w:hAnsi="Times New Roman"/>
          <w:sz w:val="15"/>
          <w:szCs w:val="15"/>
          <w:b w:val="1"/>
          <w:bCs w:val="1"/>
          <w:color w:val="auto"/>
        </w:rPr>
        <w:t xml:space="preserve">THIRD. </w:t>
      </w:r>
      <w:r>
        <w:rPr>
          <w:rFonts w:ascii="Times New Roman" w:cs="Times New Roman" w:eastAsia="Times New Roman" w:hAnsi="Times New Roman"/>
          <w:sz w:val="15"/>
          <w:szCs w:val="15"/>
          <w:color w:val="auto"/>
        </w:rPr>
        <w:t>The board of directors of the Association shall consist of not less than five nor more than twenty-five persons, the exact number to be fixed and determined from time to time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52" w:lineRule="exact"/>
        <w:rPr>
          <w:sz w:val="20"/>
          <w:szCs w:val="20"/>
          <w:color w:val="auto"/>
        </w:rPr>
      </w:pPr>
    </w:p>
    <w:p>
      <w:pPr>
        <w:jc w:val="both"/>
        <w:ind w:left="20" w:firstLine="4"/>
        <w:spacing w:after="0" w:line="261" w:lineRule="auto"/>
        <w:rPr>
          <w:sz w:val="20"/>
          <w:szCs w:val="20"/>
          <w:color w:val="auto"/>
        </w:rPr>
      </w:pPr>
      <w:r>
        <w:rPr>
          <w:rFonts w:ascii="Times New Roman" w:cs="Times New Roman" w:eastAsia="Times New Roman" w:hAnsi="Times New Roman"/>
          <w:sz w:val="15"/>
          <w:szCs w:val="15"/>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52" w:lineRule="exact"/>
        <w:rPr>
          <w:sz w:val="20"/>
          <w:szCs w:val="20"/>
          <w:color w:val="auto"/>
        </w:rPr>
      </w:pPr>
    </w:p>
    <w:p>
      <w:pPr>
        <w:jc w:val="both"/>
        <w:ind w:left="20" w:firstLine="2"/>
        <w:spacing w:after="0" w:line="267" w:lineRule="auto"/>
        <w:rPr>
          <w:sz w:val="20"/>
          <w:szCs w:val="20"/>
          <w:color w:val="auto"/>
        </w:rPr>
      </w:pPr>
      <w:r>
        <w:rPr>
          <w:rFonts w:ascii="Times New Roman" w:cs="Times New Roman" w:eastAsia="Times New Roman" w:hAnsi="Times New Roman"/>
          <w:sz w:val="15"/>
          <w:szCs w:val="15"/>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42" w:lineRule="exact"/>
        <w:rPr>
          <w:sz w:val="20"/>
          <w:szCs w:val="20"/>
          <w:color w:val="auto"/>
        </w:rPr>
      </w:pPr>
    </w:p>
    <w:p>
      <w:pPr>
        <w:jc w:val="both"/>
        <w:ind w:left="20" w:firstLine="2"/>
        <w:spacing w:after="0" w:line="260" w:lineRule="auto"/>
        <w:rPr>
          <w:sz w:val="20"/>
          <w:szCs w:val="20"/>
          <w:color w:val="auto"/>
        </w:rPr>
      </w:pPr>
      <w:r>
        <w:rPr>
          <w:rFonts w:ascii="Times New Roman" w:cs="Times New Roman" w:eastAsia="Times New Roman" w:hAnsi="Times New Roman"/>
          <w:sz w:val="15"/>
          <w:szCs w:val="15"/>
          <w:b w:val="1"/>
          <w:bCs w:val="1"/>
          <w:color w:val="auto"/>
        </w:rPr>
        <w:t xml:space="preserve">FOURTH. </w:t>
      </w:r>
      <w:r>
        <w:rPr>
          <w:rFonts w:ascii="Times New Roman" w:cs="Times New Roman" w:eastAsia="Times New Roman" w:hAnsi="Times New Roman"/>
          <w:sz w:val="15"/>
          <w:szCs w:val="15"/>
          <w:color w:val="auto"/>
        </w:rPr>
        <w:t>There shall be an annual meeting of the shareholders to elect directors and transact whatever other business may be brought before the meeting. It shall be held at the main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7155180" cy="14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105" w:name="page106"/>
    <w:bookmarkEnd w:id="105"/>
    <w:p>
      <w:pPr>
        <w:jc w:val="both"/>
        <w:ind w:firstLine="1"/>
        <w:spacing w:after="0" w:line="267" w:lineRule="auto"/>
        <w:rPr>
          <w:sz w:val="20"/>
          <w:szCs w:val="20"/>
          <w:color w:val="auto"/>
        </w:rPr>
      </w:pPr>
      <w:r>
        <w:rPr>
          <w:rFonts w:ascii="Times New Roman" w:cs="Times New Roman" w:eastAsia="Times New Roman" w:hAnsi="Times New Roman"/>
          <w:sz w:val="15"/>
          <w:szCs w:val="15"/>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35" w:lineRule="exact"/>
        <w:rPr>
          <w:sz w:val="20"/>
          <w:szCs w:val="20"/>
          <w:color w:val="auto"/>
        </w:rPr>
      </w:pPr>
    </w:p>
    <w:p>
      <w:pPr>
        <w:jc w:val="both"/>
        <w:ind w:firstLine="5"/>
        <w:spacing w:after="0" w:line="267" w:lineRule="auto"/>
        <w:rPr>
          <w:sz w:val="20"/>
          <w:szCs w:val="20"/>
          <w:color w:val="auto"/>
        </w:rPr>
      </w:pPr>
      <w:r>
        <w:rPr>
          <w:rFonts w:ascii="Times New Roman" w:cs="Times New Roman" w:eastAsia="Times New Roman" w:hAnsi="Times New Roman"/>
          <w:sz w:val="15"/>
          <w:szCs w:val="15"/>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42" w:lineRule="exact"/>
        <w:rPr>
          <w:sz w:val="20"/>
          <w:szCs w:val="20"/>
          <w:color w:val="auto"/>
        </w:rPr>
      </w:pPr>
    </w:p>
    <w:p>
      <w:pPr>
        <w:jc w:val="both"/>
        <w:ind w:firstLine="1"/>
        <w:spacing w:after="0" w:line="289" w:lineRule="auto"/>
        <w:rPr>
          <w:sz w:val="20"/>
          <w:szCs w:val="20"/>
          <w:color w:val="auto"/>
        </w:rPr>
      </w:pPr>
      <w:r>
        <w:rPr>
          <w:rFonts w:ascii="Times New Roman" w:cs="Times New Roman" w:eastAsia="Times New Roman" w:hAnsi="Times New Roman"/>
          <w:sz w:val="15"/>
          <w:szCs w:val="15"/>
          <w:b w:val="1"/>
          <w:bCs w:val="1"/>
          <w:color w:val="auto"/>
        </w:rPr>
        <w:t xml:space="preserve">FIFTH. </w:t>
      </w:r>
      <w:r>
        <w:rPr>
          <w:rFonts w:ascii="Times New Roman" w:cs="Times New Roman" w:eastAsia="Times New Roman" w:hAnsi="Times New Roman"/>
          <w:sz w:val="15"/>
          <w:szCs w:val="15"/>
          <w:color w:val="auto"/>
        </w:rPr>
        <w:t>The authorized amount of capital stock of the Association shall be 1,000,000 shares of common stock of the par value of ten dollars ($10) each; but said capital stock may be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increased or decreased from time to time, according to the provisions of the laws of the United States. The Association shall have only one class of capital stock.</w:t>
      </w:r>
    </w:p>
    <w:p>
      <w:pPr>
        <w:spacing w:after="0" w:line="130" w:lineRule="exact"/>
        <w:rPr>
          <w:sz w:val="20"/>
          <w:szCs w:val="20"/>
          <w:color w:val="auto"/>
        </w:rPr>
      </w:pPr>
    </w:p>
    <w:p>
      <w:pPr>
        <w:jc w:val="both"/>
        <w:ind w:firstLine="8"/>
        <w:spacing w:after="0" w:line="267" w:lineRule="auto"/>
        <w:rPr>
          <w:sz w:val="20"/>
          <w:szCs w:val="20"/>
          <w:color w:val="auto"/>
        </w:rPr>
      </w:pPr>
      <w:r>
        <w:rPr>
          <w:rFonts w:ascii="Times New Roman" w:cs="Times New Roman" w:eastAsia="Times New Roman" w:hAnsi="Times New Roman"/>
          <w:sz w:val="15"/>
          <w:szCs w:val="15"/>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46" w:lineRule="exact"/>
        <w:rPr>
          <w:sz w:val="20"/>
          <w:szCs w:val="20"/>
          <w:color w:val="auto"/>
        </w:rPr>
      </w:pPr>
    </w:p>
    <w:p>
      <w:pPr>
        <w:jc w:val="both"/>
        <w:ind w:right="20" w:firstLine="1"/>
        <w:spacing w:after="0" w:line="283" w:lineRule="auto"/>
        <w:rPr>
          <w:sz w:val="20"/>
          <w:szCs w:val="20"/>
          <w:color w:val="auto"/>
        </w:rPr>
      </w:pPr>
      <w:r>
        <w:rPr>
          <w:rFonts w:ascii="Times New Roman" w:cs="Times New Roman" w:eastAsia="Times New Roman" w:hAnsi="Times New Roman"/>
          <w:sz w:val="15"/>
          <w:szCs w:val="15"/>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35" w:lineRule="exact"/>
        <w:rPr>
          <w:sz w:val="20"/>
          <w:szCs w:val="20"/>
          <w:color w:val="auto"/>
        </w:rPr>
      </w:pPr>
    </w:p>
    <w:p>
      <w:pPr>
        <w:jc w:val="both"/>
        <w:ind w:firstLine="4"/>
        <w:spacing w:after="0" w:line="283" w:lineRule="auto"/>
        <w:rPr>
          <w:sz w:val="20"/>
          <w:szCs w:val="20"/>
          <w:color w:val="auto"/>
        </w:rPr>
      </w:pPr>
      <w:r>
        <w:rPr>
          <w:rFonts w:ascii="Times New Roman" w:cs="Times New Roman" w:eastAsia="Times New Roman" w:hAnsi="Times New Roman"/>
          <w:sz w:val="15"/>
          <w:szCs w:val="15"/>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06" w:name="page107"/>
    <w:bookmarkEnd w:id="106"/>
    <w:p>
      <w:pPr>
        <w:ind w:left="10"/>
        <w:spacing w:after="0"/>
        <w:rPr>
          <w:sz w:val="20"/>
          <w:szCs w:val="20"/>
          <w:color w:val="auto"/>
        </w:rPr>
      </w:pPr>
      <w:r>
        <w:rPr>
          <w:rFonts w:ascii="Times New Roman" w:cs="Times New Roman" w:eastAsia="Times New Roman" w:hAnsi="Times New Roman"/>
          <w:sz w:val="15"/>
          <w:szCs w:val="15"/>
          <w:color w:val="auto"/>
        </w:rPr>
        <w:t>Unless otherwise specified in the Articles of Association or required by law, all shares of voting stock shall be voted together as a class, on any matters requiring shareholder approval.</w:t>
      </w:r>
    </w:p>
    <w:p>
      <w:pPr>
        <w:spacing w:after="0" w:line="188" w:lineRule="exact"/>
        <w:rPr>
          <w:sz w:val="20"/>
          <w:szCs w:val="20"/>
          <w:color w:val="auto"/>
        </w:rPr>
      </w:pPr>
    </w:p>
    <w:p>
      <w:pPr>
        <w:jc w:val="both"/>
        <w:ind w:left="10"/>
        <w:spacing w:after="0" w:line="283" w:lineRule="auto"/>
        <w:rPr>
          <w:sz w:val="20"/>
          <w:szCs w:val="20"/>
          <w:color w:val="auto"/>
        </w:rPr>
      </w:pPr>
      <w:r>
        <w:rPr>
          <w:rFonts w:ascii="Times New Roman" w:cs="Times New Roman" w:eastAsia="Times New Roman" w:hAnsi="Times New Roman"/>
          <w:sz w:val="15"/>
          <w:szCs w:val="15"/>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35" w:lineRule="exact"/>
        <w:rPr>
          <w:sz w:val="20"/>
          <w:szCs w:val="20"/>
          <w:color w:val="auto"/>
        </w:rPr>
      </w:pPr>
    </w:p>
    <w:p>
      <w:pPr>
        <w:jc w:val="both"/>
        <w:ind w:left="10" w:hanging="4"/>
        <w:spacing w:after="0" w:line="267" w:lineRule="auto"/>
        <w:rPr>
          <w:sz w:val="20"/>
          <w:szCs w:val="20"/>
          <w:color w:val="auto"/>
        </w:rPr>
      </w:pPr>
      <w:r>
        <w:rPr>
          <w:rFonts w:ascii="Times New Roman" w:cs="Times New Roman" w:eastAsia="Times New Roman" w:hAnsi="Times New Roman"/>
          <w:sz w:val="15"/>
          <w:szCs w:val="15"/>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42" w:lineRule="exact"/>
        <w:rPr>
          <w:sz w:val="20"/>
          <w:szCs w:val="20"/>
          <w:color w:val="auto"/>
        </w:rPr>
      </w:pPr>
    </w:p>
    <w:p>
      <w:pPr>
        <w:jc w:val="both"/>
        <w:ind w:left="10" w:firstLine="2"/>
        <w:spacing w:after="0" w:line="263" w:lineRule="auto"/>
        <w:rPr>
          <w:sz w:val="20"/>
          <w:szCs w:val="20"/>
          <w:color w:val="auto"/>
        </w:rPr>
      </w:pPr>
      <w:r>
        <w:rPr>
          <w:rFonts w:ascii="Times New Roman" w:cs="Times New Roman" w:eastAsia="Times New Roman" w:hAnsi="Times New Roman"/>
          <w:sz w:val="15"/>
          <w:szCs w:val="15"/>
          <w:b w:val="1"/>
          <w:bCs w:val="1"/>
          <w:color w:val="auto"/>
        </w:rPr>
        <w:t xml:space="preserve">SIXTH. </w:t>
      </w:r>
      <w:r>
        <w:rPr>
          <w:rFonts w:ascii="Times New Roman" w:cs="Times New Roman" w:eastAsia="Times New Roman" w:hAnsi="Times New Roman"/>
          <w:sz w:val="15"/>
          <w:szCs w:val="15"/>
          <w:color w:val="auto"/>
        </w:rPr>
        <w:t>The board of directors shall appoint one of its members president of this Association and one of its members chairperson of the board and shall have the power to appoint one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more vice 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board of directors shall have the power to:</w:t>
      </w:r>
    </w:p>
    <w:p>
      <w:pPr>
        <w:spacing w:after="0" w:line="188" w:lineRule="exact"/>
        <w:rPr>
          <w:sz w:val="20"/>
          <w:szCs w:val="20"/>
          <w:color w:val="auto"/>
        </w:rPr>
      </w:pPr>
    </w:p>
    <w:p>
      <w:pPr>
        <w:ind w:left="550" w:hanging="550"/>
        <w:spacing w:after="0"/>
        <w:tabs>
          <w:tab w:leader="none" w:pos="55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Define the duties of the officers, employees, and agents of the Association.</w:t>
      </w:r>
    </w:p>
    <w:p>
      <w:pPr>
        <w:spacing w:after="0" w:line="188" w:lineRule="exact"/>
        <w:rPr>
          <w:rFonts w:ascii="Times New Roman" w:cs="Times New Roman" w:eastAsia="Times New Roman" w:hAnsi="Times New Roman"/>
          <w:sz w:val="15"/>
          <w:szCs w:val="15"/>
          <w:color w:val="auto"/>
        </w:rPr>
      </w:pPr>
    </w:p>
    <w:p>
      <w:pPr>
        <w:ind w:left="550" w:hanging="550"/>
        <w:spacing w:after="0"/>
        <w:tabs>
          <w:tab w:leader="none" w:pos="55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Delegate the performance of its duties, but not the responsibility for its duties, to the officers, employees, and agents of the Association.</w:t>
      </w:r>
    </w:p>
    <w:p>
      <w:pPr>
        <w:spacing w:after="0" w:line="188" w:lineRule="exact"/>
        <w:rPr>
          <w:rFonts w:ascii="Times New Roman" w:cs="Times New Roman" w:eastAsia="Times New Roman" w:hAnsi="Times New Roman"/>
          <w:sz w:val="15"/>
          <w:szCs w:val="15"/>
          <w:color w:val="auto"/>
        </w:rPr>
      </w:pPr>
    </w:p>
    <w:p>
      <w:pPr>
        <w:ind w:left="550" w:hanging="550"/>
        <w:spacing w:after="0"/>
        <w:tabs>
          <w:tab w:leader="none" w:pos="55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Fix the compensation and enter employment contracts with its officers and employees upon reasonable terms and conditions consistent with applicable law.</w:t>
      </w:r>
    </w:p>
    <w:p>
      <w:pPr>
        <w:spacing w:after="0" w:line="188" w:lineRule="exact"/>
        <w:rPr>
          <w:rFonts w:ascii="Times New Roman" w:cs="Times New Roman" w:eastAsia="Times New Roman" w:hAnsi="Times New Roman"/>
          <w:sz w:val="15"/>
          <w:szCs w:val="15"/>
          <w:color w:val="auto"/>
        </w:rPr>
      </w:pPr>
    </w:p>
    <w:p>
      <w:pPr>
        <w:ind w:left="550" w:hanging="550"/>
        <w:spacing w:after="0"/>
        <w:tabs>
          <w:tab w:leader="none" w:pos="55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Dismiss officers and employees.</w:t>
      </w:r>
    </w:p>
    <w:p>
      <w:pPr>
        <w:spacing w:after="0" w:line="188" w:lineRule="exact"/>
        <w:rPr>
          <w:rFonts w:ascii="Times New Roman" w:cs="Times New Roman" w:eastAsia="Times New Roman" w:hAnsi="Times New Roman"/>
          <w:sz w:val="15"/>
          <w:szCs w:val="15"/>
          <w:color w:val="auto"/>
        </w:rPr>
      </w:pPr>
    </w:p>
    <w:p>
      <w:pPr>
        <w:ind w:left="550" w:hanging="550"/>
        <w:spacing w:after="0"/>
        <w:tabs>
          <w:tab w:leader="none" w:pos="55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 bonds from officers and employees and to fix the penalty thereof.</w:t>
      </w:r>
    </w:p>
    <w:p>
      <w:pPr>
        <w:spacing w:after="0" w:line="188" w:lineRule="exact"/>
        <w:rPr>
          <w:rFonts w:ascii="Times New Roman" w:cs="Times New Roman" w:eastAsia="Times New Roman" w:hAnsi="Times New Roman"/>
          <w:sz w:val="15"/>
          <w:szCs w:val="15"/>
          <w:color w:val="auto"/>
        </w:rPr>
      </w:pPr>
    </w:p>
    <w:p>
      <w:pPr>
        <w:ind w:left="550" w:hanging="550"/>
        <w:spacing w:after="0"/>
        <w:tabs>
          <w:tab w:leader="none" w:pos="55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Ratify written policies authorized by the Association's management or committees of the board.</w:t>
      </w:r>
    </w:p>
    <w:p>
      <w:pPr>
        <w:spacing w:after="0" w:line="188" w:lineRule="exact"/>
        <w:rPr>
          <w:rFonts w:ascii="Times New Roman" w:cs="Times New Roman" w:eastAsia="Times New Roman" w:hAnsi="Times New Roman"/>
          <w:sz w:val="15"/>
          <w:szCs w:val="15"/>
          <w:color w:val="auto"/>
        </w:rPr>
      </w:pPr>
    </w:p>
    <w:p>
      <w:pPr>
        <w:jc w:val="both"/>
        <w:ind w:left="550" w:hanging="550"/>
        <w:spacing w:after="0" w:line="267" w:lineRule="auto"/>
        <w:tabs>
          <w:tab w:leader="none" w:pos="55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326" w:lineRule="exact"/>
        <w:rPr>
          <w:rFonts w:ascii="Times New Roman" w:cs="Times New Roman" w:eastAsia="Times New Roman" w:hAnsi="Times New Roman"/>
          <w:sz w:val="15"/>
          <w:szCs w:val="15"/>
          <w:color w:val="auto"/>
        </w:rPr>
      </w:pPr>
    </w:p>
    <w:p>
      <w:pPr>
        <w:ind w:left="5590" w:hanging="81"/>
        <w:spacing w:after="0"/>
        <w:tabs>
          <w:tab w:leader="none" w:pos="5590" w:val="left"/>
        </w:tabs>
        <w:numPr>
          <w:ilvl w:val="1"/>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79" w:right="319" w:bottom="1440" w:gutter="0" w:footer="0" w:header="0"/>
        </w:sectPr>
      </w:pPr>
    </w:p>
    <w:bookmarkStart w:id="107" w:name="page108"/>
    <w:bookmarkEnd w:id="107"/>
    <w:p>
      <w:pPr>
        <w:ind w:left="560" w:hanging="550"/>
        <w:spacing w:after="0"/>
        <w:tabs>
          <w:tab w:leader="none" w:pos="56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 and administer the business and affairs of the Association.</w:t>
      </w:r>
    </w:p>
    <w:p>
      <w:pPr>
        <w:spacing w:after="0" w:line="188" w:lineRule="exact"/>
        <w:rPr>
          <w:rFonts w:ascii="Times New Roman" w:cs="Times New Roman" w:eastAsia="Times New Roman" w:hAnsi="Times New Roman"/>
          <w:sz w:val="15"/>
          <w:szCs w:val="15"/>
          <w:color w:val="auto"/>
        </w:rPr>
      </w:pPr>
    </w:p>
    <w:p>
      <w:pPr>
        <w:ind w:left="560" w:hanging="550"/>
        <w:spacing w:after="0"/>
        <w:tabs>
          <w:tab w:leader="none" w:pos="56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Adopt initial Bylaws, not inconsistent with law or the Articles of Association, for managing the business and regulating the affairs of the Association.</w:t>
      </w:r>
    </w:p>
    <w:p>
      <w:pPr>
        <w:spacing w:after="0" w:line="188" w:lineRule="exact"/>
        <w:rPr>
          <w:rFonts w:ascii="Times New Roman" w:cs="Times New Roman" w:eastAsia="Times New Roman" w:hAnsi="Times New Roman"/>
          <w:sz w:val="15"/>
          <w:szCs w:val="15"/>
          <w:color w:val="auto"/>
        </w:rPr>
      </w:pPr>
    </w:p>
    <w:p>
      <w:pPr>
        <w:ind w:left="560" w:hanging="550"/>
        <w:spacing w:after="0"/>
        <w:tabs>
          <w:tab w:leader="none" w:pos="56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or repeal Bylaws, except to the extent that the Articles of Association reserve this power in whole or in part to the shareholders.</w:t>
      </w:r>
    </w:p>
    <w:p>
      <w:pPr>
        <w:spacing w:after="0" w:line="188" w:lineRule="exact"/>
        <w:rPr>
          <w:rFonts w:ascii="Times New Roman" w:cs="Times New Roman" w:eastAsia="Times New Roman" w:hAnsi="Times New Roman"/>
          <w:sz w:val="15"/>
          <w:szCs w:val="15"/>
          <w:color w:val="auto"/>
        </w:rPr>
      </w:pPr>
    </w:p>
    <w:p>
      <w:pPr>
        <w:ind w:left="560" w:hanging="550"/>
        <w:spacing w:after="0"/>
        <w:tabs>
          <w:tab w:leader="none" w:pos="56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contracts.</w:t>
      </w:r>
    </w:p>
    <w:p>
      <w:pPr>
        <w:spacing w:after="0" w:line="188" w:lineRule="exact"/>
        <w:rPr>
          <w:rFonts w:ascii="Times New Roman" w:cs="Times New Roman" w:eastAsia="Times New Roman" w:hAnsi="Times New Roman"/>
          <w:sz w:val="15"/>
          <w:szCs w:val="15"/>
          <w:color w:val="auto"/>
        </w:rPr>
      </w:pPr>
    </w:p>
    <w:p>
      <w:pPr>
        <w:ind w:left="560" w:hanging="550"/>
        <w:spacing w:after="0"/>
        <w:tabs>
          <w:tab w:leader="none" w:pos="56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Generally perform all acts that are legal for a board of directors to perform.</w:t>
      </w:r>
    </w:p>
    <w:p>
      <w:pPr>
        <w:spacing w:after="0" w:line="184" w:lineRule="exact"/>
        <w:rPr>
          <w:sz w:val="20"/>
          <w:szCs w:val="20"/>
          <w:color w:val="auto"/>
        </w:rPr>
      </w:pPr>
    </w:p>
    <w:p>
      <w:pPr>
        <w:jc w:val="both"/>
        <w:ind w:left="20" w:firstLine="2"/>
        <w:spacing w:after="0" w:line="260" w:lineRule="auto"/>
        <w:rPr>
          <w:sz w:val="20"/>
          <w:szCs w:val="20"/>
          <w:color w:val="auto"/>
        </w:rPr>
      </w:pPr>
      <w:r>
        <w:rPr>
          <w:rFonts w:ascii="Times New Roman" w:cs="Times New Roman" w:eastAsia="Times New Roman" w:hAnsi="Times New Roman"/>
          <w:sz w:val="15"/>
          <w:szCs w:val="15"/>
          <w:b w:val="1"/>
          <w:bCs w:val="1"/>
          <w:color w:val="auto"/>
        </w:rPr>
        <w:t xml:space="preserve">SEVENTH. </w:t>
      </w:r>
      <w:r>
        <w:rPr>
          <w:rFonts w:ascii="Times New Roman" w:cs="Times New Roman" w:eastAsia="Times New Roman" w:hAnsi="Times New Roman"/>
          <w:sz w:val="15"/>
          <w:szCs w:val="15"/>
          <w:color w:val="auto"/>
        </w:rPr>
        <w:t>The board of directors shall have the power to change the location of the main office to any authorized branch within the limits of the city of Portland, Oregon, without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approval of the 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EIGHTH. </w:t>
      </w:r>
      <w:r>
        <w:rPr>
          <w:rFonts w:ascii="Times New Roman" w:cs="Times New Roman" w:eastAsia="Times New Roman" w:hAnsi="Times New Roman"/>
          <w:sz w:val="15"/>
          <w:szCs w:val="15"/>
          <w:color w:val="auto"/>
        </w:rPr>
        <w:t>The corporate existence of this Association shall continue until termination according to the laws of the United States.</w:t>
      </w:r>
    </w:p>
    <w:p>
      <w:pPr>
        <w:spacing w:after="0" w:line="188" w:lineRule="exact"/>
        <w:rPr>
          <w:sz w:val="20"/>
          <w:szCs w:val="20"/>
          <w:color w:val="auto"/>
        </w:rPr>
      </w:pPr>
    </w:p>
    <w:p>
      <w:pPr>
        <w:jc w:val="both"/>
        <w:ind w:left="20" w:firstLine="3"/>
        <w:spacing w:after="0" w:line="260" w:lineRule="auto"/>
        <w:rPr>
          <w:sz w:val="20"/>
          <w:szCs w:val="20"/>
          <w:color w:val="auto"/>
        </w:rPr>
      </w:pPr>
      <w:r>
        <w:rPr>
          <w:rFonts w:ascii="Times New Roman" w:cs="Times New Roman" w:eastAsia="Times New Roman" w:hAnsi="Times New Roman"/>
          <w:sz w:val="15"/>
          <w:szCs w:val="15"/>
          <w:b w:val="1"/>
          <w:bCs w:val="1"/>
          <w:color w:val="auto"/>
        </w:rPr>
        <w:t xml:space="preserve">NINTH. </w:t>
      </w:r>
      <w:r>
        <w:rPr>
          <w:rFonts w:ascii="Times New Roman" w:cs="Times New Roman" w:eastAsia="Times New Roman" w:hAnsi="Times New Roman"/>
          <w:sz w:val="15"/>
          <w:szCs w:val="15"/>
          <w:color w:val="auto"/>
        </w:rPr>
        <w:t>The board of directors of the Association, or any shareholder owning, in the aggregate, not less than 25 percent of the stock of the Association, may call a special meeting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shareholders at 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48" w:lineRule="exact"/>
        <w:rPr>
          <w:sz w:val="20"/>
          <w:szCs w:val="20"/>
          <w:color w:val="auto"/>
        </w:rPr>
      </w:pPr>
    </w:p>
    <w:p>
      <w:pPr>
        <w:jc w:val="both"/>
        <w:ind w:left="20" w:firstLine="1"/>
        <w:spacing w:after="0" w:line="263" w:lineRule="auto"/>
        <w:rPr>
          <w:sz w:val="20"/>
          <w:szCs w:val="20"/>
          <w:color w:val="auto"/>
        </w:rPr>
      </w:pPr>
      <w:r>
        <w:rPr>
          <w:rFonts w:ascii="Times New Roman" w:cs="Times New Roman" w:eastAsia="Times New Roman" w:hAnsi="Times New Roman"/>
          <w:sz w:val="15"/>
          <w:szCs w:val="15"/>
          <w:b w:val="1"/>
          <w:bCs w:val="1"/>
          <w:color w:val="auto"/>
        </w:rPr>
        <w:t xml:space="preserve">TENTH. </w:t>
      </w:r>
      <w:r>
        <w:rPr>
          <w:rFonts w:ascii="Times New Roman" w:cs="Times New Roman" w:eastAsia="Times New Roman" w:hAnsi="Times New Roman"/>
          <w:sz w:val="15"/>
          <w:szCs w:val="15"/>
          <w:color w:val="auto"/>
        </w:rPr>
        <w:t>These Articles of Association may be amended at any regular or special meeting of the shareholders by the affirmative vote of the holders of a majority of the stock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Association, unless 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7155180" cy="14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80"/>
          </w:cols>
          <w:pgMar w:left="300" w:top="779" w:right="319" w:bottom="1440" w:gutter="0" w:footer="0" w:header="0"/>
        </w:sectPr>
      </w:pPr>
    </w:p>
    <w:bookmarkStart w:id="108" w:name="page109"/>
    <w:bookmarkEnd w:id="108"/>
    <w:p>
      <w:pPr>
        <w:ind w:left="540"/>
        <w:spacing w:after="0"/>
        <w:rPr>
          <w:sz w:val="20"/>
          <w:szCs w:val="20"/>
          <w:color w:val="auto"/>
        </w:rPr>
      </w:pPr>
      <w:r>
        <w:rPr>
          <w:rFonts w:ascii="Times New Roman" w:cs="Times New Roman" w:eastAsia="Times New Roman" w:hAnsi="Times New Roman"/>
          <w:sz w:val="14"/>
          <w:szCs w:val="14"/>
          <w:color w:val="auto"/>
        </w:rPr>
        <w:t xml:space="preserve">In witness whereof, we have hereunto set our hands this </w:t>
      </w:r>
      <w:r>
        <w:rPr>
          <w:rFonts w:ascii="Times New Roman" w:cs="Times New Roman" w:eastAsia="Times New Roman" w:hAnsi="Times New Roman"/>
          <w:sz w:val="14"/>
          <w:szCs w:val="14"/>
          <w:u w:val="single" w:color="auto"/>
          <w:color w:val="auto"/>
        </w:rPr>
        <w:t>11</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4"/>
          <w:szCs w:val="14"/>
          <w:color w:val="auto"/>
        </w:rPr>
        <w:t xml:space="preserve"> of June, 1997.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Jeffrey T.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86512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2">
                      <a:extLst>
                        <a:ext uri="{28A0092B-C50C-407E-A947-70E740481C1C}"/>
                      </a:extLst>
                    </a:blip>
                    <a:srcRect/>
                    <a:stretch>
                      <a:fillRect/>
                    </a:stretch>
                  </pic:blipFill>
                  <pic:spPr bwMode="auto">
                    <a:xfrm>
                      <a:off x="0" y="0"/>
                      <a:ext cx="2865120" cy="698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Jeffrey T. Grubb</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Robert D. Sznewajs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86512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3">
                      <a:extLst>
                        <a:ext uri="{28A0092B-C50C-407E-A947-70E740481C1C}"/>
                      </a:extLst>
                    </a:blip>
                    <a:srcRect/>
                    <a:stretch>
                      <a:fillRect/>
                    </a:stretch>
                  </pic:blipFill>
                  <pic:spPr bwMode="auto">
                    <a:xfrm>
                      <a:off x="0" y="0"/>
                      <a:ext cx="2865120" cy="698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Robert D. Sznewajs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Dwight V.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86512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4">
                      <a:extLst>
                        <a:ext uri="{28A0092B-C50C-407E-A947-70E740481C1C}"/>
                      </a:extLst>
                    </a:blip>
                    <a:srcRect/>
                    <a:stretch>
                      <a:fillRect/>
                    </a:stretch>
                  </pic:blipFill>
                  <pic:spPr bwMode="auto">
                    <a:xfrm>
                      <a:off x="0" y="0"/>
                      <a:ext cx="2865120" cy="698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Dwight V. Board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P. K.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86512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5">
                      <a:extLst>
                        <a:ext uri="{28A0092B-C50C-407E-A947-70E740481C1C}"/>
                      </a:extLst>
                    </a:blip>
                    <a:srcRect/>
                    <a:stretch>
                      <a:fillRect/>
                    </a:stretch>
                  </pic:blipFill>
                  <pic:spPr bwMode="auto">
                    <a:xfrm>
                      <a:off x="0" y="0"/>
                      <a:ext cx="2865120" cy="698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 K. Chatterjee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86512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6">
                      <a:extLst>
                        <a:ext uri="{28A0092B-C50C-407E-A947-70E740481C1C}"/>
                      </a:extLst>
                    </a:blip>
                    <a:srcRect/>
                    <a:stretch>
                      <a:fillRect/>
                    </a:stretch>
                  </pic:blipFill>
                  <pic:spPr bwMode="auto">
                    <a:xfrm>
                      <a:off x="0" y="0"/>
                      <a:ext cx="2865120" cy="698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Robert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369570</wp:posOffset>
            </wp:positionV>
            <wp:extent cx="7155180" cy="14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139"/>
          </w:cols>
          <w:pgMar w:left="320" w:top="781" w:right="1440"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131445</wp:posOffset>
            </wp:positionV>
            <wp:extent cx="7155180" cy="54000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8">
                      <a:extLst>
                        <a:ext uri="{28A0092B-C50C-407E-A947-70E740481C1C}"/>
                      </a:extLst>
                    </a:blip>
                    <a:srcRect/>
                    <a:stretch>
                      <a:fillRect/>
                    </a:stretch>
                  </pic:blipFill>
                  <pic:spPr bwMode="auto">
                    <a:xfrm>
                      <a:off x="0" y="0"/>
                      <a:ext cx="7155180" cy="540004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Exhibit 4</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U.S. BANK TRUST COMPANY, NATIONAL ASSOCIATION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AMENDED AND RESTATED BYLAWS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ARTICLE 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Meetings of Shareholders</w:t>
      </w:r>
    </w:p>
    <w:p>
      <w:pPr>
        <w:spacing w:after="0" w:line="173" w:lineRule="exact"/>
        <w:rPr>
          <w:sz w:val="20"/>
          <w:szCs w:val="20"/>
          <w:color w:val="auto"/>
        </w:rPr>
      </w:pPr>
    </w:p>
    <w:p>
      <w:pPr>
        <w:jc w:val="both"/>
        <w:ind w:firstLine="541"/>
        <w:spacing w:after="0" w:line="257" w:lineRule="auto"/>
        <w:rPr>
          <w:sz w:val="20"/>
          <w:szCs w:val="20"/>
          <w:color w:val="auto"/>
        </w:rPr>
      </w:pPr>
      <w:r>
        <w:rPr>
          <w:rFonts w:ascii="Times New Roman" w:cs="Times New Roman" w:eastAsia="Times New Roman" w:hAnsi="Times New Roman"/>
          <w:sz w:val="15"/>
          <w:szCs w:val="15"/>
          <w:color w:val="auto"/>
        </w:rPr>
        <w:t xml:space="preserve">Section 1.1. </w:t>
      </w:r>
      <w:r>
        <w:rPr>
          <w:rFonts w:ascii="Times New Roman" w:cs="Times New Roman" w:eastAsia="Times New Roman" w:hAnsi="Times New Roman"/>
          <w:sz w:val="15"/>
          <w:szCs w:val="15"/>
          <w:u w:val="single" w:color="auto"/>
          <w:color w:val="auto"/>
        </w:rPr>
        <w:t>Annual Meeting</w:t>
      </w:r>
      <w:r>
        <w:rPr>
          <w:rFonts w:ascii="Times New Roman" w:cs="Times New Roman" w:eastAsia="Times New Roman" w:hAnsi="Times New Roman"/>
          <w:sz w:val="15"/>
          <w:szCs w:val="15"/>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55"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 xml:space="preserve">Section 1.2. </w:t>
      </w:r>
      <w:r>
        <w:rPr>
          <w:rFonts w:ascii="Times New Roman" w:cs="Times New Roman" w:eastAsia="Times New Roman" w:hAnsi="Times New Roman"/>
          <w:sz w:val="15"/>
          <w:szCs w:val="15"/>
          <w:u w:val="single" w:color="auto"/>
          <w:color w:val="auto"/>
        </w:rPr>
        <w:t>Special Meetings</w:t>
      </w:r>
      <w:r>
        <w:rPr>
          <w:rFonts w:ascii="Times New Roman" w:cs="Times New Roman" w:eastAsia="Times New Roman" w:hAnsi="Times New Roman"/>
          <w:sz w:val="15"/>
          <w:szCs w:val="15"/>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Every such special meeting, unless otherwise provided by law, shall be called upon not less than ten (10) days nor more than sixty (60) days prior notice stating the purpose of the meeting.</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1.3. </w:t>
      </w:r>
      <w:r>
        <w:rPr>
          <w:rFonts w:ascii="Times New Roman" w:cs="Times New Roman" w:eastAsia="Times New Roman" w:hAnsi="Times New Roman"/>
          <w:sz w:val="15"/>
          <w:szCs w:val="15"/>
          <w:u w:val="single" w:color="auto"/>
          <w:color w:val="auto"/>
        </w:rPr>
        <w:t>Nominations for Directors</w:t>
      </w:r>
      <w:r>
        <w:rPr>
          <w:rFonts w:ascii="Times New Roman" w:cs="Times New Roman" w:eastAsia="Times New Roman" w:hAnsi="Times New Roman"/>
          <w:sz w:val="15"/>
          <w:szCs w:val="15"/>
          <w:color w:val="auto"/>
        </w:rPr>
        <w:t>. Nominations for election to the Board may be made by the Board or by any shareholder.</w:t>
      </w:r>
    </w:p>
    <w:p>
      <w:pPr>
        <w:spacing w:after="0" w:line="188" w:lineRule="exact"/>
        <w:rPr>
          <w:sz w:val="20"/>
          <w:szCs w:val="20"/>
          <w:color w:val="auto"/>
        </w:rPr>
      </w:pPr>
    </w:p>
    <w:p>
      <w:pPr>
        <w:jc w:val="both"/>
        <w:ind w:right="20" w:firstLine="541"/>
        <w:spacing w:after="0" w:line="283" w:lineRule="auto"/>
        <w:rPr>
          <w:sz w:val="20"/>
          <w:szCs w:val="20"/>
          <w:color w:val="auto"/>
        </w:rPr>
      </w:pPr>
      <w:r>
        <w:rPr>
          <w:rFonts w:ascii="Times New Roman" w:cs="Times New Roman" w:eastAsia="Times New Roman" w:hAnsi="Times New Roman"/>
          <w:sz w:val="15"/>
          <w:szCs w:val="15"/>
          <w:color w:val="auto"/>
        </w:rPr>
        <w:t xml:space="preserve">Section 1.4. </w:t>
      </w:r>
      <w:r>
        <w:rPr>
          <w:rFonts w:ascii="Times New Roman" w:cs="Times New Roman" w:eastAsia="Times New Roman" w:hAnsi="Times New Roman"/>
          <w:sz w:val="15"/>
          <w:szCs w:val="15"/>
          <w:u w:val="single" w:color="auto"/>
          <w:color w:val="auto"/>
        </w:rPr>
        <w:t>Proxies</w:t>
      </w:r>
      <w:r>
        <w:rPr>
          <w:rFonts w:ascii="Times New Roman" w:cs="Times New Roman" w:eastAsia="Times New Roman" w:hAnsi="Times New Roman"/>
          <w:sz w:val="15"/>
          <w:szCs w:val="15"/>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35"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 xml:space="preserve">Section 1.5. </w:t>
      </w:r>
      <w:r>
        <w:rPr>
          <w:rFonts w:ascii="Times New Roman" w:cs="Times New Roman" w:eastAsia="Times New Roman" w:hAnsi="Times New Roman"/>
          <w:sz w:val="15"/>
          <w:szCs w:val="15"/>
          <w:u w:val="single" w:color="auto"/>
          <w:color w:val="auto"/>
        </w:rPr>
        <w:t>Record Date</w:t>
      </w:r>
      <w:r>
        <w:rPr>
          <w:rFonts w:ascii="Times New Roman" w:cs="Times New Roman" w:eastAsia="Times New Roman" w:hAnsi="Times New Roman"/>
          <w:sz w:val="15"/>
          <w:szCs w:val="15"/>
          <w:color w:val="auto"/>
        </w:rPr>
        <w:t>. The record date for determining shareholders entitled to notice and to vote at any meeting will be thirty days before the date of such meeting, unless otherwise determined by the Board.</w:t>
      </w:r>
    </w:p>
    <w:p>
      <w:pPr>
        <w:spacing w:after="0" w:line="135"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color w:val="auto"/>
        </w:rPr>
        <w:t xml:space="preserve">Section 1.6. </w:t>
      </w:r>
      <w:r>
        <w:rPr>
          <w:rFonts w:ascii="Times New Roman" w:cs="Times New Roman" w:eastAsia="Times New Roman" w:hAnsi="Times New Roman"/>
          <w:sz w:val="15"/>
          <w:szCs w:val="15"/>
          <w:u w:val="single" w:color="auto"/>
          <w:color w:val="auto"/>
        </w:rPr>
        <w:t>Quorum and Voting</w:t>
      </w:r>
      <w:r>
        <w:rPr>
          <w:rFonts w:ascii="Times New Roman" w:cs="Times New Roman" w:eastAsia="Times New Roman" w:hAnsi="Times New Roman"/>
          <w:sz w:val="15"/>
          <w:szCs w:val="15"/>
          <w:color w:val="auto"/>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345440</wp:posOffset>
            </wp:positionV>
            <wp:extent cx="7155180" cy="14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5" w:right="319" w:bottom="1440" w:gutter="0" w:footer="0" w:header="0"/>
        </w:sectPr>
      </w:pPr>
    </w:p>
    <w:bookmarkStart w:id="111" w:name="page112"/>
    <w:bookmarkEnd w:id="111"/>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 xml:space="preserve">Section 1.7. </w:t>
      </w:r>
      <w:r>
        <w:rPr>
          <w:rFonts w:ascii="Times New Roman" w:cs="Times New Roman" w:eastAsia="Times New Roman" w:hAnsi="Times New Roman"/>
          <w:sz w:val="15"/>
          <w:szCs w:val="15"/>
          <w:u w:val="single" w:color="auto"/>
          <w:color w:val="auto"/>
        </w:rPr>
        <w:t>Inspectors</w:t>
      </w:r>
      <w:r>
        <w:rPr>
          <w:rFonts w:ascii="Times New Roman" w:cs="Times New Roman" w:eastAsia="Times New Roman" w:hAnsi="Times New Roman"/>
          <w:sz w:val="15"/>
          <w:szCs w:val="15"/>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1.8. </w:t>
      </w:r>
      <w:r>
        <w:rPr>
          <w:rFonts w:ascii="Times New Roman" w:cs="Times New Roman" w:eastAsia="Times New Roman" w:hAnsi="Times New Roman"/>
          <w:sz w:val="15"/>
          <w:szCs w:val="15"/>
          <w:u w:val="single" w:color="auto"/>
          <w:color w:val="auto"/>
        </w:rPr>
        <w:t>Waiver and Consent</w:t>
      </w:r>
      <w:r>
        <w:rPr>
          <w:rFonts w:ascii="Times New Roman" w:cs="Times New Roman" w:eastAsia="Times New Roman" w:hAnsi="Times New Roman"/>
          <w:sz w:val="15"/>
          <w:szCs w:val="15"/>
          <w:color w:val="auto"/>
        </w:rPr>
        <w:t>. The shareholders may act without notice or a meeting by a unanimous written consent by all shareholders.</w:t>
      </w:r>
    </w:p>
    <w:p>
      <w:pPr>
        <w:spacing w:after="0" w:line="188" w:lineRule="exact"/>
        <w:rPr>
          <w:sz w:val="20"/>
          <w:szCs w:val="20"/>
          <w:color w:val="auto"/>
        </w:rPr>
      </w:pPr>
    </w:p>
    <w:p>
      <w:pPr>
        <w:jc w:val="both"/>
        <w:ind w:right="20" w:firstLine="541"/>
        <w:spacing w:after="0" w:line="283" w:lineRule="auto"/>
        <w:rPr>
          <w:sz w:val="20"/>
          <w:szCs w:val="20"/>
          <w:color w:val="auto"/>
        </w:rPr>
      </w:pPr>
      <w:r>
        <w:rPr>
          <w:rFonts w:ascii="Times New Roman" w:cs="Times New Roman" w:eastAsia="Times New Roman" w:hAnsi="Times New Roman"/>
          <w:sz w:val="15"/>
          <w:szCs w:val="15"/>
          <w:color w:val="auto"/>
        </w:rPr>
        <w:t xml:space="preserve">Section 1.9. </w:t>
      </w:r>
      <w:r>
        <w:rPr>
          <w:rFonts w:ascii="Times New Roman" w:cs="Times New Roman" w:eastAsia="Times New Roman" w:hAnsi="Times New Roman"/>
          <w:sz w:val="15"/>
          <w:szCs w:val="15"/>
          <w:u w:val="single" w:color="auto"/>
          <w:color w:val="auto"/>
        </w:rPr>
        <w:t>Remote Meetings</w:t>
      </w:r>
      <w:r>
        <w:rPr>
          <w:rFonts w:ascii="Times New Roman" w:cs="Times New Roman" w:eastAsia="Times New Roman" w:hAnsi="Times New Roman"/>
          <w:sz w:val="15"/>
          <w:szCs w:val="15"/>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ARTICLE 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Directors</w:t>
      </w:r>
    </w:p>
    <w:p>
      <w:pPr>
        <w:spacing w:after="0" w:line="173" w:lineRule="exact"/>
        <w:rPr>
          <w:sz w:val="20"/>
          <w:szCs w:val="20"/>
          <w:color w:val="auto"/>
        </w:rPr>
      </w:pPr>
    </w:p>
    <w:p>
      <w:pPr>
        <w:jc w:val="both"/>
        <w:ind w:right="20" w:firstLine="541"/>
        <w:spacing w:after="0" w:line="283" w:lineRule="auto"/>
        <w:rPr>
          <w:sz w:val="20"/>
          <w:szCs w:val="20"/>
          <w:color w:val="auto"/>
        </w:rPr>
      </w:pPr>
      <w:r>
        <w:rPr>
          <w:rFonts w:ascii="Times New Roman" w:cs="Times New Roman" w:eastAsia="Times New Roman" w:hAnsi="Times New Roman"/>
          <w:sz w:val="15"/>
          <w:szCs w:val="15"/>
          <w:color w:val="auto"/>
        </w:rPr>
        <w:t xml:space="preserve">Section 2.1. </w:t>
      </w:r>
      <w:r>
        <w:rPr>
          <w:rFonts w:ascii="Times New Roman" w:cs="Times New Roman" w:eastAsia="Times New Roman" w:hAnsi="Times New Roman"/>
          <w:sz w:val="15"/>
          <w:szCs w:val="15"/>
          <w:u w:val="single" w:color="auto"/>
          <w:color w:val="auto"/>
        </w:rPr>
        <w:t>Board of Directors</w:t>
      </w:r>
      <w:r>
        <w:rPr>
          <w:rFonts w:ascii="Times New Roman" w:cs="Times New Roman" w:eastAsia="Times New Roman" w:hAnsi="Times New Roman"/>
          <w:sz w:val="15"/>
          <w:szCs w:val="15"/>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35"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 xml:space="preserve">Section 2.2. </w:t>
      </w:r>
      <w:r>
        <w:rPr>
          <w:rFonts w:ascii="Times New Roman" w:cs="Times New Roman" w:eastAsia="Times New Roman" w:hAnsi="Times New Roman"/>
          <w:sz w:val="15"/>
          <w:szCs w:val="15"/>
          <w:u w:val="single" w:color="auto"/>
          <w:color w:val="auto"/>
        </w:rPr>
        <w:t>Term of Office</w:t>
      </w:r>
      <w:r>
        <w:rPr>
          <w:rFonts w:ascii="Times New Roman" w:cs="Times New Roman" w:eastAsia="Times New Roman" w:hAnsi="Times New Roman"/>
          <w:sz w:val="15"/>
          <w:szCs w:val="15"/>
          <w:color w:val="auto"/>
        </w:rPr>
        <w:t>. The directors of this Association shall hold office for one year and until their successors are duly elected and qualified, or until their earlier resignation or removal.</w:t>
      </w:r>
    </w:p>
    <w:p>
      <w:pPr>
        <w:spacing w:after="0" w:line="135"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 xml:space="preserve">Section 2.3. </w:t>
      </w:r>
      <w:r>
        <w:rPr>
          <w:rFonts w:ascii="Times New Roman" w:cs="Times New Roman" w:eastAsia="Times New Roman" w:hAnsi="Times New Roman"/>
          <w:sz w:val="15"/>
          <w:szCs w:val="15"/>
          <w:u w:val="single" w:color="auto"/>
          <w:color w:val="auto"/>
        </w:rPr>
        <w:t>Powers</w:t>
      </w:r>
      <w:r>
        <w:rPr>
          <w:rFonts w:ascii="Times New Roman" w:cs="Times New Roman" w:eastAsia="Times New Roman" w:hAnsi="Times New Roman"/>
          <w:sz w:val="15"/>
          <w:szCs w:val="15"/>
          <w:color w:val="auto"/>
        </w:rPr>
        <w:t>. In addition to the foregoing, the Board shall have and may exercise all of the powers granted to or conferred upon it by the Articles of Association, the Bylaws and by law.</w:t>
      </w:r>
    </w:p>
    <w:p>
      <w:pPr>
        <w:spacing w:after="0" w:line="135" w:lineRule="exact"/>
        <w:rPr>
          <w:sz w:val="20"/>
          <w:szCs w:val="20"/>
          <w:color w:val="auto"/>
        </w:rPr>
      </w:pPr>
    </w:p>
    <w:p>
      <w:pPr>
        <w:jc w:val="both"/>
        <w:ind w:firstLine="541"/>
        <w:spacing w:after="0" w:line="255" w:lineRule="auto"/>
        <w:rPr>
          <w:sz w:val="20"/>
          <w:szCs w:val="20"/>
          <w:color w:val="auto"/>
        </w:rPr>
      </w:pPr>
      <w:r>
        <w:rPr>
          <w:rFonts w:ascii="Times New Roman" w:cs="Times New Roman" w:eastAsia="Times New Roman" w:hAnsi="Times New Roman"/>
          <w:sz w:val="15"/>
          <w:szCs w:val="15"/>
          <w:color w:val="auto"/>
        </w:rPr>
        <w:t xml:space="preserve">Section 2.4. </w:t>
      </w:r>
      <w:r>
        <w:rPr>
          <w:rFonts w:ascii="Times New Roman" w:cs="Times New Roman" w:eastAsia="Times New Roman" w:hAnsi="Times New Roman"/>
          <w:sz w:val="15"/>
          <w:szCs w:val="15"/>
          <w:u w:val="single" w:color="auto"/>
          <w:color w:val="auto"/>
        </w:rPr>
        <w:t>Number</w:t>
      </w:r>
      <w:r>
        <w:rPr>
          <w:rFonts w:ascii="Times New Roman" w:cs="Times New Roman" w:eastAsia="Times New Roman" w:hAnsi="Times New Roman"/>
          <w:sz w:val="15"/>
          <w:szCs w:val="15"/>
          <w:color w:val="auto"/>
        </w:rPr>
        <w:t>. As provided in the Articles of Association, the Board of this Association shall consist of no less than five nor more than twenty-five members, unless the OCC has exempted the Association from the twenty-five- 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7155180" cy="14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12" w:name="page113"/>
    <w:bookmarkEnd w:id="112"/>
    <w:p>
      <w:pPr>
        <w:jc w:val="both"/>
        <w:ind w:firstLine="541"/>
        <w:spacing w:after="0" w:line="261" w:lineRule="auto"/>
        <w:rPr>
          <w:sz w:val="20"/>
          <w:szCs w:val="20"/>
          <w:color w:val="auto"/>
        </w:rPr>
      </w:pPr>
      <w:r>
        <w:rPr>
          <w:rFonts w:ascii="Times New Roman" w:cs="Times New Roman" w:eastAsia="Times New Roman" w:hAnsi="Times New Roman"/>
          <w:sz w:val="15"/>
          <w:szCs w:val="15"/>
          <w:color w:val="auto"/>
        </w:rPr>
        <w:t xml:space="preserve">Section 2.5. </w:t>
      </w:r>
      <w:r>
        <w:rPr>
          <w:rFonts w:ascii="Times New Roman" w:cs="Times New Roman" w:eastAsia="Times New Roman" w:hAnsi="Times New Roman"/>
          <w:sz w:val="15"/>
          <w:szCs w:val="15"/>
          <w:u w:val="single" w:color="auto"/>
          <w:color w:val="auto"/>
        </w:rPr>
        <w:t>Organization Meeting</w:t>
      </w:r>
      <w:r>
        <w:rPr>
          <w:rFonts w:ascii="Times New Roman" w:cs="Times New Roman" w:eastAsia="Times New Roman" w:hAnsi="Times New Roman"/>
          <w:sz w:val="15"/>
          <w:szCs w:val="15"/>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2.6. </w:t>
      </w:r>
      <w:r>
        <w:rPr>
          <w:rFonts w:ascii="Times New Roman" w:cs="Times New Roman" w:eastAsia="Times New Roman" w:hAnsi="Times New Roman"/>
          <w:sz w:val="15"/>
          <w:szCs w:val="15"/>
          <w:u w:val="single" w:color="auto"/>
          <w:color w:val="auto"/>
        </w:rPr>
        <w:t>Regular Meetings</w:t>
      </w:r>
      <w:r>
        <w:rPr>
          <w:rFonts w:ascii="Times New Roman" w:cs="Times New Roman" w:eastAsia="Times New Roman" w:hAnsi="Times New Roman"/>
          <w:sz w:val="15"/>
          <w:szCs w:val="15"/>
          <w:color w:val="auto"/>
        </w:rPr>
        <w:t>. The regular meetings of the Board shall be held, without notice, as the Chairman or President may designate and deem suitable.</w:t>
      </w:r>
    </w:p>
    <w:p>
      <w:pPr>
        <w:spacing w:after="0" w:line="188" w:lineRule="exact"/>
        <w:rPr>
          <w:sz w:val="20"/>
          <w:szCs w:val="20"/>
          <w:color w:val="auto"/>
        </w:rPr>
      </w:pPr>
    </w:p>
    <w:p>
      <w:pPr>
        <w:jc w:val="both"/>
        <w:ind w:firstLine="541"/>
        <w:spacing w:after="0" w:line="259" w:lineRule="auto"/>
        <w:rPr>
          <w:sz w:val="20"/>
          <w:szCs w:val="20"/>
          <w:color w:val="auto"/>
        </w:rPr>
      </w:pPr>
      <w:r>
        <w:rPr>
          <w:rFonts w:ascii="Times New Roman" w:cs="Times New Roman" w:eastAsia="Times New Roman" w:hAnsi="Times New Roman"/>
          <w:sz w:val="15"/>
          <w:szCs w:val="15"/>
          <w:color w:val="auto"/>
        </w:rPr>
        <w:t xml:space="preserve">Section 2.7. </w:t>
      </w:r>
      <w:r>
        <w:rPr>
          <w:rFonts w:ascii="Times New Roman" w:cs="Times New Roman" w:eastAsia="Times New Roman" w:hAnsi="Times New Roman"/>
          <w:sz w:val="15"/>
          <w:szCs w:val="15"/>
          <w:u w:val="single" w:color="auto"/>
          <w:color w:val="auto"/>
        </w:rPr>
        <w:t>Special Meetings</w:t>
      </w:r>
      <w:r>
        <w:rPr>
          <w:rFonts w:ascii="Times New Roman" w:cs="Times New Roman" w:eastAsia="Times New Roman" w:hAnsi="Times New Roman"/>
          <w:sz w:val="15"/>
          <w:szCs w:val="15"/>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52"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color w:val="auto"/>
        </w:rPr>
        <w:t xml:space="preserve">Section 2.8. </w:t>
      </w:r>
      <w:r>
        <w:rPr>
          <w:rFonts w:ascii="Times New Roman" w:cs="Times New Roman" w:eastAsia="Times New Roman" w:hAnsi="Times New Roman"/>
          <w:sz w:val="15"/>
          <w:szCs w:val="15"/>
          <w:u w:val="single" w:color="auto"/>
          <w:color w:val="auto"/>
        </w:rPr>
        <w:t>Quorum and Necessary Vote</w:t>
      </w:r>
      <w:r>
        <w:rPr>
          <w:rFonts w:ascii="Times New Roman" w:cs="Times New Roman" w:eastAsia="Times New Roman" w:hAnsi="Times New Roman"/>
          <w:sz w:val="15"/>
          <w:szCs w:val="15"/>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345440</wp:posOffset>
            </wp:positionV>
            <wp:extent cx="7155180" cy="14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13" w:name="page114"/>
    <w:bookmarkEnd w:id="113"/>
    <w:p>
      <w:pPr>
        <w:jc w:val="both"/>
        <w:ind w:right="20" w:firstLine="541"/>
        <w:spacing w:after="0" w:line="283" w:lineRule="auto"/>
        <w:rPr>
          <w:sz w:val="20"/>
          <w:szCs w:val="20"/>
          <w:color w:val="auto"/>
        </w:rPr>
      </w:pPr>
      <w:r>
        <w:rPr>
          <w:rFonts w:ascii="Times New Roman" w:cs="Times New Roman" w:eastAsia="Times New Roman" w:hAnsi="Times New Roman"/>
          <w:sz w:val="15"/>
          <w:szCs w:val="15"/>
          <w:color w:val="auto"/>
        </w:rPr>
        <w:t xml:space="preserve">Section 2.9. </w:t>
      </w:r>
      <w:r>
        <w:rPr>
          <w:rFonts w:ascii="Times New Roman" w:cs="Times New Roman" w:eastAsia="Times New Roman" w:hAnsi="Times New Roman"/>
          <w:sz w:val="15"/>
          <w:szCs w:val="15"/>
          <w:u w:val="single" w:color="auto"/>
          <w:color w:val="auto"/>
        </w:rPr>
        <w:t>Written Consent</w:t>
      </w:r>
      <w:r>
        <w:rPr>
          <w:rFonts w:ascii="Times New Roman" w:cs="Times New Roman" w:eastAsia="Times New Roman" w:hAnsi="Times New Roman"/>
          <w:sz w:val="15"/>
          <w:szCs w:val="15"/>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35"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color w:val="auto"/>
        </w:rPr>
        <w:t xml:space="preserve">Section 2.10. </w:t>
      </w:r>
      <w:r>
        <w:rPr>
          <w:rFonts w:ascii="Times New Roman" w:cs="Times New Roman" w:eastAsia="Times New Roman" w:hAnsi="Times New Roman"/>
          <w:sz w:val="15"/>
          <w:szCs w:val="15"/>
          <w:u w:val="single" w:color="auto"/>
          <w:color w:val="auto"/>
        </w:rPr>
        <w:t>Remote Meetings</w:t>
      </w:r>
      <w:r>
        <w:rPr>
          <w:rFonts w:ascii="Times New Roman" w:cs="Times New Roman" w:eastAsia="Times New Roman" w:hAnsi="Times New Roman"/>
          <w:sz w:val="15"/>
          <w:szCs w:val="15"/>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46"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 xml:space="preserve">Section 2.11. </w:t>
      </w:r>
      <w:r>
        <w:rPr>
          <w:rFonts w:ascii="Times New Roman" w:cs="Times New Roman" w:eastAsia="Times New Roman" w:hAnsi="Times New Roman"/>
          <w:sz w:val="15"/>
          <w:szCs w:val="15"/>
          <w:u w:val="single" w:color="auto"/>
          <w:color w:val="auto"/>
        </w:rPr>
        <w:t>Vacancies</w:t>
      </w:r>
      <w:r>
        <w:rPr>
          <w:rFonts w:ascii="Times New Roman" w:cs="Times New Roman" w:eastAsia="Times New Roman" w:hAnsi="Times New Roman"/>
          <w:sz w:val="15"/>
          <w:szCs w:val="15"/>
          <w:color w:val="auto"/>
        </w:rPr>
        <w:t>. When any vacancy occurs among the directors, the remaining members of the Board may appoint a director to fill such vacancy at any regular meeting of the Board, or at a special meeting called for that purpose.</w:t>
      </w:r>
    </w:p>
    <w:p>
      <w:pPr>
        <w:spacing w:after="0" w:line="1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u w:val="single" w:color="auto"/>
          <w:color w:val="auto"/>
        </w:rPr>
        <w:t>ARTICLE III</w:t>
      </w:r>
    </w:p>
    <w:p>
      <w:pPr>
        <w:spacing w:after="0" w:line="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5"/>
          <w:szCs w:val="15"/>
          <w:u w:val="single" w:color="auto"/>
          <w:color w:val="auto"/>
        </w:rPr>
        <w:t>Committees</w:t>
      </w:r>
    </w:p>
    <w:p>
      <w:pPr>
        <w:spacing w:after="0" w:line="173" w:lineRule="exact"/>
        <w:rPr>
          <w:sz w:val="20"/>
          <w:szCs w:val="20"/>
          <w:color w:val="auto"/>
        </w:rPr>
      </w:pPr>
    </w:p>
    <w:p>
      <w:pPr>
        <w:jc w:val="both"/>
        <w:ind w:firstLine="541"/>
        <w:spacing w:after="0" w:line="261" w:lineRule="auto"/>
        <w:rPr>
          <w:sz w:val="20"/>
          <w:szCs w:val="20"/>
          <w:color w:val="auto"/>
        </w:rPr>
      </w:pPr>
      <w:r>
        <w:rPr>
          <w:rFonts w:ascii="Times New Roman" w:cs="Times New Roman" w:eastAsia="Times New Roman" w:hAnsi="Times New Roman"/>
          <w:sz w:val="15"/>
          <w:szCs w:val="15"/>
          <w:color w:val="auto"/>
        </w:rPr>
        <w:t xml:space="preserve">Section 3.1. </w:t>
      </w:r>
      <w:r>
        <w:rPr>
          <w:rFonts w:ascii="Times New Roman" w:cs="Times New Roman" w:eastAsia="Times New Roman" w:hAnsi="Times New Roman"/>
          <w:sz w:val="15"/>
          <w:szCs w:val="15"/>
          <w:u w:val="single" w:color="auto"/>
          <w:color w:val="auto"/>
        </w:rPr>
        <w:t>Advisory Board of Directors</w:t>
      </w:r>
      <w:r>
        <w:rPr>
          <w:rFonts w:ascii="Times New Roman" w:cs="Times New Roman" w:eastAsia="Times New Roman" w:hAnsi="Times New Roman"/>
          <w:sz w:val="15"/>
          <w:szCs w:val="15"/>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52" w:lineRule="exact"/>
        <w:rPr>
          <w:sz w:val="20"/>
          <w:szCs w:val="20"/>
          <w:color w:val="auto"/>
        </w:rPr>
      </w:pPr>
    </w:p>
    <w:p>
      <w:pPr>
        <w:jc w:val="both"/>
        <w:ind w:firstLine="541"/>
        <w:spacing w:after="0" w:line="261" w:lineRule="auto"/>
        <w:rPr>
          <w:sz w:val="20"/>
          <w:szCs w:val="20"/>
          <w:color w:val="auto"/>
        </w:rPr>
      </w:pPr>
      <w:r>
        <w:rPr>
          <w:rFonts w:ascii="Times New Roman" w:cs="Times New Roman" w:eastAsia="Times New Roman" w:hAnsi="Times New Roman"/>
          <w:sz w:val="15"/>
          <w:szCs w:val="15"/>
          <w:color w:val="auto"/>
        </w:rPr>
        <w:t xml:space="preserve">Section 3.2. </w:t>
      </w:r>
      <w:r>
        <w:rPr>
          <w:rFonts w:ascii="Times New Roman" w:cs="Times New Roman" w:eastAsia="Times New Roman" w:hAnsi="Times New Roman"/>
          <w:sz w:val="15"/>
          <w:szCs w:val="15"/>
          <w:u w:val="single" w:color="auto"/>
          <w:color w:val="auto"/>
        </w:rPr>
        <w:t>Trust Audit Committee</w:t>
      </w:r>
      <w:r>
        <w:rPr>
          <w:rFonts w:ascii="Times New Roman" w:cs="Times New Roman" w:eastAsia="Times New Roman" w:hAnsi="Times New Roman"/>
          <w:sz w:val="15"/>
          <w:szCs w:val="15"/>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7155180" cy="1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5"/>
          <w:szCs w:val="15"/>
          <w:color w:val="auto"/>
        </w:rPr>
        <w:t>The Audit Committee of the financial holding company that is the ultimate parent of this Association, fulfilling the function of the trust audit committee:</w:t>
      </w:r>
    </w:p>
    <w:p>
      <w:pPr>
        <w:spacing w:after="0" w:line="188" w:lineRule="exact"/>
        <w:rPr>
          <w:sz w:val="20"/>
          <w:szCs w:val="20"/>
          <w:color w:val="auto"/>
        </w:rPr>
      </w:pPr>
    </w:p>
    <w:p>
      <w:pPr>
        <w:ind w:left="800" w:hanging="268"/>
        <w:spacing w:after="0"/>
        <w:tabs>
          <w:tab w:leader="none" w:pos="8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Must not include any officers of the Association or an affiliate who participate significantly in the administration of the Association’s fiduciary activities; and</w:t>
      </w:r>
    </w:p>
    <w:p>
      <w:pPr>
        <w:spacing w:after="0" w:line="188" w:lineRule="exact"/>
        <w:rPr>
          <w:rFonts w:ascii="Times New Roman" w:cs="Times New Roman" w:eastAsia="Times New Roman" w:hAnsi="Times New Roman"/>
          <w:sz w:val="15"/>
          <w:szCs w:val="15"/>
          <w:color w:val="auto"/>
        </w:rPr>
      </w:pPr>
    </w:p>
    <w:p>
      <w:pPr>
        <w:ind w:left="800" w:hanging="268"/>
        <w:spacing w:after="0" w:line="283" w:lineRule="auto"/>
        <w:tabs>
          <w:tab w:leader="none" w:pos="8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Must consist of a majority of members who are not also members of any committee to which the Board has delegated power to manage and control the fiduciary activities of the Association.</w:t>
      </w:r>
    </w:p>
    <w:p>
      <w:pPr>
        <w:spacing w:after="0" w:line="135"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 xml:space="preserve">Section 3.3. </w:t>
      </w:r>
      <w:r>
        <w:rPr>
          <w:rFonts w:ascii="Times New Roman" w:cs="Times New Roman" w:eastAsia="Times New Roman" w:hAnsi="Times New Roman"/>
          <w:sz w:val="15"/>
          <w:szCs w:val="15"/>
          <w:u w:val="single" w:color="auto"/>
          <w:color w:val="auto"/>
        </w:rPr>
        <w:t>Executive Committee</w:t>
      </w:r>
      <w:r>
        <w:rPr>
          <w:rFonts w:ascii="Times New Roman" w:cs="Times New Roman" w:eastAsia="Times New Roman" w:hAnsi="Times New Roman"/>
          <w:sz w:val="15"/>
          <w:szCs w:val="15"/>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35" w:lineRule="exact"/>
        <w:rPr>
          <w:sz w:val="20"/>
          <w:szCs w:val="20"/>
          <w:color w:val="auto"/>
        </w:rPr>
      </w:pPr>
    </w:p>
    <w:p>
      <w:pPr>
        <w:jc w:val="both"/>
        <w:ind w:firstLine="541"/>
        <w:spacing w:after="0" w:line="261" w:lineRule="auto"/>
        <w:rPr>
          <w:sz w:val="20"/>
          <w:szCs w:val="20"/>
          <w:color w:val="auto"/>
        </w:rPr>
      </w:pPr>
      <w:r>
        <w:rPr>
          <w:rFonts w:ascii="Times New Roman" w:cs="Times New Roman" w:eastAsia="Times New Roman" w:hAnsi="Times New Roman"/>
          <w:sz w:val="15"/>
          <w:szCs w:val="15"/>
          <w:color w:val="auto"/>
        </w:rPr>
        <w:t xml:space="preserve">Section 3.4. </w:t>
      </w:r>
      <w:r>
        <w:rPr>
          <w:rFonts w:ascii="Times New Roman" w:cs="Times New Roman" w:eastAsia="Times New Roman" w:hAnsi="Times New Roman"/>
          <w:sz w:val="15"/>
          <w:szCs w:val="15"/>
          <w:u w:val="single" w:color="auto"/>
          <w:color w:val="auto"/>
        </w:rPr>
        <w:t>Trust Management Committee</w:t>
      </w:r>
      <w:r>
        <w:rPr>
          <w:rFonts w:ascii="Times New Roman" w:cs="Times New Roman" w:eastAsia="Times New Roman" w:hAnsi="Times New Roman"/>
          <w:sz w:val="15"/>
          <w:szCs w:val="15"/>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52" w:lineRule="exact"/>
        <w:rPr>
          <w:sz w:val="20"/>
          <w:szCs w:val="20"/>
          <w:color w:val="auto"/>
        </w:rPr>
      </w:pPr>
    </w:p>
    <w:p>
      <w:pPr>
        <w:jc w:val="both"/>
        <w:ind w:firstLine="541"/>
        <w:spacing w:after="0" w:line="259" w:lineRule="auto"/>
        <w:rPr>
          <w:sz w:val="20"/>
          <w:szCs w:val="20"/>
          <w:color w:val="auto"/>
        </w:rPr>
      </w:pPr>
      <w:r>
        <w:rPr>
          <w:rFonts w:ascii="Times New Roman" w:cs="Times New Roman" w:eastAsia="Times New Roman" w:hAnsi="Times New Roman"/>
          <w:sz w:val="15"/>
          <w:szCs w:val="15"/>
          <w:color w:val="auto"/>
        </w:rPr>
        <w:t xml:space="preserve">Section 3.5. </w:t>
      </w:r>
      <w:r>
        <w:rPr>
          <w:rFonts w:ascii="Times New Roman" w:cs="Times New Roman" w:eastAsia="Times New Roman" w:hAnsi="Times New Roman"/>
          <w:sz w:val="15"/>
          <w:szCs w:val="15"/>
          <w:u w:val="single" w:color="auto"/>
          <w:color w:val="auto"/>
        </w:rPr>
        <w:t>Other Committees</w:t>
      </w:r>
      <w:r>
        <w:rPr>
          <w:rFonts w:ascii="Times New Roman" w:cs="Times New Roman" w:eastAsia="Times New Roman" w:hAnsi="Times New Roman"/>
          <w:sz w:val="15"/>
          <w:szCs w:val="15"/>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52" w:lineRule="exact"/>
        <w:rPr>
          <w:sz w:val="20"/>
          <w:szCs w:val="20"/>
          <w:color w:val="auto"/>
        </w:rPr>
      </w:pPr>
    </w:p>
    <w:p>
      <w:pPr>
        <w:jc w:val="both"/>
        <w:ind w:firstLine="541"/>
        <w:spacing w:after="0" w:line="261" w:lineRule="auto"/>
        <w:rPr>
          <w:sz w:val="20"/>
          <w:szCs w:val="20"/>
          <w:color w:val="auto"/>
        </w:rPr>
      </w:pPr>
      <w:r>
        <w:rPr>
          <w:rFonts w:ascii="Times New Roman" w:cs="Times New Roman" w:eastAsia="Times New Roman" w:hAnsi="Times New Roman"/>
          <w:sz w:val="15"/>
          <w:szCs w:val="15"/>
          <w:color w:val="auto"/>
        </w:rPr>
        <w:t xml:space="preserve">Section 3.6. </w:t>
      </w:r>
      <w:r>
        <w:rPr>
          <w:rFonts w:ascii="Times New Roman" w:cs="Times New Roman" w:eastAsia="Times New Roman" w:hAnsi="Times New Roman"/>
          <w:sz w:val="15"/>
          <w:szCs w:val="15"/>
          <w:u w:val="single" w:color="auto"/>
          <w:color w:val="auto"/>
        </w:rPr>
        <w:t>Meetings, Minutes and Rules</w:t>
      </w:r>
      <w:r>
        <w:rPr>
          <w:rFonts w:ascii="Times New Roman" w:cs="Times New Roman" w:eastAsia="Times New Roman" w:hAnsi="Times New Roman"/>
          <w:sz w:val="15"/>
          <w:szCs w:val="15"/>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7155180" cy="14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5"/>
          <w:szCs w:val="15"/>
          <w:u w:val="single" w:color="auto"/>
          <w:color w:val="auto"/>
        </w:rPr>
        <w:t>ARTICLE IV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Officers</w:t>
      </w:r>
    </w:p>
    <w:p>
      <w:pPr>
        <w:spacing w:after="0" w:line="173" w:lineRule="exact"/>
        <w:rPr>
          <w:sz w:val="20"/>
          <w:szCs w:val="20"/>
          <w:color w:val="auto"/>
        </w:rPr>
      </w:pPr>
    </w:p>
    <w:p>
      <w:pPr>
        <w:jc w:val="both"/>
        <w:ind w:right="20" w:firstLine="541"/>
        <w:spacing w:after="0" w:line="267" w:lineRule="auto"/>
        <w:rPr>
          <w:sz w:val="20"/>
          <w:szCs w:val="20"/>
          <w:color w:val="auto"/>
        </w:rPr>
      </w:pPr>
      <w:r>
        <w:rPr>
          <w:rFonts w:ascii="Times New Roman" w:cs="Times New Roman" w:eastAsia="Times New Roman" w:hAnsi="Times New Roman"/>
          <w:sz w:val="15"/>
          <w:szCs w:val="15"/>
          <w:color w:val="auto"/>
        </w:rPr>
        <w:t xml:space="preserve">Section 4.1. </w:t>
      </w:r>
      <w:r>
        <w:rPr>
          <w:rFonts w:ascii="Times New Roman" w:cs="Times New Roman" w:eastAsia="Times New Roman" w:hAnsi="Times New Roman"/>
          <w:sz w:val="15"/>
          <w:szCs w:val="15"/>
          <w:u w:val="single" w:color="auto"/>
          <w:color w:val="auto"/>
        </w:rPr>
        <w:t>Chairman of the Board</w:t>
      </w:r>
      <w:r>
        <w:rPr>
          <w:rFonts w:ascii="Times New Roman" w:cs="Times New Roman" w:eastAsia="Times New Roman" w:hAnsi="Times New Roman"/>
          <w:sz w:val="15"/>
          <w:szCs w:val="15"/>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46"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color w:val="auto"/>
        </w:rPr>
        <w:t xml:space="preserve">Section 4.2. </w:t>
      </w:r>
      <w:r>
        <w:rPr>
          <w:rFonts w:ascii="Times New Roman" w:cs="Times New Roman" w:eastAsia="Times New Roman" w:hAnsi="Times New Roman"/>
          <w:sz w:val="15"/>
          <w:szCs w:val="15"/>
          <w:u w:val="single" w:color="auto"/>
          <w:color w:val="auto"/>
        </w:rPr>
        <w:t>President</w:t>
      </w:r>
      <w:r>
        <w:rPr>
          <w:rFonts w:ascii="Times New Roman" w:cs="Times New Roman" w:eastAsia="Times New Roman" w:hAnsi="Times New Roman"/>
          <w:sz w:val="15"/>
          <w:szCs w:val="15"/>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46" w:lineRule="exact"/>
        <w:rPr>
          <w:sz w:val="20"/>
          <w:szCs w:val="20"/>
          <w:color w:val="auto"/>
        </w:rPr>
      </w:pPr>
    </w:p>
    <w:p>
      <w:pPr>
        <w:jc w:val="both"/>
        <w:ind w:right="20" w:firstLine="541"/>
        <w:spacing w:after="0" w:line="283" w:lineRule="auto"/>
        <w:rPr>
          <w:sz w:val="20"/>
          <w:szCs w:val="20"/>
          <w:color w:val="auto"/>
        </w:rPr>
      </w:pPr>
      <w:r>
        <w:rPr>
          <w:rFonts w:ascii="Times New Roman" w:cs="Times New Roman" w:eastAsia="Times New Roman" w:hAnsi="Times New Roman"/>
          <w:sz w:val="15"/>
          <w:szCs w:val="15"/>
          <w:color w:val="auto"/>
        </w:rPr>
        <w:t xml:space="preserve">Section 4.3. </w:t>
      </w:r>
      <w:r>
        <w:rPr>
          <w:rFonts w:ascii="Times New Roman" w:cs="Times New Roman" w:eastAsia="Times New Roman" w:hAnsi="Times New Roman"/>
          <w:sz w:val="15"/>
          <w:szCs w:val="15"/>
          <w:u w:val="single" w:color="auto"/>
          <w:color w:val="auto"/>
        </w:rPr>
        <w:t>Vice President</w:t>
      </w:r>
      <w:r>
        <w:rPr>
          <w:rFonts w:ascii="Times New Roman" w:cs="Times New Roman" w:eastAsia="Times New Roman" w:hAnsi="Times New Roman"/>
          <w:sz w:val="15"/>
          <w:szCs w:val="15"/>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135" w:lineRule="exact"/>
        <w:rPr>
          <w:sz w:val="20"/>
          <w:szCs w:val="20"/>
          <w:color w:val="auto"/>
        </w:rPr>
      </w:pPr>
    </w:p>
    <w:p>
      <w:pPr>
        <w:jc w:val="both"/>
        <w:ind w:firstLine="541"/>
        <w:spacing w:after="0" w:line="257" w:lineRule="auto"/>
        <w:rPr>
          <w:sz w:val="20"/>
          <w:szCs w:val="20"/>
          <w:color w:val="auto"/>
        </w:rPr>
      </w:pPr>
      <w:r>
        <w:rPr>
          <w:rFonts w:ascii="Times New Roman" w:cs="Times New Roman" w:eastAsia="Times New Roman" w:hAnsi="Times New Roman"/>
          <w:sz w:val="15"/>
          <w:szCs w:val="15"/>
          <w:color w:val="auto"/>
        </w:rPr>
        <w:t xml:space="preserve">Section 4.4. </w:t>
      </w:r>
      <w:r>
        <w:rPr>
          <w:rFonts w:ascii="Times New Roman" w:cs="Times New Roman" w:eastAsia="Times New Roman" w:hAnsi="Times New Roman"/>
          <w:sz w:val="15"/>
          <w:szCs w:val="15"/>
          <w:u w:val="single" w:color="auto"/>
          <w:color w:val="auto"/>
        </w:rPr>
        <w:t>Secretary</w:t>
      </w:r>
      <w:r>
        <w:rPr>
          <w:rFonts w:ascii="Times New Roman" w:cs="Times New Roman" w:eastAsia="Times New Roman" w:hAnsi="Times New Roman"/>
          <w:sz w:val="15"/>
          <w:szCs w:val="15"/>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55" w:lineRule="exact"/>
        <w:rPr>
          <w:sz w:val="20"/>
          <w:szCs w:val="20"/>
          <w:color w:val="auto"/>
        </w:rPr>
      </w:pPr>
    </w:p>
    <w:p>
      <w:pPr>
        <w:jc w:val="both"/>
        <w:ind w:firstLine="541"/>
        <w:spacing w:after="0" w:line="261" w:lineRule="auto"/>
        <w:rPr>
          <w:sz w:val="20"/>
          <w:szCs w:val="20"/>
          <w:color w:val="auto"/>
        </w:rPr>
      </w:pPr>
      <w:r>
        <w:rPr>
          <w:rFonts w:ascii="Times New Roman" w:cs="Times New Roman" w:eastAsia="Times New Roman" w:hAnsi="Times New Roman"/>
          <w:sz w:val="15"/>
          <w:szCs w:val="15"/>
          <w:color w:val="auto"/>
        </w:rPr>
        <w:t xml:space="preserve">Section 4.5. </w:t>
      </w:r>
      <w:r>
        <w:rPr>
          <w:rFonts w:ascii="Times New Roman" w:cs="Times New Roman" w:eastAsia="Times New Roman" w:hAnsi="Times New Roman"/>
          <w:sz w:val="15"/>
          <w:szCs w:val="15"/>
          <w:u w:val="single" w:color="auto"/>
          <w:color w:val="auto"/>
        </w:rPr>
        <w:t>Other Officers</w:t>
      </w:r>
      <w:r>
        <w:rPr>
          <w:rFonts w:ascii="Times New Roman" w:cs="Times New Roman" w:eastAsia="Times New Roman" w:hAnsi="Times New Roman"/>
          <w:sz w:val="15"/>
          <w:szCs w:val="15"/>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 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7155180" cy="14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16" w:name="page117"/>
    <w:bookmarkEnd w:id="116"/>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 xml:space="preserve">Section 4.6. </w:t>
      </w:r>
      <w:r>
        <w:rPr>
          <w:rFonts w:ascii="Times New Roman" w:cs="Times New Roman" w:eastAsia="Times New Roman" w:hAnsi="Times New Roman"/>
          <w:sz w:val="15"/>
          <w:szCs w:val="15"/>
          <w:u w:val="single" w:color="auto"/>
          <w:color w:val="auto"/>
        </w:rPr>
        <w:t>Tenure of Office</w:t>
      </w:r>
      <w:r>
        <w:rPr>
          <w:rFonts w:ascii="Times New Roman" w:cs="Times New Roman" w:eastAsia="Times New Roman" w:hAnsi="Times New Roman"/>
          <w:sz w:val="15"/>
          <w:szCs w:val="15"/>
          <w:color w:val="auto"/>
        </w:rPr>
        <w:t>. The Chairman or the President and all other officers shall hold office until their respective successors are elected and qualified or until their earlier death, resignation, retirement, disqualification or removal from office, subject to the right of the Board or authorized officer to discharge any officer at any time.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ARTICLE 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Stock</w:t>
      </w:r>
    </w:p>
    <w:p>
      <w:pPr>
        <w:spacing w:after="0" w:line="173" w:lineRule="exact"/>
        <w:rPr>
          <w:sz w:val="20"/>
          <w:szCs w:val="20"/>
          <w:color w:val="auto"/>
        </w:rPr>
      </w:pPr>
    </w:p>
    <w:p>
      <w:pPr>
        <w:jc w:val="both"/>
        <w:ind w:firstLine="541"/>
        <w:spacing w:after="0" w:line="257" w:lineRule="auto"/>
        <w:rPr>
          <w:sz w:val="20"/>
          <w:szCs w:val="20"/>
          <w:color w:val="auto"/>
        </w:rPr>
      </w:pPr>
      <w:r>
        <w:rPr>
          <w:rFonts w:ascii="Times New Roman" w:cs="Times New Roman" w:eastAsia="Times New Roman" w:hAnsi="Times New Roman"/>
          <w:sz w:val="15"/>
          <w:szCs w:val="15"/>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15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u w:val="single" w:color="auto"/>
          <w:color w:val="auto"/>
        </w:rPr>
        <w:t>ARTICLE VI</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u w:val="single" w:color="auto"/>
          <w:color w:val="auto"/>
        </w:rPr>
        <w:t>Corporate Seal</w:t>
      </w:r>
    </w:p>
    <w:p>
      <w:pPr>
        <w:spacing w:after="0" w:line="173" w:lineRule="exact"/>
        <w:rPr>
          <w:sz w:val="20"/>
          <w:szCs w:val="20"/>
          <w:color w:val="auto"/>
        </w:rPr>
      </w:pPr>
    </w:p>
    <w:p>
      <w:pPr>
        <w:jc w:val="both"/>
        <w:ind w:right="20" w:firstLine="541"/>
        <w:spacing w:after="0" w:line="283" w:lineRule="auto"/>
        <w:rPr>
          <w:sz w:val="20"/>
          <w:szCs w:val="20"/>
          <w:color w:val="auto"/>
        </w:rPr>
      </w:pPr>
      <w:r>
        <w:rPr>
          <w:rFonts w:ascii="Times New Roman" w:cs="Times New Roman" w:eastAsia="Times New Roman" w:hAnsi="Times New Roman"/>
          <w:sz w:val="15"/>
          <w:szCs w:val="15"/>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7155180" cy="14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5"/>
          <w:szCs w:val="15"/>
          <w:u w:val="single" w:color="auto"/>
          <w:color w:val="auto"/>
        </w:rPr>
        <w:t>ARTICLE VII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Miscellaneous Provisions</w:t>
      </w:r>
    </w:p>
    <w:p>
      <w:pPr>
        <w:spacing w:after="0" w:line="173" w:lineRule="exact"/>
        <w:rPr>
          <w:sz w:val="20"/>
          <w:szCs w:val="20"/>
          <w:color w:val="auto"/>
        </w:rPr>
      </w:pPr>
    </w:p>
    <w:p>
      <w:pPr>
        <w:jc w:val="both"/>
        <w:ind w:firstLine="541"/>
        <w:spacing w:after="0" w:line="257" w:lineRule="auto"/>
        <w:rPr>
          <w:sz w:val="20"/>
          <w:szCs w:val="20"/>
          <w:color w:val="auto"/>
        </w:rPr>
      </w:pPr>
      <w:r>
        <w:rPr>
          <w:rFonts w:ascii="Times New Roman" w:cs="Times New Roman" w:eastAsia="Times New Roman" w:hAnsi="Times New Roman"/>
          <w:sz w:val="15"/>
          <w:szCs w:val="15"/>
          <w:color w:val="auto"/>
        </w:rPr>
        <w:t xml:space="preserve">Section 7.1. </w:t>
      </w:r>
      <w:r>
        <w:rPr>
          <w:rFonts w:ascii="Times New Roman" w:cs="Times New Roman" w:eastAsia="Times New Roman" w:hAnsi="Times New Roman"/>
          <w:sz w:val="15"/>
          <w:szCs w:val="15"/>
          <w:u w:val="single" w:color="auto"/>
          <w:color w:val="auto"/>
        </w:rPr>
        <w:t>Execution of Instruments</w:t>
      </w:r>
      <w:r>
        <w:rPr>
          <w:rFonts w:ascii="Times New Roman" w:cs="Times New Roman" w:eastAsia="Times New Roman" w:hAnsi="Times New Roman"/>
          <w:sz w:val="15"/>
          <w:szCs w:val="15"/>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55"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color w:val="auto"/>
        </w:rPr>
        <w:t xml:space="preserve">Section 7.2. </w:t>
      </w:r>
      <w:r>
        <w:rPr>
          <w:rFonts w:ascii="Times New Roman" w:cs="Times New Roman" w:eastAsia="Times New Roman" w:hAnsi="Times New Roman"/>
          <w:sz w:val="15"/>
          <w:szCs w:val="15"/>
          <w:u w:val="single" w:color="auto"/>
          <w:color w:val="auto"/>
        </w:rPr>
        <w:t>Records</w:t>
      </w:r>
      <w:r>
        <w:rPr>
          <w:rFonts w:ascii="Times New Roman" w:cs="Times New Roman" w:eastAsia="Times New Roman" w:hAnsi="Times New Roman"/>
          <w:sz w:val="15"/>
          <w:szCs w:val="15"/>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46"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 xml:space="preserve">Section 7.3. </w:t>
      </w:r>
      <w:r>
        <w:rPr>
          <w:rFonts w:ascii="Times New Roman" w:cs="Times New Roman" w:eastAsia="Times New Roman" w:hAnsi="Times New Roman"/>
          <w:sz w:val="15"/>
          <w:szCs w:val="15"/>
          <w:u w:val="single" w:color="auto"/>
          <w:color w:val="auto"/>
        </w:rPr>
        <w:t>Trust Files</w:t>
      </w:r>
      <w:r>
        <w:rPr>
          <w:rFonts w:ascii="Times New Roman" w:cs="Times New Roman" w:eastAsia="Times New Roman" w:hAnsi="Times New Roman"/>
          <w:sz w:val="15"/>
          <w:szCs w:val="15"/>
          <w:color w:val="auto"/>
        </w:rPr>
        <w:t>. There shall be maintained in the Association files all fiduciary records necessary to assure that its fiduciary responsibilities have been properly undertaken and discharged.</w:t>
      </w:r>
    </w:p>
    <w:p>
      <w:pPr>
        <w:spacing w:after="0" w:line="135"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color w:val="auto"/>
        </w:rPr>
        <w:t xml:space="preserve">Section 7.4. </w:t>
      </w:r>
      <w:r>
        <w:rPr>
          <w:rFonts w:ascii="Times New Roman" w:cs="Times New Roman" w:eastAsia="Times New Roman" w:hAnsi="Times New Roman"/>
          <w:sz w:val="15"/>
          <w:szCs w:val="15"/>
          <w:u w:val="single" w:color="auto"/>
          <w:color w:val="auto"/>
        </w:rPr>
        <w:t>Trust Investments</w:t>
      </w:r>
      <w:r>
        <w:rPr>
          <w:rFonts w:ascii="Times New Roman" w:cs="Times New Roman" w:eastAsia="Times New Roman" w:hAnsi="Times New Roman"/>
          <w:sz w:val="15"/>
          <w:szCs w:val="15"/>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146"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color w:val="auto"/>
        </w:rPr>
        <w:t xml:space="preserve">Section 7.5. </w:t>
      </w:r>
      <w:r>
        <w:rPr>
          <w:rFonts w:ascii="Times New Roman" w:cs="Times New Roman" w:eastAsia="Times New Roman" w:hAnsi="Times New Roman"/>
          <w:sz w:val="15"/>
          <w:szCs w:val="15"/>
          <w:u w:val="single" w:color="auto"/>
          <w:color w:val="auto"/>
        </w:rPr>
        <w:t>Notice</w:t>
      </w:r>
      <w:r>
        <w:rPr>
          <w:rFonts w:ascii="Times New Roman" w:cs="Times New Roman" w:eastAsia="Times New Roman" w:hAnsi="Times New Roman"/>
          <w:sz w:val="15"/>
          <w:szCs w:val="15"/>
          <w:color w:val="auto"/>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Except where specified otherwise in these Bylaws, prior notice shall be proper if given not more than 30 days nor less than 10 days prior to the event for which notice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372745</wp:posOffset>
            </wp:positionV>
            <wp:extent cx="7155180" cy="14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18" w:name="page119"/>
    <w:bookmarkEnd w:id="118"/>
    <w:p>
      <w:pPr>
        <w:ind w:left="5160"/>
        <w:spacing w:after="0"/>
        <w:rPr>
          <w:sz w:val="20"/>
          <w:szCs w:val="20"/>
          <w:color w:val="auto"/>
        </w:rPr>
      </w:pPr>
      <w:r>
        <w:rPr>
          <w:rFonts w:ascii="Times New Roman" w:cs="Times New Roman" w:eastAsia="Times New Roman" w:hAnsi="Times New Roman"/>
          <w:sz w:val="15"/>
          <w:szCs w:val="15"/>
          <w:u w:val="single" w:color="auto"/>
          <w:color w:val="auto"/>
        </w:rPr>
        <w:t>ARTICLE VIII</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5"/>
          <w:szCs w:val="15"/>
          <w:u w:val="single" w:color="auto"/>
          <w:color w:val="auto"/>
        </w:rPr>
        <w:t>Indemnification</w:t>
      </w:r>
    </w:p>
    <w:p>
      <w:pPr>
        <w:spacing w:after="0" w:line="173" w:lineRule="exact"/>
        <w:rPr>
          <w:sz w:val="20"/>
          <w:szCs w:val="20"/>
          <w:color w:val="auto"/>
        </w:rPr>
      </w:pPr>
    </w:p>
    <w:p>
      <w:pPr>
        <w:jc w:val="both"/>
        <w:ind w:firstLine="541"/>
        <w:spacing w:after="0" w:line="259" w:lineRule="auto"/>
        <w:rPr>
          <w:sz w:val="20"/>
          <w:szCs w:val="20"/>
          <w:color w:val="auto"/>
        </w:rPr>
      </w:pPr>
      <w:r>
        <w:rPr>
          <w:rFonts w:ascii="Times New Roman" w:cs="Times New Roman" w:eastAsia="Times New Roman" w:hAnsi="Times New Roman"/>
          <w:sz w:val="15"/>
          <w:szCs w:val="15"/>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52" w:lineRule="exact"/>
        <w:rPr>
          <w:sz w:val="20"/>
          <w:szCs w:val="20"/>
          <w:color w:val="auto"/>
        </w:rPr>
      </w:pPr>
    </w:p>
    <w:p>
      <w:pPr>
        <w:jc w:val="both"/>
        <w:ind w:firstLine="541"/>
        <w:spacing w:after="0" w:line="259" w:lineRule="auto"/>
        <w:rPr>
          <w:sz w:val="20"/>
          <w:szCs w:val="20"/>
          <w:color w:val="auto"/>
        </w:rPr>
      </w:pPr>
      <w:r>
        <w:rPr>
          <w:rFonts w:ascii="Times New Roman" w:cs="Times New Roman" w:eastAsia="Times New Roman" w:hAnsi="Times New Roman"/>
          <w:sz w:val="15"/>
          <w:szCs w:val="15"/>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ARTICLE IX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Bylaws: Interpretation and Amendment</w:t>
      </w:r>
    </w:p>
    <w:p>
      <w:pPr>
        <w:spacing w:after="0" w:line="173" w:lineRule="exact"/>
        <w:rPr>
          <w:sz w:val="20"/>
          <w:szCs w:val="20"/>
          <w:color w:val="auto"/>
        </w:rPr>
      </w:pPr>
    </w:p>
    <w:p>
      <w:pPr>
        <w:jc w:val="both"/>
        <w:ind w:right="20" w:firstLine="541"/>
        <w:spacing w:after="0" w:line="283" w:lineRule="auto"/>
        <w:rPr>
          <w:sz w:val="20"/>
          <w:szCs w:val="20"/>
          <w:color w:val="auto"/>
        </w:rPr>
      </w:pPr>
      <w:r>
        <w:rPr>
          <w:rFonts w:ascii="Times New Roman" w:cs="Times New Roman" w:eastAsia="Times New Roman" w:hAnsi="Times New Roman"/>
          <w:sz w:val="15"/>
          <w:szCs w:val="15"/>
          <w:color w:val="auto"/>
        </w:rPr>
        <w:t>Section 9.1. These Bylaws shall be interpreted in accordance with and subject to appropriate provisions of law, and may be added to, altered, amended, or repealed, at any regular or special meeting of the Board.</w:t>
      </w:r>
    </w:p>
    <w:p>
      <w:pPr>
        <w:spacing w:after="0" w:line="135"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7155180" cy="146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5"/>
          <w:szCs w:val="15"/>
          <w:u w:val="single" w:color="auto"/>
          <w:color w:val="auto"/>
        </w:rPr>
        <w:t>ARTICLE X</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Miscellaneous Provisions</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10.1. </w:t>
      </w:r>
      <w:r>
        <w:rPr>
          <w:rFonts w:ascii="Times New Roman" w:cs="Times New Roman" w:eastAsia="Times New Roman" w:hAnsi="Times New Roman"/>
          <w:sz w:val="15"/>
          <w:szCs w:val="15"/>
          <w:u w:val="single" w:color="auto"/>
          <w:color w:val="auto"/>
        </w:rPr>
        <w:t>Fiscal Year</w:t>
      </w:r>
      <w:r>
        <w:rPr>
          <w:rFonts w:ascii="Times New Roman" w:cs="Times New Roman" w:eastAsia="Times New Roman" w:hAnsi="Times New Roman"/>
          <w:sz w:val="15"/>
          <w:szCs w:val="15"/>
          <w:color w:val="auto"/>
        </w:rPr>
        <w:t>. The fiscal year of the Association shall begin on the first day of January in each year and shall end on the thirty-first day of December following.</w:t>
      </w:r>
    </w:p>
    <w:p>
      <w:pPr>
        <w:spacing w:after="0" w:line="188" w:lineRule="exact"/>
        <w:rPr>
          <w:sz w:val="20"/>
          <w:szCs w:val="20"/>
          <w:color w:val="auto"/>
        </w:rPr>
      </w:pPr>
    </w:p>
    <w:p>
      <w:pPr>
        <w:ind w:right="20" w:firstLine="541"/>
        <w:spacing w:after="0" w:line="283" w:lineRule="auto"/>
        <w:rPr>
          <w:sz w:val="20"/>
          <w:szCs w:val="20"/>
          <w:color w:val="auto"/>
        </w:rPr>
      </w:pPr>
      <w:r>
        <w:rPr>
          <w:rFonts w:ascii="Times New Roman" w:cs="Times New Roman" w:eastAsia="Times New Roman" w:hAnsi="Times New Roman"/>
          <w:sz w:val="15"/>
          <w:szCs w:val="15"/>
          <w:color w:val="auto"/>
        </w:rPr>
        <w:t xml:space="preserve">Section 10.2.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(February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372745</wp:posOffset>
            </wp:positionV>
            <wp:extent cx="7155180" cy="146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20" w:name="page121"/>
    <w:bookmarkEnd w:id="120"/>
    <w:p>
      <w:pPr>
        <w:jc w:val="center"/>
        <w:ind w:right="-219"/>
        <w:spacing w:after="0"/>
        <w:rPr>
          <w:sz w:val="20"/>
          <w:szCs w:val="20"/>
          <w:color w:val="auto"/>
        </w:rPr>
      </w:pPr>
      <w:r>
        <w:rPr>
          <w:rFonts w:ascii="Times New Roman" w:cs="Times New Roman" w:eastAsia="Times New Roman" w:hAnsi="Times New Roman"/>
          <w:sz w:val="15"/>
          <w:szCs w:val="15"/>
          <w:b w:val="1"/>
          <w:bCs w:val="1"/>
          <w:u w:val="single" w:color="auto"/>
          <w:color w:val="auto"/>
        </w:rPr>
        <w:t>Exhibit 6</w:t>
      </w:r>
    </w:p>
    <w:p>
      <w:pPr>
        <w:spacing w:after="0" w:line="1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5"/>
          <w:szCs w:val="15"/>
          <w:b w:val="1"/>
          <w:bCs w:val="1"/>
          <w:color w:val="auto"/>
        </w:rPr>
        <w:t>CONSENT</w:t>
      </w:r>
    </w:p>
    <w:p>
      <w:pPr>
        <w:spacing w:after="0" w:line="192" w:lineRule="exact"/>
        <w:rPr>
          <w:sz w:val="20"/>
          <w:szCs w:val="20"/>
          <w:color w:val="auto"/>
        </w:rPr>
      </w:pPr>
    </w:p>
    <w:p>
      <w:pPr>
        <w:ind w:firstLine="541"/>
        <w:spacing w:after="0" w:line="267" w:lineRule="auto"/>
        <w:rPr>
          <w:sz w:val="20"/>
          <w:szCs w:val="20"/>
          <w:color w:val="auto"/>
        </w:rPr>
      </w:pPr>
      <w:r>
        <w:rPr>
          <w:rFonts w:ascii="Times New Roman" w:cs="Times New Roman" w:eastAsia="Times New Roman" w:hAnsi="Times New Roman"/>
          <w:sz w:val="15"/>
          <w:szCs w:val="15"/>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January 14, 2026</w:t>
      </w:r>
    </w:p>
    <w:p>
      <w:pPr>
        <w:spacing w:after="0" w:line="18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5"/>
          <w:szCs w:val="15"/>
          <w:color w:val="auto"/>
        </w:rPr>
        <w:t>By:</w:t>
        <w:tab/>
        <w:t>/s/ Adina Casper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57111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9">
                      <a:extLst>
                        <a:ext uri="{28A0092B-C50C-407E-A947-70E740481C1C}"/>
                      </a:extLst>
                    </a:blip>
                    <a:srcRect/>
                    <a:stretch>
                      <a:fillRect/>
                    </a:stretch>
                  </pic:blipFill>
                  <pic:spPr bwMode="auto">
                    <a:xfrm>
                      <a:off x="0" y="0"/>
                      <a:ext cx="2571115" cy="698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5"/>
          <w:szCs w:val="15"/>
          <w:color w:val="auto"/>
        </w:rPr>
        <w:t>Adina Casper</w:t>
      </w:r>
    </w:p>
    <w:p>
      <w:pPr>
        <w:spacing w:after="0" w:line="1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5"/>
          <w:szCs w:val="15"/>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7155180" cy="146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20"/>
          </w:cols>
          <w:pgMar w:left="320" w:top="775" w:right="55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Exhibit 7</w:t>
            </w:r>
          </w:p>
        </w:tc>
        <w:tc>
          <w:tcPr>
            <w:tcW w:w="42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940" w:type="dxa"/>
            <w:vAlign w:val="bottom"/>
            <w:gridSpan w:val="4"/>
          </w:tcPr>
          <w:p>
            <w:pPr>
              <w:jc w:val="center"/>
              <w:ind w:right="2145"/>
              <w:spacing w:after="0"/>
              <w:rPr>
                <w:sz w:val="20"/>
                <w:szCs w:val="20"/>
                <w:color w:val="auto"/>
              </w:rPr>
            </w:pPr>
            <w:r>
              <w:rPr>
                <w:rFonts w:ascii="Times New Roman" w:cs="Times New Roman" w:eastAsia="Times New Roman" w:hAnsi="Times New Roman"/>
                <w:sz w:val="15"/>
                <w:szCs w:val="15"/>
                <w:b w:val="1"/>
                <w:bCs w:val="1"/>
                <w:color w:val="auto"/>
                <w:w w:val="99"/>
              </w:rPr>
              <w:t>U.S. Bank Trust Company, National Association</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6940" w:type="dxa"/>
            <w:vAlign w:val="bottom"/>
            <w:gridSpan w:val="4"/>
          </w:tcPr>
          <w:p>
            <w:pPr>
              <w:jc w:val="center"/>
              <w:ind w:right="2125"/>
              <w:spacing w:after="0"/>
              <w:rPr>
                <w:sz w:val="20"/>
                <w:szCs w:val="20"/>
                <w:color w:val="auto"/>
              </w:rPr>
            </w:pPr>
            <w:r>
              <w:rPr>
                <w:rFonts w:ascii="Times New Roman" w:cs="Times New Roman" w:eastAsia="Times New Roman" w:hAnsi="Times New Roman"/>
                <w:sz w:val="15"/>
                <w:szCs w:val="15"/>
                <w:b w:val="1"/>
                <w:bCs w:val="1"/>
                <w:color w:val="auto"/>
              </w:rPr>
              <w:t>Statement of Financial Condition</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6940" w:type="dxa"/>
            <w:vAlign w:val="bottom"/>
            <w:gridSpan w:val="4"/>
          </w:tcPr>
          <w:p>
            <w:pPr>
              <w:jc w:val="center"/>
              <w:ind w:right="2125"/>
              <w:spacing w:after="0"/>
              <w:rPr>
                <w:sz w:val="20"/>
                <w:szCs w:val="20"/>
                <w:color w:val="auto"/>
              </w:rPr>
            </w:pPr>
            <w:r>
              <w:rPr>
                <w:rFonts w:ascii="Times New Roman" w:cs="Times New Roman" w:eastAsia="Times New Roman" w:hAnsi="Times New Roman"/>
                <w:sz w:val="15"/>
                <w:szCs w:val="15"/>
                <w:b w:val="1"/>
                <w:bCs w:val="1"/>
                <w:color w:val="auto"/>
                <w:w w:val="99"/>
              </w:rPr>
              <w:t>as of 9/30/2025</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880" w:type="dxa"/>
            <w:vAlign w:val="bottom"/>
            <w:gridSpan w:val="3"/>
          </w:tcPr>
          <w:p>
            <w:pPr>
              <w:jc w:val="center"/>
              <w:ind w:right="4185"/>
              <w:spacing w:after="0"/>
              <w:rPr>
                <w:sz w:val="20"/>
                <w:szCs w:val="20"/>
                <w:color w:val="auto"/>
              </w:rPr>
            </w:pPr>
            <w:r>
              <w:rPr>
                <w:rFonts w:ascii="Times New Roman" w:cs="Times New Roman" w:eastAsia="Times New Roman" w:hAnsi="Times New Roman"/>
                <w:sz w:val="15"/>
                <w:szCs w:val="15"/>
                <w:b w:val="1"/>
                <w:bCs w:val="1"/>
                <w:color w:val="auto"/>
                <w:w w:val="98"/>
              </w:rPr>
              <w:t>($000’s)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9/30/2025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60" w:type="dxa"/>
            <w:vAlign w:val="bottom"/>
            <w:gridSpan w:val="2"/>
            <w:vMerge w:val="continue"/>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Cash and Balances Due From</w:t>
            </w:r>
          </w:p>
        </w:tc>
        <w:tc>
          <w:tcPr>
            <w:tcW w:w="6940" w:type="dxa"/>
            <w:vAlign w:val="bottom"/>
            <w:gridSpan w:val="4"/>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1,949,886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Depository Institutions</w:t>
            </w: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Securities</w:t>
            </w:r>
          </w:p>
        </w:tc>
        <w:tc>
          <w:tcPr>
            <w:tcW w:w="2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4,656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Federal Funds</w:t>
            </w: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Loans &amp; Lease Financing Receivables</w:t>
            </w:r>
          </w:p>
        </w:tc>
        <w:tc>
          <w:tcPr>
            <w:tcW w:w="2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Fixed Assets</w:t>
            </w: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Intangible Assets</w:t>
            </w:r>
          </w:p>
        </w:tc>
        <w:tc>
          <w:tcPr>
            <w:tcW w:w="2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574,611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Assets</w:t>
            </w:r>
          </w:p>
        </w:tc>
        <w:tc>
          <w:tcPr>
            <w:tcW w:w="2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162,279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0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4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2,692,145</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2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Deposits</w:t>
            </w:r>
          </w:p>
        </w:tc>
        <w:tc>
          <w:tcPr>
            <w:tcW w:w="6940" w:type="dxa"/>
            <w:vAlign w:val="bottom"/>
            <w:gridSpan w:val="4"/>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Fed Funds</w:t>
            </w:r>
          </w:p>
        </w:tc>
        <w:tc>
          <w:tcPr>
            <w:tcW w:w="2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Treasury Demand Notes</w:t>
            </w: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Trading Liabilities</w:t>
            </w:r>
          </w:p>
        </w:tc>
        <w:tc>
          <w:tcPr>
            <w:tcW w:w="2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Borrowed Money</w:t>
            </w: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Acceptances</w:t>
            </w:r>
          </w:p>
        </w:tc>
        <w:tc>
          <w:tcPr>
            <w:tcW w:w="2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Subordinated Notes and Debentures</w:t>
            </w: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Liabilities</w:t>
            </w:r>
          </w:p>
        </w:tc>
        <w:tc>
          <w:tcPr>
            <w:tcW w:w="20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222,254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222,254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Common and Preferred Stock</w:t>
            </w:r>
          </w:p>
        </w:tc>
        <w:tc>
          <w:tcPr>
            <w:tcW w:w="2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Surplus</w:t>
            </w: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1,171,635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Undivided Profits</w:t>
            </w:r>
          </w:p>
        </w:tc>
        <w:tc>
          <w:tcPr>
            <w:tcW w:w="2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1,298,056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Minority Interest in Subsidiaries</w:t>
            </w:r>
          </w:p>
        </w:tc>
        <w:tc>
          <w:tcPr>
            <w:tcW w:w="2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Total Equity Capital</w:t>
            </w:r>
          </w:p>
        </w:tc>
        <w:tc>
          <w:tcPr>
            <w:tcW w:w="20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4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2,469,891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Equity Capital</w:t>
            </w:r>
          </w:p>
        </w:tc>
        <w:tc>
          <w:tcPr>
            <w:tcW w:w="6940" w:type="dxa"/>
            <w:vAlign w:val="bottom"/>
            <w:gridSpan w:val="4"/>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2,692,145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66"/>
        </w:trPr>
        <w:tc>
          <w:tcPr>
            <w:tcW w:w="2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68" w:right="3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5"/>
          <w:szCs w:val="15"/>
          <w:b w:val="1"/>
          <w:bCs w:val="1"/>
          <w:color w:val="auto"/>
        </w:rPr>
        <w:t>Exhibit (l)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[Letterhead of Eversheds Sutherland (US) LLP]</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January 15, 2026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Saratoga Investment Corp.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535 Madison Avenue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New York 10022</w:t>
      </w:r>
    </w:p>
    <w:p>
      <w:pPr>
        <w:spacing w:after="0" w:line="173" w:lineRule="exact"/>
        <w:rPr>
          <w:sz w:val="20"/>
          <w:szCs w:val="20"/>
          <w:color w:val="auto"/>
        </w:rPr>
      </w:pPr>
    </w:p>
    <w:tbl>
      <w:tblPr>
        <w:tblLayout w:type="fixed"/>
        <w:tblInd w:w="540" w:type="dxa"/>
        <w:tblCellMar>
          <w:top w:w="0" w:type="dxa"/>
          <w:left w:w="0" w:type="dxa"/>
          <w:bottom w:w="0" w:type="dxa"/>
          <w:right w:w="0" w:type="dxa"/>
        </w:tblCellMar>
      </w:tblPr>
      <w:tr>
        <w:trPr>
          <w:trHeight w:val="180"/>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Re:</w:t>
            </w:r>
          </w:p>
        </w:tc>
        <w:tc>
          <w:tcPr>
            <w:tcW w:w="2180" w:type="dxa"/>
            <w:vAlign w:val="bottom"/>
          </w:tcPr>
          <w:p>
            <w:pPr>
              <w:spacing w:after="0"/>
              <w:rPr>
                <w:sz w:val="20"/>
                <w:szCs w:val="20"/>
                <w:color w:val="auto"/>
              </w:rPr>
            </w:pPr>
            <w:r>
              <w:rPr>
                <w:rFonts w:ascii="Times New Roman" w:cs="Times New Roman" w:eastAsia="Times New Roman" w:hAnsi="Times New Roman"/>
                <w:sz w:val="15"/>
                <w:szCs w:val="15"/>
                <w:color w:val="auto"/>
              </w:rPr>
              <w:t>Saratoga Investment Corp.</w:t>
            </w:r>
          </w:p>
        </w:tc>
      </w:tr>
      <w:tr>
        <w:trPr>
          <w:trHeight w:val="161"/>
        </w:trPr>
        <w:tc>
          <w:tcPr>
            <w:tcW w:w="540" w:type="dxa"/>
            <w:vAlign w:val="bottom"/>
          </w:tcPr>
          <w:p>
            <w:pPr>
              <w:spacing w:after="0"/>
              <w:rPr>
                <w:sz w:val="14"/>
                <w:szCs w:val="14"/>
                <w:color w:val="auto"/>
              </w:rPr>
            </w:pPr>
          </w:p>
        </w:tc>
        <w:tc>
          <w:tcPr>
            <w:tcW w:w="2180" w:type="dxa"/>
            <w:vAlign w:val="bottom"/>
            <w:tcBorders>
              <w:bottom w:val="single" w:sz="8" w:color="auto"/>
            </w:tcBorders>
          </w:tcPr>
          <w:p>
            <w:pPr>
              <w:spacing w:after="0" w:line="161" w:lineRule="exact"/>
              <w:rPr>
                <w:sz w:val="20"/>
                <w:szCs w:val="20"/>
                <w:color w:val="auto"/>
              </w:rPr>
            </w:pPr>
            <w:r>
              <w:rPr>
                <w:rFonts w:ascii="Times New Roman" w:cs="Times New Roman" w:eastAsia="Times New Roman" w:hAnsi="Times New Roman"/>
                <w:sz w:val="15"/>
                <w:szCs w:val="15"/>
                <w:color w:val="auto"/>
                <w:w w:val="98"/>
              </w:rPr>
              <w:t>Registration Statement on Form N-2</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84" w:lineRule="exact"/>
        <w:rPr>
          <w:sz w:val="20"/>
          <w:szCs w:val="20"/>
          <w:color w:val="auto"/>
        </w:rPr>
      </w:pPr>
    </w:p>
    <w:p>
      <w:pPr>
        <w:jc w:val="both"/>
        <w:ind w:firstLine="541"/>
        <w:spacing w:after="0" w:line="263" w:lineRule="auto"/>
        <w:rPr>
          <w:sz w:val="20"/>
          <w:szCs w:val="20"/>
          <w:color w:val="auto"/>
        </w:rPr>
      </w:pPr>
      <w:r>
        <w:rPr>
          <w:rFonts w:ascii="Times New Roman" w:cs="Times New Roman" w:eastAsia="Times New Roman" w:hAnsi="Times New Roman"/>
          <w:sz w:val="15"/>
          <w:szCs w:val="15"/>
          <w:color w:val="auto"/>
        </w:rPr>
        <w:t>We have acted as counsel to Saratoga Investment Corp., a Maryland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in connection with the preparation and filing by the Company with the Securities and Exchange Commission of a registration statement on Form N-2 on January 15, 2026 (the “</w:t>
      </w:r>
      <w:r>
        <w:rPr>
          <w:rFonts w:ascii="Times New Roman" w:cs="Times New Roman" w:eastAsia="Times New Roman" w:hAnsi="Times New Roman"/>
          <w:sz w:val="15"/>
          <w:szCs w:val="15"/>
          <w:b w:val="1"/>
          <w:bCs w:val="1"/>
          <w:i w:val="1"/>
          <w:iCs w:val="1"/>
          <w:color w:val="auto"/>
        </w:rPr>
        <w:t>Registration Statement</w:t>
      </w:r>
      <w:r>
        <w:rPr>
          <w:rFonts w:ascii="Times New Roman" w:cs="Times New Roman" w:eastAsia="Times New Roman" w:hAnsi="Times New Roman"/>
          <w:sz w:val="15"/>
          <w:szCs w:val="15"/>
          <w:color w:val="auto"/>
        </w:rPr>
        <w:t>”) under the Securities Act of 1933, as amended (the “</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with respect to the offer, issuance and sale, from time to time, pursuant to Rule 415 under the Securities Act of up to $750,000,000 in aggregate offering amount of the following securities (collectively, the “</w:t>
      </w:r>
      <w:r>
        <w:rPr>
          <w:rFonts w:ascii="Times New Roman" w:cs="Times New Roman" w:eastAsia="Times New Roman" w:hAnsi="Times New Roman"/>
          <w:sz w:val="15"/>
          <w:szCs w:val="15"/>
          <w:b w:val="1"/>
          <w:bCs w:val="1"/>
          <w:i w:val="1"/>
          <w:iCs w:val="1"/>
          <w:color w:val="auto"/>
        </w:rPr>
        <w:t>Securities</w:t>
      </w:r>
      <w:r>
        <w:rPr>
          <w:rFonts w:ascii="Times New Roman" w:cs="Times New Roman" w:eastAsia="Times New Roman" w:hAnsi="Times New Roman"/>
          <w:sz w:val="15"/>
          <w:szCs w:val="15"/>
          <w:color w:val="auto"/>
        </w:rPr>
        <w:t>”):</w:t>
      </w:r>
    </w:p>
    <w:p>
      <w:pPr>
        <w:spacing w:after="0" w:line="146" w:lineRule="exact"/>
        <w:rPr>
          <w:sz w:val="20"/>
          <w:szCs w:val="20"/>
          <w:color w:val="auto"/>
        </w:rPr>
      </w:pPr>
    </w:p>
    <w:p>
      <w:pPr>
        <w:ind w:left="1080" w:hanging="548"/>
        <w:spacing w:after="0" w:line="289" w:lineRule="auto"/>
        <w:tabs>
          <w:tab w:leader="none" w:pos="10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the Company’s common stock, par value $0.001 per share (the “</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including shares of Common Stock to be issued upon exercise of the Rights (as defined below), the Debt Securities (as defined below), and/or the Warrants (as defined below) (the “</w:t>
      </w:r>
      <w:r>
        <w:rPr>
          <w:rFonts w:ascii="Times New Roman" w:cs="Times New Roman" w:eastAsia="Times New Roman" w:hAnsi="Times New Roman"/>
          <w:sz w:val="15"/>
          <w:szCs w:val="15"/>
          <w:b w:val="1"/>
          <w:bCs w:val="1"/>
          <w:i w:val="1"/>
          <w:iCs w:val="1"/>
          <w:color w:val="auto"/>
        </w:rPr>
        <w:t>Common Shares</w:t>
      </w:r>
      <w:r>
        <w:rPr>
          <w:rFonts w:ascii="Times New Roman" w:cs="Times New Roman" w:eastAsia="Times New Roman" w:hAnsi="Times New Roman"/>
          <w:sz w:val="15"/>
          <w:szCs w:val="15"/>
          <w:color w:val="auto"/>
        </w:rPr>
        <w:t>”);</w:t>
      </w:r>
    </w:p>
    <w:p>
      <w:pPr>
        <w:spacing w:after="0" w:line="125" w:lineRule="exact"/>
        <w:rPr>
          <w:rFonts w:ascii="Times New Roman" w:cs="Times New Roman" w:eastAsia="Times New Roman" w:hAnsi="Times New Roman"/>
          <w:sz w:val="15"/>
          <w:szCs w:val="15"/>
          <w:color w:val="auto"/>
        </w:rPr>
      </w:pPr>
    </w:p>
    <w:p>
      <w:pPr>
        <w:ind w:left="1080" w:hanging="548"/>
        <w:spacing w:after="0" w:line="289" w:lineRule="auto"/>
        <w:tabs>
          <w:tab w:leader="none" w:pos="10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the Company’s preferred stock, par value $0.001 per share (the “</w:t>
      </w:r>
      <w:r>
        <w:rPr>
          <w:rFonts w:ascii="Times New Roman" w:cs="Times New Roman" w:eastAsia="Times New Roman" w:hAnsi="Times New Roman"/>
          <w:sz w:val="15"/>
          <w:szCs w:val="15"/>
          <w:b w:val="1"/>
          <w:bCs w:val="1"/>
          <w:i w:val="1"/>
          <w:iCs w:val="1"/>
          <w:color w:val="auto"/>
        </w:rPr>
        <w:t>Preferred Stock</w:t>
      </w:r>
      <w:r>
        <w:rPr>
          <w:rFonts w:ascii="Times New Roman" w:cs="Times New Roman" w:eastAsia="Times New Roman" w:hAnsi="Times New Roman"/>
          <w:sz w:val="15"/>
          <w:szCs w:val="15"/>
          <w:color w:val="auto"/>
        </w:rPr>
        <w:t>”), including shares of Preferred Stock to be issued upon exercise of the Warrants (the “</w:t>
      </w:r>
      <w:r>
        <w:rPr>
          <w:rFonts w:ascii="Times New Roman" w:cs="Times New Roman" w:eastAsia="Times New Roman" w:hAnsi="Times New Roman"/>
          <w:sz w:val="15"/>
          <w:szCs w:val="15"/>
          <w:b w:val="1"/>
          <w:bCs w:val="1"/>
          <w:i w:val="1"/>
          <w:iCs w:val="1"/>
          <w:color w:val="auto"/>
        </w:rPr>
        <w:t>Preferred Shares</w:t>
      </w:r>
      <w:r>
        <w:rPr>
          <w:rFonts w:ascii="Times New Roman" w:cs="Times New Roman" w:eastAsia="Times New Roman" w:hAnsi="Times New Roman"/>
          <w:sz w:val="15"/>
          <w:szCs w:val="15"/>
          <w:color w:val="auto"/>
        </w:rPr>
        <w:t>”);</w:t>
      </w:r>
    </w:p>
    <w:p>
      <w:pPr>
        <w:spacing w:after="0" w:line="125"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subscription rights to purchase Common Stock (the “</w:t>
      </w:r>
      <w:r>
        <w:rPr>
          <w:rFonts w:ascii="Times New Roman" w:cs="Times New Roman" w:eastAsia="Times New Roman" w:hAnsi="Times New Roman"/>
          <w:sz w:val="15"/>
          <w:szCs w:val="15"/>
          <w:b w:val="1"/>
          <w:bCs w:val="1"/>
          <w:i w:val="1"/>
          <w:iCs w:val="1"/>
          <w:color w:val="auto"/>
        </w:rPr>
        <w:t>Rights</w:t>
      </w:r>
      <w:r>
        <w:rPr>
          <w:rFonts w:ascii="Times New Roman" w:cs="Times New Roman" w:eastAsia="Times New Roman" w:hAnsi="Times New Roman"/>
          <w:sz w:val="15"/>
          <w:szCs w:val="15"/>
          <w:color w:val="auto"/>
        </w:rPr>
        <w:t>”);</w:t>
      </w:r>
    </w:p>
    <w:p>
      <w:pPr>
        <w:spacing w:after="0" w:line="188"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debt securities of the Company, including debt securities to be issued upon exercise of the Warrants (the “</w:t>
      </w:r>
      <w:r>
        <w:rPr>
          <w:rFonts w:ascii="Times New Roman" w:cs="Times New Roman" w:eastAsia="Times New Roman" w:hAnsi="Times New Roman"/>
          <w:sz w:val="15"/>
          <w:szCs w:val="15"/>
          <w:b w:val="1"/>
          <w:bCs w:val="1"/>
          <w:i w:val="1"/>
          <w:iCs w:val="1"/>
          <w:color w:val="auto"/>
        </w:rPr>
        <w:t>Debt Securities</w:t>
      </w:r>
      <w:r>
        <w:rPr>
          <w:rFonts w:ascii="Times New Roman" w:cs="Times New Roman" w:eastAsia="Times New Roman" w:hAnsi="Times New Roman"/>
          <w:sz w:val="15"/>
          <w:szCs w:val="15"/>
          <w:color w:val="auto"/>
        </w:rPr>
        <w:t>”); and</w:t>
      </w:r>
    </w:p>
    <w:p>
      <w:pPr>
        <w:spacing w:after="0" w:line="188"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warrants representing rights to purchase Common Stock, Preferred Stock or Debt Securities (the “</w:t>
      </w:r>
      <w:r>
        <w:rPr>
          <w:rFonts w:ascii="Times New Roman" w:cs="Times New Roman" w:eastAsia="Times New Roman" w:hAnsi="Times New Roman"/>
          <w:sz w:val="15"/>
          <w:szCs w:val="15"/>
          <w:b w:val="1"/>
          <w:bCs w:val="1"/>
          <w:i w:val="1"/>
          <w:iCs w:val="1"/>
          <w:color w:val="auto"/>
        </w:rPr>
        <w:t>Warrants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The Registration Statement provides that the Securities may be issued from time to time in amounts, at prices, and on terms to be set forth in one or more supplements (each, a “</w:t>
      </w:r>
      <w:r>
        <w:rPr>
          <w:rFonts w:ascii="Times New Roman" w:cs="Times New Roman" w:eastAsia="Times New Roman" w:hAnsi="Times New Roman"/>
          <w:sz w:val="15"/>
          <w:szCs w:val="15"/>
          <w:b w:val="1"/>
          <w:bCs w:val="1"/>
          <w:i w:val="1"/>
          <w:iCs w:val="1"/>
          <w:color w:val="auto"/>
        </w:rPr>
        <w:t>Prospectus Supplement</w:t>
      </w:r>
      <w:r>
        <w:rPr>
          <w:rFonts w:ascii="Times New Roman" w:cs="Times New Roman" w:eastAsia="Times New Roman" w:hAnsi="Times New Roman"/>
          <w:sz w:val="15"/>
          <w:szCs w:val="15"/>
          <w:color w:val="auto"/>
        </w:rPr>
        <w:t>”) to the final prospectus included in the Registration Statement at the time it becomes effective (the “</w:t>
      </w:r>
      <w:r>
        <w:rPr>
          <w:rFonts w:ascii="Times New Roman" w:cs="Times New Roman" w:eastAsia="Times New Roman" w:hAnsi="Times New Roman"/>
          <w:sz w:val="15"/>
          <w:szCs w:val="15"/>
          <w:b w:val="1"/>
          <w:bCs w:val="1"/>
          <w:i w:val="1"/>
          <w:iCs w:val="1"/>
          <w:color w:val="auto"/>
        </w:rPr>
        <w:t>Prospectus</w:t>
      </w:r>
      <w:r>
        <w:rPr>
          <w:rFonts w:ascii="Times New Roman" w:cs="Times New Roman" w:eastAsia="Times New Roman" w:hAnsi="Times New Roman"/>
          <w:sz w:val="15"/>
          <w:szCs w:val="15"/>
          <w:color w:val="auto"/>
        </w:rPr>
        <w:t>”).</w:t>
      </w:r>
    </w:p>
    <w:p>
      <w:pPr>
        <w:spacing w:after="0" w:line="131" w:lineRule="exact"/>
        <w:rPr>
          <w:sz w:val="20"/>
          <w:szCs w:val="20"/>
          <w:color w:val="auto"/>
        </w:rPr>
      </w:pPr>
    </w:p>
    <w:p>
      <w:pPr>
        <w:jc w:val="both"/>
        <w:ind w:firstLine="541"/>
        <w:spacing w:after="0" w:line="258" w:lineRule="auto"/>
        <w:rPr>
          <w:sz w:val="20"/>
          <w:szCs w:val="20"/>
          <w:color w:val="auto"/>
        </w:rPr>
      </w:pPr>
      <w:r>
        <w:rPr>
          <w:rFonts w:ascii="Times New Roman" w:cs="Times New Roman" w:eastAsia="Times New Roman" w:hAnsi="Times New Roman"/>
          <w:sz w:val="15"/>
          <w:szCs w:val="15"/>
          <w:color w:val="auto"/>
        </w:rPr>
        <w:t>The Debt Securities are to be issued in one or more series under (a) the indenture dated May 10, 2013 (the “</w:t>
      </w:r>
      <w:r>
        <w:rPr>
          <w:rFonts w:ascii="Times New Roman" w:cs="Times New Roman" w:eastAsia="Times New Roman" w:hAnsi="Times New Roman"/>
          <w:sz w:val="15"/>
          <w:szCs w:val="15"/>
          <w:b w:val="1"/>
          <w:bCs w:val="1"/>
          <w:i w:val="1"/>
          <w:iCs w:val="1"/>
          <w:color w:val="auto"/>
        </w:rPr>
        <w:t>Bas</w:t>
      </w:r>
      <w:r>
        <w:rPr>
          <w:rFonts w:ascii="Times New Roman" w:cs="Times New Roman" w:eastAsia="Times New Roman" w:hAnsi="Times New Roman"/>
          <w:sz w:val="15"/>
          <w:szCs w:val="15"/>
          <w:i w:val="1"/>
          <w:iCs w:val="1"/>
          <w:color w:val="auto"/>
        </w:rPr>
        <w: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Indenture</w:t>
      </w:r>
      <w:r>
        <w:rPr>
          <w:rFonts w:ascii="Times New Roman" w:cs="Times New Roman" w:eastAsia="Times New Roman" w:hAnsi="Times New Roman"/>
          <w:sz w:val="15"/>
          <w:szCs w:val="15"/>
          <w:color w:val="auto"/>
        </w:rPr>
        <w:t>”), entered into by and between the Company and U.S. Bank Trust Company, National Association (as successor in interest to U.S. Bank National Association), as trustee (the “</w:t>
      </w:r>
      <w:r>
        <w:rPr>
          <w:rFonts w:ascii="Times New Roman" w:cs="Times New Roman" w:eastAsia="Times New Roman" w:hAnsi="Times New Roman"/>
          <w:sz w:val="15"/>
          <w:szCs w:val="15"/>
          <w:b w:val="1"/>
          <w:bCs w:val="1"/>
          <w:i w:val="1"/>
          <w:iCs w:val="1"/>
          <w:color w:val="auto"/>
        </w:rPr>
        <w:t>Trustee</w:t>
      </w:r>
      <w:r>
        <w:rPr>
          <w:rFonts w:ascii="Times New Roman" w:cs="Times New Roman" w:eastAsia="Times New Roman" w:hAnsi="Times New Roman"/>
          <w:sz w:val="15"/>
          <w:szCs w:val="15"/>
          <w:color w:val="auto"/>
        </w:rPr>
        <w:t>”) and (b) one or more supplemental indentures containing the specific terms and conditions for each issuance of the Debt Securities (each a “</w:t>
      </w:r>
      <w:r>
        <w:rPr>
          <w:rFonts w:ascii="Times New Roman" w:cs="Times New Roman" w:eastAsia="Times New Roman" w:hAnsi="Times New Roman"/>
          <w:sz w:val="15"/>
          <w:szCs w:val="15"/>
          <w:b w:val="1"/>
          <w:bCs w:val="1"/>
          <w:i w:val="1"/>
          <w:iCs w:val="1"/>
          <w:color w:val="auto"/>
        </w:rPr>
        <w:t>Supplemental Indenture</w:t>
      </w:r>
      <w:r>
        <w:rPr>
          <w:rFonts w:ascii="Times New Roman" w:cs="Times New Roman" w:eastAsia="Times New Roman" w:hAnsi="Times New Roman"/>
          <w:sz w:val="15"/>
          <w:szCs w:val="15"/>
          <w:color w:val="auto"/>
        </w:rPr>
        <w:t>” and together with the Base Indenture, the “</w:t>
      </w:r>
      <w:r>
        <w:rPr>
          <w:rFonts w:ascii="Times New Roman" w:cs="Times New Roman" w:eastAsia="Times New Roman" w:hAnsi="Times New Roman"/>
          <w:sz w:val="15"/>
          <w:szCs w:val="15"/>
          <w:b w:val="1"/>
          <w:bCs w:val="1"/>
          <w:i w:val="1"/>
          <w:iCs w:val="1"/>
          <w:color w:val="auto"/>
        </w:rPr>
        <w:t>Indenture</w:t>
      </w:r>
      <w:r>
        <w:rPr>
          <w:rFonts w:ascii="Times New Roman" w:cs="Times New Roman" w:eastAsia="Times New Roman" w:hAnsi="Times New Roman"/>
          <w:sz w:val="15"/>
          <w:szCs w:val="15"/>
          <w:color w:val="auto"/>
        </w:rPr>
        <w:t>”). The Rights are to be issued under rights agreements (each a “</w:t>
      </w:r>
      <w:r>
        <w:rPr>
          <w:rFonts w:ascii="Times New Roman" w:cs="Times New Roman" w:eastAsia="Times New Roman" w:hAnsi="Times New Roman"/>
          <w:sz w:val="15"/>
          <w:szCs w:val="15"/>
          <w:b w:val="1"/>
          <w:bCs w:val="1"/>
          <w:i w:val="1"/>
          <w:iCs w:val="1"/>
          <w:color w:val="auto"/>
        </w:rPr>
        <w:t>Rights Agreement</w:t>
      </w:r>
      <w:r>
        <w:rPr>
          <w:rFonts w:ascii="Times New Roman" w:cs="Times New Roman" w:eastAsia="Times New Roman" w:hAnsi="Times New Roman"/>
          <w:sz w:val="15"/>
          <w:szCs w:val="15"/>
          <w:color w:val="auto"/>
        </w:rPr>
        <w:t>”) to be entered into by and between the Company and the purchasers thereof or a rights agent to be identified in the applicable Rights Agreement. The Warrants are to be issued under warrant agreements (each a “</w:t>
      </w:r>
      <w:r>
        <w:rPr>
          <w:rFonts w:ascii="Times New Roman" w:cs="Times New Roman" w:eastAsia="Times New Roman" w:hAnsi="Times New Roman"/>
          <w:sz w:val="15"/>
          <w:szCs w:val="15"/>
          <w:b w:val="1"/>
          <w:bCs w:val="1"/>
          <w:i w:val="1"/>
          <w:iCs w:val="1"/>
          <w:color w:val="auto"/>
        </w:rPr>
        <w:t>Warrant Agreement</w:t>
      </w:r>
      <w:r>
        <w:rPr>
          <w:rFonts w:ascii="Times New Roman" w:cs="Times New Roman" w:eastAsia="Times New Roman" w:hAnsi="Times New Roman"/>
          <w:sz w:val="15"/>
          <w:szCs w:val="15"/>
          <w:color w:val="auto"/>
        </w:rPr>
        <w:t>”) to be entered into by and between the Company and the purchasers thereof or a warrant agent to be identified in the applicable Warrant Agreement (the “</w:t>
      </w:r>
      <w:r>
        <w:rPr>
          <w:rFonts w:ascii="Times New Roman" w:cs="Times New Roman" w:eastAsia="Times New Roman" w:hAnsi="Times New Roman"/>
          <w:sz w:val="15"/>
          <w:szCs w:val="15"/>
          <w:b w:val="1"/>
          <w:bCs w:val="1"/>
          <w:i w:val="1"/>
          <w:iCs w:val="1"/>
          <w:color w:val="auto"/>
        </w:rPr>
        <w:t>Warrant Agent</w:t>
      </w:r>
      <w:r>
        <w:rPr>
          <w:rFonts w:ascii="Times New Roman" w:cs="Times New Roman" w:eastAsia="Times New Roman" w:hAnsi="Times New Roman"/>
          <w:sz w:val="15"/>
          <w:szCs w:val="15"/>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3" w:name="page124"/>
    <w:bookmarkEnd w:id="123"/>
    <w:p>
      <w:pPr>
        <w:ind w:right="20" w:firstLine="541"/>
        <w:spacing w:after="0" w:line="283" w:lineRule="auto"/>
        <w:rPr>
          <w:sz w:val="20"/>
          <w:szCs w:val="20"/>
          <w:color w:val="auto"/>
        </w:rPr>
      </w:pPr>
      <w:r>
        <w:rPr>
          <w:rFonts w:ascii="Times New Roman" w:cs="Times New Roman" w:eastAsia="Times New Roman" w:hAnsi="Times New Roman"/>
          <w:sz w:val="15"/>
          <w:szCs w:val="15"/>
          <w:color w:val="auto"/>
        </w:rPr>
        <w:t>As counsel to the Company, we have participated in the preparation of the Registration Statement and have examined the originals or copies, certified or otherwise identified to our satisfaction as being true copies, of the following:</w:t>
      </w:r>
    </w:p>
    <w:p>
      <w:pPr>
        <w:spacing w:after="0" w:line="131" w:lineRule="exact"/>
        <w:rPr>
          <w:sz w:val="20"/>
          <w:szCs w:val="20"/>
          <w:color w:val="auto"/>
        </w:rPr>
      </w:pPr>
    </w:p>
    <w:p>
      <w:pPr>
        <w:ind w:left="1080" w:right="20" w:hanging="548"/>
        <w:spacing w:after="0" w:line="289" w:lineRule="auto"/>
        <w:tabs>
          <w:tab w:leader="none" w:pos="108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Articles of Incorporation of the Company, as amended (the “</w:t>
      </w:r>
      <w:r>
        <w:rPr>
          <w:rFonts w:ascii="Times New Roman" w:cs="Times New Roman" w:eastAsia="Times New Roman" w:hAnsi="Times New Roman"/>
          <w:sz w:val="15"/>
          <w:szCs w:val="15"/>
          <w:b w:val="1"/>
          <w:bCs w:val="1"/>
          <w:i w:val="1"/>
          <w:iCs w:val="1"/>
          <w:color w:val="auto"/>
        </w:rPr>
        <w:t>Charter</w:t>
      </w:r>
      <w:r>
        <w:rPr>
          <w:rFonts w:ascii="Times New Roman" w:cs="Times New Roman" w:eastAsia="Times New Roman" w:hAnsi="Times New Roman"/>
          <w:sz w:val="15"/>
          <w:szCs w:val="15"/>
          <w:color w:val="auto"/>
        </w:rPr>
        <w:t>”), certified as of a recent date by the State Department of Assessments and Taxation of Maryland (the “</w:t>
      </w:r>
      <w:r>
        <w:rPr>
          <w:rFonts w:ascii="Times New Roman" w:cs="Times New Roman" w:eastAsia="Times New Roman" w:hAnsi="Times New Roman"/>
          <w:sz w:val="15"/>
          <w:szCs w:val="15"/>
          <w:b w:val="1"/>
          <w:bCs w:val="1"/>
          <w:i w:val="1"/>
          <w:iCs w:val="1"/>
          <w:color w:val="auto"/>
        </w:rPr>
        <w:t>SDAT</w:t>
      </w:r>
      <w:r>
        <w:rPr>
          <w:rFonts w:ascii="Times New Roman" w:cs="Times New Roman" w:eastAsia="Times New Roman" w:hAnsi="Times New Roman"/>
          <w:sz w:val="15"/>
          <w:szCs w:val="15"/>
          <w:color w:val="auto"/>
        </w:rPr>
        <w:t>”);</w:t>
      </w:r>
    </w:p>
    <w:p>
      <w:pPr>
        <w:spacing w:after="0" w:line="125"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Third Amended and Restated Bylaws of the Company, certified as of the date hereof by an officer of the Company (the “</w:t>
      </w:r>
      <w:r>
        <w:rPr>
          <w:rFonts w:ascii="Times New Roman" w:cs="Times New Roman" w:eastAsia="Times New Roman" w:hAnsi="Times New Roman"/>
          <w:sz w:val="15"/>
          <w:szCs w:val="15"/>
          <w:b w:val="1"/>
          <w:bCs w:val="1"/>
          <w:i w:val="1"/>
          <w:iCs w:val="1"/>
          <w:color w:val="auto"/>
        </w:rPr>
        <w:t>Bylaws</w:t>
      </w:r>
      <w:r>
        <w:rPr>
          <w:rFonts w:ascii="Times New Roman" w:cs="Times New Roman" w:eastAsia="Times New Roman" w:hAnsi="Times New Roman"/>
          <w:sz w:val="15"/>
          <w:szCs w:val="15"/>
          <w:color w:val="auto"/>
        </w:rPr>
        <w:t>”);</w:t>
      </w:r>
    </w:p>
    <w:p>
      <w:pPr>
        <w:spacing w:after="0" w:line="192"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Base Indenture;</w:t>
      </w:r>
    </w:p>
    <w:p>
      <w:pPr>
        <w:spacing w:after="0" w:line="184"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Certificate of Good Standing with respect to the Company issued by the SDAT as of a recent date (the “</w:t>
      </w:r>
      <w:r>
        <w:rPr>
          <w:rFonts w:ascii="Times New Roman" w:cs="Times New Roman" w:eastAsia="Times New Roman" w:hAnsi="Times New Roman"/>
          <w:sz w:val="15"/>
          <w:szCs w:val="15"/>
          <w:b w:val="1"/>
          <w:bCs w:val="1"/>
          <w:i w:val="1"/>
          <w:iCs w:val="1"/>
          <w:color w:val="auto"/>
        </w:rPr>
        <w:t>Certificate of Good Standing</w:t>
      </w:r>
      <w:r>
        <w:rPr>
          <w:rFonts w:ascii="Times New Roman" w:cs="Times New Roman" w:eastAsia="Times New Roman" w:hAnsi="Times New Roman"/>
          <w:sz w:val="15"/>
          <w:szCs w:val="15"/>
          <w:color w:val="auto"/>
        </w:rPr>
        <w:t>”); and</w:t>
      </w:r>
    </w:p>
    <w:p>
      <w:pPr>
        <w:spacing w:after="0" w:line="188" w:lineRule="exact"/>
        <w:rPr>
          <w:rFonts w:ascii="Times New Roman" w:cs="Times New Roman" w:eastAsia="Times New Roman" w:hAnsi="Times New Roman"/>
          <w:sz w:val="15"/>
          <w:szCs w:val="15"/>
          <w:color w:val="auto"/>
        </w:rPr>
      </w:pPr>
    </w:p>
    <w:p>
      <w:pPr>
        <w:jc w:val="both"/>
        <w:ind w:left="1080" w:hanging="548"/>
        <w:spacing w:after="0" w:line="270" w:lineRule="auto"/>
        <w:tabs>
          <w:tab w:leader="none" w:pos="108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resolutions of the board of directors of the Company (the “</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color w:val="auto"/>
        </w:rPr>
        <w:t>”) relating to, among other things, (a) the authorization and approval of the preparation and filing of the Registration Statement, (b) the authorization of the issuance, offer and sale of the Securities pursuant to the Registration Statement, and (c) the authorization, execution and delivery of the Base Indenture, certified as of the date hereof by an officer of the Company (collectively, the “</w:t>
      </w:r>
      <w:r>
        <w:rPr>
          <w:rFonts w:ascii="Times New Roman" w:cs="Times New Roman" w:eastAsia="Times New Roman" w:hAnsi="Times New Roman"/>
          <w:sz w:val="15"/>
          <w:szCs w:val="15"/>
          <w:b w:val="1"/>
          <w:bCs w:val="1"/>
          <w:i w:val="1"/>
          <w:iCs w:val="1"/>
          <w:color w:val="auto"/>
        </w:rPr>
        <w:t>Resolutions</w:t>
      </w:r>
      <w:r>
        <w:rPr>
          <w:rFonts w:ascii="Times New Roman" w:cs="Times New Roman" w:eastAsia="Times New Roman" w:hAnsi="Times New Roman"/>
          <w:sz w:val="15"/>
          <w:szCs w:val="15"/>
          <w:color w:val="auto"/>
        </w:rPr>
        <w:t>”).</w:t>
      </w:r>
    </w:p>
    <w:p>
      <w:pPr>
        <w:spacing w:after="0" w:line="144" w:lineRule="exact"/>
        <w:rPr>
          <w:sz w:val="20"/>
          <w:szCs w:val="20"/>
          <w:color w:val="auto"/>
        </w:rPr>
      </w:pPr>
    </w:p>
    <w:p>
      <w:pPr>
        <w:jc w:val="both"/>
        <w:ind w:firstLine="541"/>
        <w:spacing w:after="0" w:line="257" w:lineRule="auto"/>
        <w:rPr>
          <w:sz w:val="20"/>
          <w:szCs w:val="20"/>
          <w:color w:val="auto"/>
        </w:rPr>
      </w:pPr>
      <w:r>
        <w:rPr>
          <w:rFonts w:ascii="Times New Roman" w:cs="Times New Roman" w:eastAsia="Times New Roman" w:hAnsi="Times New Roman"/>
          <w:sz w:val="15"/>
          <w:szCs w:val="15"/>
          <w:color w:val="auto"/>
        </w:rPr>
        <w:t>With respect to such examination and our opinions expressed herein, we have assumed, without any independent investigation or verification, (i) the genuineness of all signatures on all documents submitted to us for examination, (ii) the legal capacity of all natural persons, (iii) the authenticity of all documents submitted to us as originals, (iv) the conformity to original documents of all documents submitted to us as conformed or reproduced copies and the authenticity of the originals of such copied documents, (v) that all certificates issued by public officials have been properly issued, (vi) that each Supplemental Indenture, the Rights Agreements and the Warrant Agreements will be governed by the laws of the State of New York and (vii) that the Indenture, the Rights Agreements and the Warrant Agreements will be a valid and legally binding obligation of all parties thereto (other than the Company). We also have assumed, without independent investigation or verification, the accuracy and completeness of all corporate records made available to us by the Company.</w:t>
      </w:r>
    </w:p>
    <w:p>
      <w:pPr>
        <w:spacing w:after="0" w:line="155"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color w:val="auto"/>
        </w:rPr>
        <w:t>As to certain matters of fact relevant to the opinions in this opinion letter, we have relied upon certificates and confirmations of public officials (which we have assumed remain accurate as of the date of this opinion) and upon certificates of officers of the Company. We have not independently established the facts, or in the case of certificates or confirmations of public officials, the other statements, so relied upon.</w:t>
      </w:r>
    </w:p>
    <w:p>
      <w:pPr>
        <w:spacing w:after="0" w:line="142" w:lineRule="exact"/>
        <w:rPr>
          <w:sz w:val="20"/>
          <w:szCs w:val="20"/>
          <w:color w:val="auto"/>
        </w:rPr>
      </w:pPr>
    </w:p>
    <w:p>
      <w:pPr>
        <w:jc w:val="both"/>
        <w:ind w:firstLine="541"/>
        <w:spacing w:after="0" w:line="263" w:lineRule="auto"/>
        <w:rPr>
          <w:sz w:val="20"/>
          <w:szCs w:val="20"/>
          <w:color w:val="auto"/>
        </w:rPr>
      </w:pPr>
      <w:r>
        <w:rPr>
          <w:rFonts w:ascii="Times New Roman" w:cs="Times New Roman" w:eastAsia="Times New Roman" w:hAnsi="Times New Roman"/>
          <w:sz w:val="15"/>
          <w:szCs w:val="15"/>
          <w:color w:val="auto"/>
        </w:rPr>
        <w:t xml:space="preserve">The opinions set forth below are limited to the effect of the Maryland General Corporation Law (the </w:t>
      </w:r>
      <w:r>
        <w:rPr>
          <w:rFonts w:ascii="Times New Roman" w:cs="Times New Roman" w:eastAsia="Times New Roman" w:hAnsi="Times New Roman"/>
          <w:sz w:val="15"/>
          <w:szCs w:val="15"/>
          <w:b w:val="1"/>
          <w:bCs w:val="1"/>
          <w:i w:val="1"/>
          <w:iCs w:val="1"/>
          <w:color w:val="auto"/>
        </w:rPr>
        <w:t>“MGCL”</w:t>
      </w:r>
      <w:r>
        <w:rPr>
          <w:rFonts w:ascii="Times New Roman" w:cs="Times New Roman" w:eastAsia="Times New Roman" w:hAnsi="Times New Roman"/>
          <w:sz w:val="15"/>
          <w:szCs w:val="15"/>
          <w:color w:val="auto"/>
        </w:rPr>
        <w:t>), and, as to the Debt Securities, the Rights and the Warrants constituting valid and legally binding obligations of the Company, the contract laws of the State of New York, in each case, as in effect on the date hereof, and we express no opinion as to the applicability or effect of any other laws of Maryland or the laws of any other jurisdictions. Without limiting the preceding sentence, we express no opinion as to any federal or state securities or broker-dealer laws or regulations thereunder relating to the offer, issuance and sale of the Securities pursuant to the Registration Statement.</w:t>
      </w:r>
    </w:p>
    <w:p>
      <w:pPr>
        <w:spacing w:after="0" w:line="150" w:lineRule="exact"/>
        <w:rPr>
          <w:sz w:val="20"/>
          <w:szCs w:val="20"/>
          <w:color w:val="auto"/>
        </w:rPr>
      </w:pPr>
    </w:p>
    <w:p>
      <w:pPr>
        <w:jc w:val="both"/>
        <w:ind w:right="20" w:firstLine="541"/>
        <w:spacing w:after="0" w:line="283" w:lineRule="auto"/>
        <w:rPr>
          <w:sz w:val="20"/>
          <w:szCs w:val="20"/>
          <w:color w:val="auto"/>
        </w:rPr>
      </w:pPr>
      <w:r>
        <w:rPr>
          <w:rFonts w:ascii="Times New Roman" w:cs="Times New Roman" w:eastAsia="Times New Roman" w:hAnsi="Times New Roman"/>
          <w:sz w:val="15"/>
          <w:szCs w:val="15"/>
          <w:color w:val="auto"/>
        </w:rPr>
        <w:t>This opinion letter has been prepared, and should be interpreted, in accordance with customary practice followed in the preparation of opinion letters by lawyers who regularly give, and such customary practice followed by lawyers who on behalf of their clients regularly advise opinion recipients regarding, opinion letters of this kind.</w:t>
      </w:r>
    </w:p>
    <w:p>
      <w:pPr>
        <w:spacing w:after="0" w:line="135" w:lineRule="exact"/>
        <w:rPr>
          <w:sz w:val="20"/>
          <w:szCs w:val="20"/>
          <w:color w:val="auto"/>
        </w:rPr>
      </w:pPr>
    </w:p>
    <w:p>
      <w:pPr>
        <w:jc w:val="both"/>
        <w:ind w:firstLine="541"/>
        <w:spacing w:after="0" w:line="261" w:lineRule="auto"/>
        <w:rPr>
          <w:sz w:val="20"/>
          <w:szCs w:val="20"/>
          <w:color w:val="auto"/>
        </w:rPr>
      </w:pPr>
      <w:r>
        <w:rPr>
          <w:rFonts w:ascii="Times New Roman" w:cs="Times New Roman" w:eastAsia="Times New Roman" w:hAnsi="Times New Roman"/>
          <w:sz w:val="15"/>
          <w:szCs w:val="15"/>
          <w:color w:val="auto"/>
        </w:rPr>
        <w:t>The opinions expressed in paragraphs 3, 4 and 5 below are subject to the effect of (i) applicable bankruptcy, insolvency, reorganization, receivership, moratorium, fraudulent conveyance, and other similar laws affecting the rights and remedies of creditors generally, (ii) general principles of equity (including, without limitation, the availability of specific performance or injunctive relief and the application of concepts of materiality, reasonableness, good faith and fair dealing), regardless of whether considered in a proceeding at law or in equity and (iii) federal and state securities laws or principles of public policy that may limit enforcement of rights to indemnity, contribution and exculpation.</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24" w:name="page125"/>
    <w:bookmarkEnd w:id="124"/>
    <w:p>
      <w:pPr>
        <w:ind w:firstLine="541"/>
        <w:spacing w:after="0" w:line="283" w:lineRule="auto"/>
        <w:rPr>
          <w:sz w:val="20"/>
          <w:szCs w:val="20"/>
          <w:color w:val="auto"/>
        </w:rPr>
      </w:pPr>
      <w:r>
        <w:rPr>
          <w:rFonts w:ascii="Times New Roman" w:cs="Times New Roman" w:eastAsia="Times New Roman" w:hAnsi="Times New Roman"/>
          <w:sz w:val="15"/>
          <w:szCs w:val="15"/>
          <w:color w:val="auto"/>
        </w:rPr>
        <w:t>On the basis of and subject to the foregoing, and in reliance thereon, and subject to the assumptions, limitations and qualifications set forth in this opinion letter, and further assuming that:</w:t>
      </w:r>
    </w:p>
    <w:p>
      <w:pPr>
        <w:spacing w:after="0" w:line="135" w:lineRule="exact"/>
        <w:rPr>
          <w:sz w:val="20"/>
          <w:szCs w:val="20"/>
          <w:color w:val="auto"/>
        </w:rPr>
      </w:pPr>
    </w:p>
    <w:p>
      <w:pPr>
        <w:jc w:val="both"/>
        <w:ind w:left="1080" w:hanging="548"/>
        <w:spacing w:after="0" w:line="261" w:lineRule="auto"/>
        <w:tabs>
          <w:tab w:leader="none" w:pos="10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Articles Supplementary classifying and designating the number of shares and the terms of any class or series of the Preferred Stock to be issued by the Company (the </w:t>
      </w:r>
      <w:r>
        <w:rPr>
          <w:rFonts w:ascii="Times New Roman" w:cs="Times New Roman" w:eastAsia="Times New Roman" w:hAnsi="Times New Roman"/>
          <w:sz w:val="15"/>
          <w:szCs w:val="15"/>
          <w:b w:val="1"/>
          <w:bCs w:val="1"/>
          <w:i w:val="1"/>
          <w:iCs w:val="1"/>
          <w:color w:val="auto"/>
        </w:rPr>
        <w:t>“Articles Supplementary”</w:t>
      </w:r>
      <w:r>
        <w:rPr>
          <w:rFonts w:ascii="Times New Roman" w:cs="Times New Roman" w:eastAsia="Times New Roman" w:hAnsi="Times New Roman"/>
          <w:sz w:val="15"/>
          <w:szCs w:val="15"/>
          <w:color w:val="auto"/>
        </w:rPr>
        <w:t>) will have been duly authorized and determined or otherwise established by proper action of the Board or a duly authorized committee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thereof in accordance with the Charter and the Bylaws and will have been filed with and accepted for record by the SDAT prior to the issuance of any such Preferred Stock, and such Articles Supplementary complies with the applicable requirements with respect thereto under the MGCL, the Charter and the Bylaws;</w:t>
      </w:r>
    </w:p>
    <w:p>
      <w:pPr>
        <w:spacing w:after="0" w:line="151" w:lineRule="exact"/>
        <w:rPr>
          <w:rFonts w:ascii="Times New Roman" w:cs="Times New Roman" w:eastAsia="Times New Roman" w:hAnsi="Times New Roman"/>
          <w:sz w:val="15"/>
          <w:szCs w:val="15"/>
          <w:color w:val="auto"/>
        </w:rPr>
      </w:pPr>
    </w:p>
    <w:p>
      <w:pPr>
        <w:ind w:left="1080" w:right="20" w:hanging="548"/>
        <w:spacing w:after="0" w:line="283" w:lineRule="auto"/>
        <w:tabs>
          <w:tab w:leader="none" w:pos="10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Supplemental Indenture will have been duly authorized, executed and delivered by each of the Company and the Trustee in accordance with the terms of the Base Indenture;</w:t>
      </w:r>
    </w:p>
    <w:p>
      <w:pPr>
        <w:spacing w:after="0" w:line="134"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Supplemental Indenture will constitute a valid and legally binding obligation of each of the Company and the Trustee;</w:t>
      </w:r>
    </w:p>
    <w:p>
      <w:pPr>
        <w:spacing w:after="0" w:line="188" w:lineRule="exact"/>
        <w:rPr>
          <w:rFonts w:ascii="Times New Roman" w:cs="Times New Roman" w:eastAsia="Times New Roman" w:hAnsi="Times New Roman"/>
          <w:sz w:val="15"/>
          <w:szCs w:val="15"/>
          <w:color w:val="auto"/>
        </w:rPr>
      </w:pPr>
    </w:p>
    <w:p>
      <w:pPr>
        <w:ind w:left="1080" w:hanging="548"/>
        <w:spacing w:after="0" w:line="283" w:lineRule="auto"/>
        <w:tabs>
          <w:tab w:leader="none" w:pos="10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Warrant Agreement, including any amendments or supplements thereto, and the Warrants issued thereunder will have been duly authorized, executed and delivered by each of the Company and the other parties thereto in accordance with the terms of such Warrant Agreement;</w:t>
      </w:r>
    </w:p>
    <w:p>
      <w:pPr>
        <w:spacing w:after="0" w:line="134"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Warrant Agreement will constitute a valid and legally binding obligation of each of the Company and the other parties thereto;</w:t>
      </w:r>
    </w:p>
    <w:p>
      <w:pPr>
        <w:spacing w:after="0" w:line="188" w:lineRule="exact"/>
        <w:rPr>
          <w:rFonts w:ascii="Times New Roman" w:cs="Times New Roman" w:eastAsia="Times New Roman" w:hAnsi="Times New Roman"/>
          <w:sz w:val="15"/>
          <w:szCs w:val="15"/>
          <w:color w:val="auto"/>
        </w:rPr>
      </w:pPr>
    </w:p>
    <w:p>
      <w:pPr>
        <w:ind w:left="1080" w:hanging="548"/>
        <w:spacing w:after="0" w:line="283" w:lineRule="auto"/>
        <w:tabs>
          <w:tab w:leader="none" w:pos="10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Rights Agreement, including any amendments or supplements thereto, and the Rights issued thereunder will have been duly authorized, executed and delivered by each of the Company and the other parties thereto in accordance with the terms of the Rights Agreement;</w:t>
      </w:r>
    </w:p>
    <w:p>
      <w:pPr>
        <w:spacing w:after="0" w:line="134"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Rights Agreement will constitute a valid and legally binding obligation of each of the Company and the other parties thereto;</w:t>
      </w:r>
    </w:p>
    <w:p>
      <w:pPr>
        <w:spacing w:after="0" w:line="188" w:lineRule="exact"/>
        <w:rPr>
          <w:rFonts w:ascii="Times New Roman" w:cs="Times New Roman" w:eastAsia="Times New Roman" w:hAnsi="Times New Roman"/>
          <w:sz w:val="15"/>
          <w:szCs w:val="15"/>
          <w:color w:val="auto"/>
        </w:rPr>
      </w:pPr>
    </w:p>
    <w:p>
      <w:pPr>
        <w:jc w:val="both"/>
        <w:ind w:left="1080" w:hanging="548"/>
        <w:spacing w:after="0" w:line="257" w:lineRule="auto"/>
        <w:tabs>
          <w:tab w:leader="none" w:pos="10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offer and sale of the Securities from time to time and the final terms of such issuance, offer and sale, including those relating to price and amount of the Securities to be issued, offered and sold, and certain terms thereof, will have been duly authorized and determined or otherwise established by proper action of the Board or a duly authorized committee thereof in accordance with the Charter, if applicable, the Articles Supplementary, if applicable, the Indenture, if applicable, the Warrant Agreement, if applicable, the Rights Agreement, if applicable, and the Bylaws, if applicable, and are consistent with the terms and conditions for such issuance, offer and sale set forth in the Resolutions and the descriptions thereof in the Registration Statement, the Prospectus and the applicable Prospectus Supplement (such authorization or action being hereinafter referred to as the “</w:t>
      </w:r>
      <w:r>
        <w:rPr>
          <w:rFonts w:ascii="Times New Roman" w:cs="Times New Roman" w:eastAsia="Times New Roman" w:hAnsi="Times New Roman"/>
          <w:sz w:val="15"/>
          <w:szCs w:val="15"/>
          <w:b w:val="1"/>
          <w:bCs w:val="1"/>
          <w:i w:val="1"/>
          <w:iCs w:val="1"/>
          <w:color w:val="auto"/>
        </w:rPr>
        <w:t>Corporate Proceedings</w:t>
      </w:r>
      <w:r>
        <w:rPr>
          <w:rFonts w:ascii="Times New Roman" w:cs="Times New Roman" w:eastAsia="Times New Roman" w:hAnsi="Times New Roman"/>
          <w:sz w:val="15"/>
          <w:szCs w:val="15"/>
          <w:color w:val="auto"/>
        </w:rPr>
        <w:t>”);</w:t>
      </w:r>
    </w:p>
    <w:p>
      <w:pPr>
        <w:spacing w:after="0" w:line="154" w:lineRule="exact"/>
        <w:rPr>
          <w:rFonts w:ascii="Times New Roman" w:cs="Times New Roman" w:eastAsia="Times New Roman" w:hAnsi="Times New Roman"/>
          <w:sz w:val="15"/>
          <w:szCs w:val="15"/>
          <w:color w:val="auto"/>
        </w:rPr>
      </w:pPr>
    </w:p>
    <w:p>
      <w:pPr>
        <w:jc w:val="both"/>
        <w:ind w:left="1080" w:hanging="548"/>
        <w:spacing w:after="0" w:line="267" w:lineRule="auto"/>
        <w:tabs>
          <w:tab w:leader="none" w:pos="10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the Preferred Shares, the Debt Securities, the Warrants and the Rights as established and the issuance thereof (a) will not violate any applicable law, (b) will not violate or result in a default under or breach of any agreement, instrument or other document binding upon the Company, and (c) will comply with all requirements or restrictions imposed by any court or governmental body having jurisdiction over the Company;</w:t>
      </w:r>
    </w:p>
    <w:p>
      <w:pPr>
        <w:spacing w:after="0" w:line="146"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Preferred Shares, the Debt Securities, the Warrants or the Rights will include any provision that is unenforceable against the Company;</w:t>
      </w:r>
    </w:p>
    <w:p>
      <w:pPr>
        <w:spacing w:after="0" w:line="188" w:lineRule="exact"/>
        <w:rPr>
          <w:rFonts w:ascii="Times New Roman" w:cs="Times New Roman" w:eastAsia="Times New Roman" w:hAnsi="Times New Roman"/>
          <w:sz w:val="15"/>
          <w:szCs w:val="15"/>
          <w:color w:val="auto"/>
        </w:rPr>
      </w:pPr>
    </w:p>
    <w:p>
      <w:pPr>
        <w:ind w:left="1080" w:hanging="548"/>
        <w:spacing w:after="0" w:line="283" w:lineRule="auto"/>
        <w:tabs>
          <w:tab w:leader="none" w:pos="10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issuance of the Debt Securities will have been duly executed by the Company and duly authenticated by the Trustee in accordance with the Base Indenture, as supplemented by the applicable Supplemental Indenture;</w:t>
      </w:r>
    </w:p>
    <w:p>
      <w:pPr>
        <w:spacing w:after="0" w:line="134"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issuance of the Warrants will have been duly executed by the Company and duly authenticated in accordance with the Warrant Agreement;</w:t>
      </w:r>
    </w:p>
    <w:p>
      <w:pPr>
        <w:spacing w:after="0" w:line="188" w:lineRule="exact"/>
        <w:rPr>
          <w:rFonts w:ascii="Times New Roman" w:cs="Times New Roman" w:eastAsia="Times New Roman" w:hAnsi="Times New Roman"/>
          <w:sz w:val="15"/>
          <w:szCs w:val="15"/>
          <w:color w:val="auto"/>
        </w:rPr>
      </w:pPr>
    </w:p>
    <w:p>
      <w:pPr>
        <w:ind w:left="1080" w:hanging="548"/>
        <w:spacing w:after="0"/>
        <w:tabs>
          <w:tab w:leader="none" w:pos="10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issuance of the Rights will have been duly executed by the Company and duly authenticated in accordance with the Rights Agreement;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25" w:name="page126"/>
    <w:bookmarkEnd w:id="125"/>
    <w:p>
      <w:pPr>
        <w:jc w:val="both"/>
        <w:ind w:left="548" w:right="20" w:hanging="548"/>
        <w:spacing w:after="0" w:line="267" w:lineRule="auto"/>
        <w:tabs>
          <w:tab w:leader="none" w:pos="548"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Common Shares, Preferred Shares, Warrants or Rights issued and sold pursuant to the Registration Statement, including upon the exercise of any Securities convertible into or exercisable for Common Shares or Preferred Shares, will have been delivered to, and the agreed consideration has been fully paid at the time of such delivery by, the purchasers thereof;</w:t>
      </w:r>
    </w:p>
    <w:p>
      <w:pPr>
        <w:spacing w:after="0" w:line="146" w:lineRule="exact"/>
        <w:rPr>
          <w:rFonts w:ascii="Times New Roman" w:cs="Times New Roman" w:eastAsia="Times New Roman" w:hAnsi="Times New Roman"/>
          <w:sz w:val="15"/>
          <w:szCs w:val="15"/>
          <w:color w:val="auto"/>
        </w:rPr>
      </w:pPr>
    </w:p>
    <w:p>
      <w:pPr>
        <w:jc w:val="both"/>
        <w:ind w:left="548" w:hanging="548"/>
        <w:spacing w:after="0" w:line="261" w:lineRule="auto"/>
        <w:tabs>
          <w:tab w:leader="none" w:pos="548"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issuance of any Common Shares or Preferred Shares by the Company pursuant to the Registration Statement, including upon the exercise of any Securities convertible into or exercisable for Common Shares or Preferred Shares, the total number of shares of Common Stock or Preferred Stock, as applicable, issued and outstanding will not exceed the total number of shares of Common Stock or Preferred Stock, as applicable, that the Company is then authorized to issue under the Charter;</w:t>
      </w:r>
    </w:p>
    <w:p>
      <w:pPr>
        <w:spacing w:after="0" w:line="151" w:lineRule="exact"/>
        <w:rPr>
          <w:rFonts w:ascii="Times New Roman" w:cs="Times New Roman" w:eastAsia="Times New Roman" w:hAnsi="Times New Roman"/>
          <w:sz w:val="15"/>
          <w:szCs w:val="15"/>
          <w:color w:val="auto"/>
        </w:rPr>
      </w:pPr>
    </w:p>
    <w:p>
      <w:pPr>
        <w:ind w:left="548" w:hanging="548"/>
        <w:spacing w:after="0" w:line="283" w:lineRule="auto"/>
        <w:tabs>
          <w:tab w:leader="none" w:pos="548"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time of any issuance of the Preferred Shares or Debt Securities, after giving effect to such issuance, the Company will be in compliance with Section 18(a)(1)(A) of the Investment Company Act of 1940, as amended, giving effect to Section 61(a)(1) thereof; and</w:t>
      </w:r>
    </w:p>
    <w:p>
      <w:pPr>
        <w:spacing w:after="0" w:line="134" w:lineRule="exact"/>
        <w:rPr>
          <w:rFonts w:ascii="Times New Roman" w:cs="Times New Roman" w:eastAsia="Times New Roman" w:hAnsi="Times New Roman"/>
          <w:sz w:val="15"/>
          <w:szCs w:val="15"/>
          <w:color w:val="auto"/>
        </w:rPr>
      </w:pPr>
    </w:p>
    <w:p>
      <w:pPr>
        <w:ind w:left="548" w:right="20" w:hanging="548"/>
        <w:spacing w:after="0" w:line="283" w:lineRule="auto"/>
        <w:tabs>
          <w:tab w:leader="none" w:pos="548"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Certificate of Good Standing remains accurate, the Resolutions and the applicable Corporate Proceedings remain in effect, without amendment, and the Registration Statement will have become effective under the Securities Act and remains effective at the time of the issuance, offer and/or sale of the Securities,</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we are of the opinion that:</w:t>
      </w:r>
    </w:p>
    <w:p>
      <w:pPr>
        <w:spacing w:after="0" w:line="188" w:lineRule="exact"/>
        <w:rPr>
          <w:sz w:val="20"/>
          <w:szCs w:val="20"/>
          <w:color w:val="auto"/>
        </w:rPr>
      </w:pPr>
    </w:p>
    <w:p>
      <w:pPr>
        <w:jc w:val="both"/>
        <w:ind w:left="548" w:hanging="548"/>
        <w:spacing w:after="0" w:line="267" w:lineRule="auto"/>
        <w:tabs>
          <w:tab w:leader="none" w:pos="548"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completion of all Corporate Proceedings relating thereto, the issuance of the Common Shares by the Company will be duly authorized and, when issued and paid for in accordance with the Registration Statement, the Prospectus, the applicable Prospectus Supplement, the Resolutions and all Corporate Proceedings relating thereto, the Common Shares will be validly issued, fully paid and non-assessable.</w:t>
      </w:r>
    </w:p>
    <w:p>
      <w:pPr>
        <w:spacing w:after="0" w:line="146" w:lineRule="exact"/>
        <w:rPr>
          <w:rFonts w:ascii="Times New Roman" w:cs="Times New Roman" w:eastAsia="Times New Roman" w:hAnsi="Times New Roman"/>
          <w:sz w:val="15"/>
          <w:szCs w:val="15"/>
          <w:color w:val="auto"/>
        </w:rPr>
      </w:pPr>
    </w:p>
    <w:p>
      <w:pPr>
        <w:jc w:val="both"/>
        <w:ind w:left="548" w:hanging="548"/>
        <w:spacing w:after="0" w:line="267" w:lineRule="auto"/>
        <w:tabs>
          <w:tab w:leader="none" w:pos="548"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completion of all Corporate Proceedings relating thereto, the issuance of the Preferred Shares will be duly authorized and, when issued and paid for in accordance with the Registration Statement, the Prospectus, the applicable Prospectus Supplement, the Resolutions and all Corporate Proceedings relating thereto, the Preferred Shares will be validly issued, fully paid and non-assessable.</w:t>
      </w:r>
    </w:p>
    <w:p>
      <w:pPr>
        <w:spacing w:after="0" w:line="146" w:lineRule="exact"/>
        <w:rPr>
          <w:rFonts w:ascii="Times New Roman" w:cs="Times New Roman" w:eastAsia="Times New Roman" w:hAnsi="Times New Roman"/>
          <w:sz w:val="15"/>
          <w:szCs w:val="15"/>
          <w:color w:val="auto"/>
        </w:rPr>
      </w:pPr>
    </w:p>
    <w:p>
      <w:pPr>
        <w:jc w:val="both"/>
        <w:ind w:left="548" w:hanging="548"/>
        <w:spacing w:after="0" w:line="267" w:lineRule="auto"/>
        <w:tabs>
          <w:tab w:leader="none" w:pos="548"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completion of all Corporate Proceedings relating thereto, the issuance of the Rights will be duly authorized and when issued and paid for in accordance with the applicable Rights Agreement, the Registration Statement, the Prospectus, the applicable Prospectus Supplement, the Resolutions, and all Corporate Proceedings relating thereto, the Rights will constitute valid and legally binding obligations of the Company.</w:t>
      </w:r>
    </w:p>
    <w:p>
      <w:pPr>
        <w:spacing w:after="0" w:line="146" w:lineRule="exact"/>
        <w:rPr>
          <w:rFonts w:ascii="Times New Roman" w:cs="Times New Roman" w:eastAsia="Times New Roman" w:hAnsi="Times New Roman"/>
          <w:sz w:val="15"/>
          <w:szCs w:val="15"/>
          <w:color w:val="auto"/>
        </w:rPr>
      </w:pPr>
    </w:p>
    <w:p>
      <w:pPr>
        <w:jc w:val="both"/>
        <w:ind w:left="548" w:right="20" w:hanging="548"/>
        <w:spacing w:after="0" w:line="267" w:lineRule="auto"/>
        <w:tabs>
          <w:tab w:leader="none" w:pos="548"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completion of all Corporate Proceedings relating thereto, the issuance of the Debt Securities will be duly authorized and, when issued and paid for in accordance with the Base Indenture, the applicable Supplemental Indenture, the Registration Statement, the Prospectus, the applicable Prospectus Supplement, the Resolutions and all Corporate Proceedings relating thereto, the Debt Securities will constitute valid and legally binding obligations of the Company.</w:t>
      </w:r>
    </w:p>
    <w:p>
      <w:pPr>
        <w:spacing w:after="0" w:line="146" w:lineRule="exact"/>
        <w:rPr>
          <w:rFonts w:ascii="Times New Roman" w:cs="Times New Roman" w:eastAsia="Times New Roman" w:hAnsi="Times New Roman"/>
          <w:sz w:val="15"/>
          <w:szCs w:val="15"/>
          <w:color w:val="auto"/>
        </w:rPr>
      </w:pPr>
    </w:p>
    <w:p>
      <w:pPr>
        <w:jc w:val="both"/>
        <w:ind w:left="548" w:hanging="548"/>
        <w:spacing w:after="0" w:line="267" w:lineRule="auto"/>
        <w:tabs>
          <w:tab w:leader="none" w:pos="548"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completion of all Corporate Proceedings relating thereto, the issuance of the Warrants will be duly authorized and, when issued and paid for in accordance with the applicable Warrant Agreement, the Registration Statement, the Prospectus, the applicable Prospectus Supplement, the Resolutions and all Corporate Proceedings relating thereto, the Warrants will constitute valid and legally binding obligations of the Company.</w:t>
      </w:r>
    </w:p>
    <w:p>
      <w:pPr>
        <w:spacing w:after="0" w:line="327" w:lineRule="exact"/>
        <w:rPr>
          <w:sz w:val="20"/>
          <w:szCs w:val="20"/>
          <w:color w:val="auto"/>
        </w:rPr>
      </w:pPr>
    </w:p>
    <w:p>
      <w:pPr>
        <w:jc w:val="center"/>
        <w:ind w:right="532"/>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14605</wp:posOffset>
            </wp:positionV>
            <wp:extent cx="7155180" cy="146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728"/>
          </w:cols>
          <w:pgMar w:left="852" w:top="779" w:right="319" w:bottom="1440" w:gutter="0" w:footer="0" w:header="0"/>
        </w:sectPr>
      </w:pPr>
    </w:p>
    <w:bookmarkStart w:id="126" w:name="page127"/>
    <w:bookmarkEnd w:id="126"/>
    <w:p>
      <w:pPr>
        <w:jc w:val="both"/>
        <w:ind w:firstLine="541"/>
        <w:spacing w:after="0" w:line="261" w:lineRule="auto"/>
        <w:rPr>
          <w:sz w:val="20"/>
          <w:szCs w:val="20"/>
          <w:color w:val="auto"/>
        </w:rPr>
      </w:pPr>
      <w:r>
        <w:rPr>
          <w:rFonts w:ascii="Times New Roman" w:cs="Times New Roman" w:eastAsia="Times New Roman" w:hAnsi="Times New Roman"/>
          <w:sz w:val="15"/>
          <w:szCs w:val="15"/>
          <w:color w:val="auto"/>
        </w:rPr>
        <w:t>The opinions expressed in this opinion letter are (i) strictly limited to the matters stated in this opinion letter, and without limiting the foregoing, no other opinions are to be inferred and (ii) only as of the date of this opinion letter, and we are under no obligation, and do not undertake, to advise the Company or any other person or entity either of any change of law or fact that occurs, or of any fact that comes to our attention, after the date of this opinion letter, even though such change or such fact may affect the legal analysis or a legal conclusion in this opinion letter.</w:t>
      </w:r>
    </w:p>
    <w:p>
      <w:pPr>
        <w:spacing w:after="0" w:line="152"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We hereby consent to the filing of this opinion letter as an exhibit to the Registration Statement and to the reference to our firm in the “Legal Matters” section of the Registration Statement. We do not admit by giving this consent that we are in the category of persons whose consent is required under Section 7 of the Securities Act.</w:t>
      </w:r>
    </w:p>
    <w:p>
      <w:pPr>
        <w:spacing w:after="0" w:line="13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Respectfully submitted,</w:t>
      </w:r>
    </w:p>
    <w:p>
      <w:pPr>
        <w:spacing w:after="0" w:line="18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/s/ EVERSHEDS SUTHERLAND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21590</wp:posOffset>
            </wp:positionV>
            <wp:extent cx="285750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5">
                      <a:extLst>
                        <a:ext uri="{28A0092B-C50C-407E-A947-70E740481C1C}"/>
                      </a:extLst>
                    </a:blip>
                    <a:srcRect/>
                    <a:stretch>
                      <a:fillRect/>
                    </a:stretch>
                  </pic:blipFill>
                  <pic:spPr bwMode="auto">
                    <a:xfrm>
                      <a:off x="0" y="0"/>
                      <a:ext cx="2857500" cy="698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5"/>
          <w:szCs w:val="15"/>
          <w:b w:val="1"/>
          <w:bCs w:val="1"/>
          <w:color w:val="auto"/>
        </w:rPr>
        <w:t>Exhibit (n)(1)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Consent of Independent Registered Public Accounting Firm</w:t>
      </w:r>
    </w:p>
    <w:p>
      <w:pPr>
        <w:spacing w:after="0" w:line="18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We consent to the references to our firm under the captions “Independent Registered Public Accounting Firm” and “Senior Securities” in the Registration Statement, dated January 15, 2026, and included in this Registration Statement (Form N-2) of Saratoga Investment Corp (the “Registration Statement”).</w:t>
      </w:r>
    </w:p>
    <w:p>
      <w:pPr>
        <w:spacing w:after="0" w:line="1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also consent to the incorporation by reference of our reports dated May 7, 2025, with respect to the consolidated financial statements of Saratoga Investment Corp. and the effectiveness of internal control over financial reporting of Saratoga Investment Corp. included in the Annual Report (Form 10-K) for the year ended February 28, 2025, into this Registration Statement, filed with the Securities and Exchange Commission.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New York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January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372745</wp:posOffset>
            </wp:positionV>
            <wp:extent cx="7155180" cy="146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5"/>
          <w:szCs w:val="15"/>
          <w:b w:val="1"/>
          <w:bCs w:val="1"/>
          <w:color w:val="auto"/>
        </w:rPr>
        <w:t>Exhibit (n)(2)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267335</wp:posOffset>
            </wp:positionV>
            <wp:extent cx="701675" cy="3009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8">
                      <a:extLst>
                        <a:ext uri="{28A0092B-C50C-407E-A947-70E740481C1C}"/>
                      </a:extLst>
                    </a:blip>
                    <a:srcRect/>
                    <a:stretch>
                      <a:fillRect/>
                    </a:stretch>
                  </pic:blipFill>
                  <pic:spPr bwMode="auto">
                    <a:xfrm>
                      <a:off x="0" y="0"/>
                      <a:ext cx="701675" cy="300990"/>
                    </a:xfrm>
                    <a:prstGeom prst="rect">
                      <a:avLst/>
                    </a:prstGeom>
                    <a:noFill/>
                  </pic:spPr>
                </pic:pic>
              </a:graphicData>
            </a:graphic>
          </wp:anchor>
        </w:drawing>
        <w:drawing>
          <wp:anchor simplePos="0" relativeHeight="251657728" behindDoc="1" locked="0" layoutInCell="0" allowOverlap="1">
            <wp:simplePos x="0" y="0"/>
            <wp:positionH relativeFrom="column">
              <wp:posOffset>5544185</wp:posOffset>
            </wp:positionH>
            <wp:positionV relativeFrom="paragraph">
              <wp:posOffset>131445</wp:posOffset>
            </wp:positionV>
            <wp:extent cx="1604010" cy="436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9">
                      <a:extLst>
                        <a:ext uri="{28A0092B-C50C-407E-A947-70E740481C1C}"/>
                      </a:extLst>
                    </a:blip>
                    <a:srcRect/>
                    <a:stretch>
                      <a:fillRect/>
                    </a:stretch>
                  </pic:blipFill>
                  <pic:spPr bwMode="auto">
                    <a:xfrm>
                      <a:off x="0" y="0"/>
                      <a:ext cx="160401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Consent of Independent Auditors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consent to the incorporation by reference in this Registration Statement of Saratoga Investment Corp. on Form N-2 of our report dated May 7, 2025 with respect to the statements of assets and liabilities, including the schedules of investments, as of February 28, 2025 and February 29, 2024, and the related statements of operations, changes in net assets, and cash flows for the years ended February 28, 2025, February 29, 2024, and February 28, 2023, and the related notes to the financial statements of Saratoga Investment Corp. CLO 2013-1, Ltd. included in the Annual Report (Form 10-K) of Saratoga Investment Corp. for the year ended February 28,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also consent to the reference to our firm under the headings “Independent Auditors” and “Part C – Other Information” in such Prospectus.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CohnReznick LLP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Parsippany, New Jersey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January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7155180" cy="146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29" w:name="page130"/>
    <w:bookmarkEnd w:id="129"/>
    <w:p>
      <w:pPr>
        <w:ind w:left="10166"/>
        <w:spacing w:after="0"/>
        <w:rPr>
          <w:sz w:val="20"/>
          <w:szCs w:val="20"/>
          <w:color w:val="auto"/>
        </w:rPr>
      </w:pPr>
      <w:r>
        <w:rPr>
          <w:rFonts w:ascii="Times New Roman" w:cs="Times New Roman" w:eastAsia="Times New Roman" w:hAnsi="Times New Roman"/>
          <w:sz w:val="18"/>
          <w:szCs w:val="18"/>
          <w:b w:val="1"/>
          <w:bCs w:val="1"/>
          <w:color w:val="auto"/>
        </w:rPr>
        <w:t>Ex-Filing Fees</w:t>
      </w:r>
    </w:p>
    <w:p>
      <w:pPr>
        <w:spacing w:after="0" w:line="176"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86"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8"/>
          <w:szCs w:val="18"/>
          <w:b w:val="1"/>
          <w:bCs w:val="1"/>
          <w:color w:val="auto"/>
        </w:rPr>
        <w:t>N-2</w:t>
      </w:r>
    </w:p>
    <w:p>
      <w:pPr>
        <w:spacing w:after="0" w:line="86"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8"/>
          <w:szCs w:val="18"/>
          <w:b w:val="1"/>
          <w:bCs w:val="1"/>
          <w:color w:val="auto"/>
        </w:rPr>
        <w:t>Saratoga Investment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128905</wp:posOffset>
            </wp:positionV>
            <wp:extent cx="715518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1">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150495</wp:posOffset>
            </wp:positionV>
            <wp:extent cx="715518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2">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296"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Table 1: Newly Registered and Carry Forward Securities</w:t>
      </w:r>
    </w:p>
    <w:p>
      <w:pPr>
        <w:spacing w:after="0" w:line="74"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Filing Fee</w:t>
            </w:r>
          </w:p>
        </w:tc>
        <w:tc>
          <w:tcPr>
            <w:tcW w:w="0" w:type="dxa"/>
            <w:vAlign w:val="bottom"/>
          </w:tcPr>
          <w:p>
            <w:pPr>
              <w:spacing w:after="0"/>
              <w:rPr>
                <w:sz w:val="1"/>
                <w:szCs w:val="1"/>
                <w:color w:val="auto"/>
              </w:rPr>
            </w:pPr>
          </w:p>
        </w:tc>
      </w:tr>
      <w:tr>
        <w:trPr>
          <w:trHeight w:val="124"/>
        </w:trPr>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9"/>
              </w:rPr>
              <w:t>Previously</w:t>
            </w:r>
          </w:p>
        </w:tc>
        <w:tc>
          <w:tcPr>
            <w:tcW w:w="0" w:type="dxa"/>
            <w:vAlign w:val="bottom"/>
          </w:tcPr>
          <w:p>
            <w:pPr>
              <w:spacing w:after="0"/>
              <w:rPr>
                <w:sz w:val="1"/>
                <w:szCs w:val="1"/>
                <w:color w:val="auto"/>
              </w:rPr>
            </w:pPr>
          </w:p>
        </w:tc>
      </w:tr>
      <w:tr>
        <w:trPr>
          <w:trHeight w:val="124"/>
        </w:trPr>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8"/>
              </w:rPr>
              <w:t>Paid in</w:t>
            </w:r>
          </w:p>
        </w:tc>
        <w:tc>
          <w:tcPr>
            <w:tcW w:w="0" w:type="dxa"/>
            <w:vAlign w:val="bottom"/>
          </w:tcPr>
          <w:p>
            <w:pPr>
              <w:spacing w:after="0"/>
              <w:rPr>
                <w:sz w:val="1"/>
                <w:szCs w:val="1"/>
                <w:color w:val="auto"/>
              </w:rPr>
            </w:pPr>
          </w:p>
        </w:tc>
      </w:tr>
      <w:tr>
        <w:trPr>
          <w:trHeight w:val="124"/>
        </w:trPr>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8"/>
              </w:rPr>
              <w:t>Connection</w:t>
            </w:r>
          </w:p>
        </w:tc>
        <w:tc>
          <w:tcPr>
            <w:tcW w:w="0" w:type="dxa"/>
            <w:vAlign w:val="bottom"/>
          </w:tcPr>
          <w:p>
            <w:pPr>
              <w:spacing w:after="0"/>
              <w:rPr>
                <w:sz w:val="1"/>
                <w:szCs w:val="1"/>
                <w:color w:val="auto"/>
              </w:rPr>
            </w:pPr>
          </w:p>
        </w:tc>
      </w:tr>
      <w:tr>
        <w:trPr>
          <w:trHeight w:val="124"/>
        </w:trPr>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Fee</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Proposed</w:t>
            </w: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Carry</w:t>
            </w:r>
          </w:p>
        </w:tc>
        <w:tc>
          <w:tcPr>
            <w:tcW w:w="6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6"/>
              </w:rPr>
              <w:t>with</w:t>
            </w:r>
          </w:p>
        </w:tc>
        <w:tc>
          <w:tcPr>
            <w:tcW w:w="0" w:type="dxa"/>
            <w:vAlign w:val="bottom"/>
          </w:tcPr>
          <w:p>
            <w:pPr>
              <w:spacing w:after="0"/>
              <w:rPr>
                <w:sz w:val="1"/>
                <w:szCs w:val="1"/>
                <w:color w:val="auto"/>
              </w:rPr>
            </w:pPr>
          </w:p>
        </w:tc>
      </w:tr>
      <w:tr>
        <w:trPr>
          <w:trHeight w:val="124"/>
        </w:trPr>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Carry</w:t>
            </w:r>
          </w:p>
        </w:tc>
        <w:tc>
          <w:tcPr>
            <w:tcW w:w="5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Carry</w:t>
            </w:r>
          </w:p>
        </w:tc>
        <w:tc>
          <w:tcPr>
            <w:tcW w:w="740" w:type="dxa"/>
            <w:vAlign w:val="bottom"/>
            <w:gridSpan w:val="2"/>
            <w:vMerge w:val="continue"/>
          </w:tcPr>
          <w:p>
            <w:pPr>
              <w:spacing w:after="0"/>
              <w:rPr>
                <w:sz w:val="10"/>
                <w:szCs w:val="10"/>
                <w:color w:val="auto"/>
              </w:rPr>
            </w:pPr>
          </w:p>
        </w:tc>
        <w:tc>
          <w:tcPr>
            <w:tcW w:w="6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9"/>
              </w:rPr>
              <w:t>Unsold</w:t>
            </w:r>
          </w:p>
        </w:tc>
        <w:tc>
          <w:tcPr>
            <w:tcW w:w="0" w:type="dxa"/>
            <w:vAlign w:val="bottom"/>
          </w:tcPr>
          <w:p>
            <w:pPr>
              <w:spacing w:after="0"/>
              <w:rPr>
                <w:sz w:val="1"/>
                <w:szCs w:val="1"/>
                <w:color w:val="auto"/>
              </w:rPr>
            </w:pPr>
          </w:p>
        </w:tc>
      </w:tr>
      <w:tr>
        <w:trPr>
          <w:trHeight w:val="124"/>
        </w:trPr>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2"/>
                <w:szCs w:val="12"/>
                <w:b w:val="1"/>
                <w:bCs w:val="1"/>
                <w:color w:val="auto"/>
              </w:rPr>
              <w:t>Calculation</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2"/>
                <w:szCs w:val="12"/>
                <w:b w:val="1"/>
                <w:bCs w:val="1"/>
                <w:color w:val="auto"/>
              </w:rPr>
              <w:t>Maximum</w:t>
            </w:r>
          </w:p>
        </w:tc>
        <w:tc>
          <w:tcPr>
            <w:tcW w:w="10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7"/>
              </w:rPr>
              <w:t>Maximum</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Amount of</w:t>
            </w:r>
          </w:p>
        </w:tc>
        <w:tc>
          <w:tcPr>
            <w:tcW w:w="500" w:type="dxa"/>
            <w:vAlign w:val="bottom"/>
            <w:gridSpan w:val="2"/>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4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2"/>
                <w:szCs w:val="12"/>
                <w:b w:val="1"/>
                <w:bCs w:val="1"/>
                <w:color w:val="auto"/>
              </w:rPr>
              <w:t>Forward</w:t>
            </w:r>
          </w:p>
        </w:tc>
        <w:tc>
          <w:tcPr>
            <w:tcW w:w="6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0" w:type="dxa"/>
            <w:vAlign w:val="bottom"/>
          </w:tcPr>
          <w:p>
            <w:pPr>
              <w:spacing w:after="0"/>
              <w:rPr>
                <w:sz w:val="1"/>
                <w:szCs w:val="1"/>
                <w:color w:val="auto"/>
              </w:rPr>
            </w:pPr>
          </w:p>
        </w:tc>
      </w:tr>
      <w:tr>
        <w:trPr>
          <w:trHeight w:val="124"/>
        </w:trPr>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Security Class</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2"/>
                <w:szCs w:val="12"/>
                <w:b w:val="1"/>
                <w:bCs w:val="1"/>
                <w:color w:val="auto"/>
              </w:rPr>
              <w:t>or Carry</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40" w:type="dxa"/>
            <w:vAlign w:val="bottom"/>
          </w:tcPr>
          <w:p>
            <w:pPr>
              <w:spacing w:after="0"/>
              <w:rPr>
                <w:sz w:val="10"/>
                <w:szCs w:val="10"/>
                <w:color w:val="auto"/>
              </w:rPr>
            </w:pPr>
          </w:p>
        </w:tc>
        <w:tc>
          <w:tcPr>
            <w:tcW w:w="58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2"/>
                <w:szCs w:val="12"/>
                <w:b w:val="1"/>
                <w:bCs w:val="1"/>
                <w:color w:val="auto"/>
                <w:w w:val="99"/>
              </w:rPr>
              <w:t>Offering</w:t>
            </w:r>
          </w:p>
        </w:tc>
        <w:tc>
          <w:tcPr>
            <w:tcW w:w="10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Forward Forward</w:t>
            </w:r>
          </w:p>
        </w:tc>
        <w:tc>
          <w:tcPr>
            <w:tcW w:w="74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2"/>
                <w:szCs w:val="12"/>
                <w:b w:val="1"/>
                <w:bCs w:val="1"/>
                <w:color w:val="auto"/>
                <w:w w:val="95"/>
              </w:rPr>
              <w:t>Initial</w:t>
            </w:r>
          </w:p>
        </w:tc>
        <w:tc>
          <w:tcPr>
            <w:tcW w:w="6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5"/>
              </w:rPr>
              <w:t>to be</w:t>
            </w:r>
          </w:p>
        </w:tc>
        <w:tc>
          <w:tcPr>
            <w:tcW w:w="0" w:type="dxa"/>
            <w:vAlign w:val="bottom"/>
          </w:tcPr>
          <w:p>
            <w:pPr>
              <w:spacing w:after="0"/>
              <w:rPr>
                <w:sz w:val="1"/>
                <w:szCs w:val="1"/>
                <w:color w:val="auto"/>
              </w:rPr>
            </w:pPr>
          </w:p>
        </w:tc>
      </w:tr>
      <w:tr>
        <w:trPr>
          <w:trHeight w:val="124"/>
        </w:trPr>
        <w:tc>
          <w:tcPr>
            <w:tcW w:w="1520" w:type="dxa"/>
            <w:vAlign w:val="bottom"/>
            <w:vMerge w:val="restart"/>
          </w:tcPr>
          <w:p>
            <w:pPr>
              <w:ind w:left="360"/>
              <w:spacing w:after="0"/>
              <w:rPr>
                <w:sz w:val="20"/>
                <w:szCs w:val="20"/>
                <w:color w:val="auto"/>
              </w:rPr>
            </w:pPr>
            <w:r>
              <w:rPr>
                <w:rFonts w:ascii="Times New Roman" w:cs="Times New Roman" w:eastAsia="Times New Roman" w:hAnsi="Times New Roman"/>
                <w:sz w:val="12"/>
                <w:szCs w:val="12"/>
                <w:b w:val="1"/>
                <w:bCs w:val="1"/>
                <w:color w:val="auto"/>
              </w:rPr>
              <w:t>Line Item Type</w:t>
            </w:r>
          </w:p>
        </w:tc>
        <w:tc>
          <w:tcPr>
            <w:tcW w:w="40" w:type="dxa"/>
            <w:vAlign w:val="bottom"/>
            <w:vMerge w:val="restart"/>
          </w:tcPr>
          <w:p>
            <w:pPr>
              <w:spacing w:after="0"/>
              <w:rPr>
                <w:sz w:val="10"/>
                <w:szCs w:val="10"/>
                <w:color w:val="auto"/>
              </w:rPr>
            </w:pPr>
          </w:p>
        </w:tc>
        <w:tc>
          <w:tcPr>
            <w:tcW w:w="1800" w:type="dxa"/>
            <w:vAlign w:val="bottom"/>
            <w:vMerge w:val="restart"/>
          </w:tcPr>
          <w:p>
            <w:pPr>
              <w:ind w:left="540"/>
              <w:spacing w:after="0"/>
              <w:rPr>
                <w:sz w:val="20"/>
                <w:szCs w:val="20"/>
                <w:color w:val="auto"/>
              </w:rPr>
            </w:pPr>
            <w:r>
              <w:rPr>
                <w:rFonts w:ascii="Times New Roman" w:cs="Times New Roman" w:eastAsia="Times New Roman" w:hAnsi="Times New Roman"/>
                <w:sz w:val="12"/>
                <w:szCs w:val="12"/>
                <w:b w:val="1"/>
                <w:bCs w:val="1"/>
                <w:color w:val="auto"/>
              </w:rPr>
              <w:t>Security Type</w:t>
            </w:r>
          </w:p>
        </w:tc>
        <w:tc>
          <w:tcPr>
            <w:tcW w:w="40" w:type="dxa"/>
            <w:vAlign w:val="bottom"/>
            <w:vMerge w:val="restart"/>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Notes</w:t>
            </w:r>
          </w:p>
        </w:tc>
        <w:tc>
          <w:tcPr>
            <w:tcW w:w="40" w:type="dxa"/>
            <w:vAlign w:val="bottom"/>
            <w:vMerge w:val="restart"/>
          </w:tcPr>
          <w:p>
            <w:pPr>
              <w:spacing w:after="0"/>
              <w:rPr>
                <w:sz w:val="10"/>
                <w:szCs w:val="10"/>
                <w:color w:val="auto"/>
              </w:rPr>
            </w:pPr>
          </w:p>
        </w:tc>
        <w:tc>
          <w:tcPr>
            <w:tcW w:w="64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2"/>
                <w:szCs w:val="12"/>
                <w:b w:val="1"/>
                <w:bCs w:val="1"/>
                <w:color w:val="auto"/>
                <w:w w:val="96"/>
              </w:rPr>
              <w:t>Forward</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2"/>
                <w:szCs w:val="12"/>
                <w:b w:val="1"/>
                <w:bCs w:val="1"/>
                <w:color w:val="auto"/>
                <w:w w:val="96"/>
              </w:rPr>
              <w:t>Price Per</w:t>
            </w:r>
          </w:p>
        </w:tc>
        <w:tc>
          <w:tcPr>
            <w:tcW w:w="108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2"/>
                <w:szCs w:val="12"/>
                <w:b w:val="1"/>
                <w:bCs w:val="1"/>
                <w:color w:val="auto"/>
              </w:rPr>
              <w:t>Aggregate Offering</w:t>
            </w:r>
          </w:p>
        </w:tc>
        <w:tc>
          <w:tcPr>
            <w:tcW w:w="64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Fee Rate</w:t>
            </w:r>
          </w:p>
        </w:tc>
        <w:tc>
          <w:tcPr>
            <w:tcW w:w="4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2"/>
                <w:szCs w:val="12"/>
                <w:b w:val="1"/>
                <w:bCs w:val="1"/>
                <w:color w:val="auto"/>
              </w:rPr>
              <w:t>Registration</w:t>
            </w:r>
          </w:p>
        </w:tc>
        <w:tc>
          <w:tcPr>
            <w:tcW w:w="50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2"/>
                <w:szCs w:val="12"/>
                <w:b w:val="1"/>
                <w:bCs w:val="1"/>
                <w:color w:val="auto"/>
                <w:w w:val="97"/>
              </w:rPr>
              <w:t>Form</w:t>
            </w:r>
          </w:p>
        </w:tc>
        <w:tc>
          <w:tcPr>
            <w:tcW w:w="50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2"/>
                <w:szCs w:val="12"/>
                <w:b w:val="1"/>
                <w:bCs w:val="1"/>
                <w:color w:val="auto"/>
                <w:w w:val="92"/>
              </w:rPr>
              <w:t>File</w:t>
            </w:r>
          </w:p>
        </w:tc>
        <w:tc>
          <w:tcPr>
            <w:tcW w:w="740" w:type="dxa"/>
            <w:vAlign w:val="bottom"/>
            <w:gridSpan w:val="2"/>
          </w:tcPr>
          <w:p>
            <w:pPr>
              <w:jc w:val="center"/>
              <w:ind w:right="40"/>
              <w:spacing w:after="0" w:line="124" w:lineRule="exact"/>
              <w:rPr>
                <w:sz w:val="20"/>
                <w:szCs w:val="20"/>
                <w:color w:val="auto"/>
              </w:rPr>
            </w:pPr>
            <w:r>
              <w:rPr>
                <w:rFonts w:ascii="Times New Roman" w:cs="Times New Roman" w:eastAsia="Times New Roman" w:hAnsi="Times New Roman"/>
                <w:sz w:val="12"/>
                <w:szCs w:val="12"/>
                <w:b w:val="1"/>
                <w:bCs w:val="1"/>
                <w:color w:val="auto"/>
              </w:rPr>
              <w:t>Effective</w:t>
            </w:r>
          </w:p>
        </w:tc>
        <w:tc>
          <w:tcPr>
            <w:tcW w:w="6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w w:val="98"/>
              </w:rPr>
              <w:t>Carried</w:t>
            </w:r>
          </w:p>
        </w:tc>
        <w:tc>
          <w:tcPr>
            <w:tcW w:w="0" w:type="dxa"/>
            <w:vAlign w:val="bottom"/>
          </w:tcPr>
          <w:p>
            <w:pPr>
              <w:spacing w:after="0"/>
              <w:rPr>
                <w:sz w:val="1"/>
                <w:szCs w:val="1"/>
                <w:color w:val="auto"/>
              </w:rPr>
            </w:pPr>
          </w:p>
        </w:tc>
      </w:tr>
      <w:tr>
        <w:trPr>
          <w:trHeight w:val="146"/>
        </w:trPr>
        <w:tc>
          <w:tcPr>
            <w:tcW w:w="152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80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color w:val="auto"/>
              </w:rPr>
              <w:t>Title</w:t>
            </w:r>
          </w:p>
        </w:tc>
        <w:tc>
          <w:tcPr>
            <w:tcW w:w="4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Rule</w:t>
            </w:r>
          </w:p>
        </w:tc>
        <w:tc>
          <w:tcPr>
            <w:tcW w:w="4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Registered</w:t>
            </w:r>
          </w:p>
        </w:tc>
        <w:tc>
          <w:tcPr>
            <w:tcW w:w="4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Unit</w:t>
            </w:r>
          </w:p>
        </w:tc>
        <w:tc>
          <w:tcPr>
            <w:tcW w:w="4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Price</w:t>
            </w:r>
          </w:p>
        </w:tc>
        <w:tc>
          <w:tcPr>
            <w:tcW w:w="40" w:type="dxa"/>
            <w:vAlign w:val="bottom"/>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Fee</w:t>
            </w:r>
          </w:p>
        </w:tc>
        <w:tc>
          <w:tcPr>
            <w:tcW w:w="6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Type</w:t>
            </w:r>
          </w:p>
        </w:tc>
        <w:tc>
          <w:tcPr>
            <w:tcW w:w="4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4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4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Forward</w:t>
            </w: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00" w:type="dxa"/>
            <w:vAlign w:val="bottom"/>
            <w:gridSpan w:val="8"/>
          </w:tcPr>
          <w:p>
            <w:pPr>
              <w:jc w:val="center"/>
              <w:ind w:right="700"/>
              <w:spacing w:after="0"/>
              <w:rPr>
                <w:sz w:val="20"/>
                <w:szCs w:val="20"/>
                <w:color w:val="auto"/>
              </w:rPr>
            </w:pPr>
            <w:r>
              <w:rPr>
                <w:rFonts w:ascii="Times New Roman" w:cs="Times New Roman" w:eastAsia="Times New Roman" w:hAnsi="Times New Roman"/>
                <w:sz w:val="15"/>
                <w:szCs w:val="15"/>
                <w:i w:val="1"/>
                <w:iCs w:val="1"/>
                <w:color w:val="auto"/>
                <w:w w:val="99"/>
              </w:rPr>
              <w:t>Newly Registered Securities</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Equity</w:t>
            </w: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 w:type="dxa"/>
            <w:vAlign w:val="bottom"/>
          </w:tcPr>
          <w:p>
            <w:pPr>
              <w:spacing w:after="0"/>
              <w:rPr>
                <w:sz w:val="16"/>
                <w:szCs w:val="16"/>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6"/>
                <w:szCs w:val="16"/>
                <w:color w:val="auto"/>
              </w:rPr>
            </w:pP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ind w:right="539"/>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$0.001 par</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value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Equity</w:t>
            </w: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Preferred</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w:t>
            </w: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Subscription</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Rights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Debt</w:t>
            </w: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Debt</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w:t>
            </w: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Warrants</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Unallocated (Universal) Shelf</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40" w:type="dxa"/>
            <w:vAlign w:val="bottom"/>
          </w:tcPr>
          <w:p>
            <w:pPr>
              <w:spacing w:after="0"/>
              <w:rPr>
                <w:sz w:val="17"/>
                <w:szCs w:val="17"/>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410,483,531.31 0.0001381</w:t>
            </w:r>
          </w:p>
        </w:tc>
        <w:tc>
          <w:tcPr>
            <w:tcW w:w="4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56,687.78</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00" w:type="dxa"/>
            <w:vAlign w:val="bottom"/>
            <w:gridSpan w:val="8"/>
          </w:tcPr>
          <w:p>
            <w:pPr>
              <w:jc w:val="center"/>
              <w:ind w:right="680"/>
              <w:spacing w:after="0"/>
              <w:rPr>
                <w:sz w:val="20"/>
                <w:szCs w:val="20"/>
                <w:color w:val="auto"/>
              </w:rPr>
            </w:pPr>
            <w:r>
              <w:rPr>
                <w:rFonts w:ascii="Times New Roman" w:cs="Times New Roman" w:eastAsia="Times New Roman" w:hAnsi="Times New Roman"/>
                <w:sz w:val="15"/>
                <w:szCs w:val="15"/>
                <w:i w:val="1"/>
                <w:iCs w:val="1"/>
                <w:color w:val="auto"/>
                <w:w w:val="98"/>
              </w:rPr>
              <w:t>Carry Forward Securities</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4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Equity</w:t>
            </w: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40" w:type="dxa"/>
            <w:vAlign w:val="bottom"/>
          </w:tcPr>
          <w:p>
            <w:pPr>
              <w:spacing w:after="0"/>
              <w:rPr>
                <w:sz w:val="16"/>
                <w:szCs w:val="16"/>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8"/>
              </w:rPr>
              <w:t>415(a)(6)</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N-2</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333-</w:t>
            </w:r>
          </w:p>
        </w:tc>
        <w:tc>
          <w:tcPr>
            <w:tcW w:w="4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03/13/2023</w:t>
            </w: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269186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$0.001 par</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value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Equity</w:t>
            </w: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Preferred</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8"/>
              </w:rPr>
              <w:t>415(a)(6)</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N-2</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333-</w:t>
            </w: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03/13/2023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269186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Other</w:t>
            </w: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Subscription</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8"/>
              </w:rPr>
              <w:t>415(a)(6)</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N-2</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333-</w:t>
            </w: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03/13/2023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Rights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269186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Debt</w:t>
            </w: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Debt</w:t>
            </w: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(10) 415(a)(6)</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N-2</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333-</w:t>
            </w: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03/13/2023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269186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Other</w:t>
            </w:r>
          </w:p>
        </w:tc>
        <w:tc>
          <w:tcPr>
            <w:tcW w:w="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Warrants</w:t>
            </w: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(11) 415(a)(6)</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N-2</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333-</w:t>
            </w: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03/13/2023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269186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Unallocated (Universal) Shelf</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(12) 415(a)(6)</w:t>
            </w:r>
          </w:p>
        </w:tc>
        <w:tc>
          <w:tcPr>
            <w:tcW w:w="560" w:type="dxa"/>
            <w:vAlign w:val="bottom"/>
          </w:tcPr>
          <w:p>
            <w:pPr>
              <w:spacing w:after="0"/>
              <w:rPr>
                <w:sz w:val="15"/>
                <w:szCs w:val="15"/>
                <w:color w:val="auto"/>
              </w:rPr>
            </w:pP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$339,516,468.69</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N-2</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333-</w:t>
            </w:r>
          </w:p>
        </w:tc>
        <w:tc>
          <w:tcPr>
            <w:tcW w:w="4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03/13/2023 $37,414.71</w:t>
            </w:r>
          </w:p>
        </w:tc>
        <w:tc>
          <w:tcPr>
            <w:tcW w:w="0" w:type="dxa"/>
            <w:vAlign w:val="bottom"/>
          </w:tcPr>
          <w:p>
            <w:pPr>
              <w:spacing w:after="0"/>
              <w:rPr>
                <w:sz w:val="1"/>
                <w:szCs w:val="1"/>
                <w:color w:val="auto"/>
              </w:rPr>
            </w:pPr>
          </w:p>
        </w:tc>
      </w:tr>
      <w:tr>
        <w:trPr>
          <w:trHeight w:val="195"/>
        </w:trPr>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269186</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00" w:type="dxa"/>
            <w:vAlign w:val="bottom"/>
            <w:gridSpan w:val="8"/>
          </w:tcPr>
          <w:p>
            <w:pPr>
              <w:ind w:left="300"/>
              <w:spacing w:after="0"/>
              <w:rPr>
                <w:sz w:val="20"/>
                <w:szCs w:val="20"/>
                <w:color w:val="auto"/>
              </w:rPr>
            </w:pPr>
            <w:r>
              <w:rPr>
                <w:rFonts w:ascii="Times New Roman" w:cs="Times New Roman" w:eastAsia="Times New Roman" w:hAnsi="Times New Roman"/>
                <w:sz w:val="15"/>
                <w:szCs w:val="15"/>
                <w:color w:val="auto"/>
              </w:rPr>
              <w:t>Total Offering Amounts: $750,000,000.00</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56,687.78</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6"/>
          </w:tcPr>
          <w:p>
            <w:pPr>
              <w:jc w:val="right"/>
              <w:ind w:right="40"/>
              <w:spacing w:after="0"/>
              <w:rPr>
                <w:sz w:val="20"/>
                <w:szCs w:val="20"/>
                <w:color w:val="auto"/>
              </w:rPr>
            </w:pPr>
            <w:r>
              <w:rPr>
                <w:rFonts w:ascii="Times New Roman" w:cs="Times New Roman" w:eastAsia="Times New Roman" w:hAnsi="Times New Roman"/>
                <w:sz w:val="15"/>
                <w:szCs w:val="15"/>
                <w:color w:val="auto"/>
              </w:rPr>
              <w:t>Total Fees Previously Paid:</w:t>
            </w: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Total Fee Offsets:</w:t>
            </w: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0.00</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Net Fee Due:</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95"/>
              </w:rPr>
              <w:t>$ 56,687.78</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w:t>
      </w:r>
    </w:p>
    <w:p>
      <w:pPr>
        <w:spacing w:after="0" w:line="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b w:val="1"/>
          <w:bCs w:val="1"/>
          <w:color w:val="auto"/>
        </w:rPr>
        <w:t>Offering Note(s)</w:t>
      </w:r>
    </w:p>
    <w:p>
      <w:pPr>
        <w:spacing w:after="0" w:line="67" w:lineRule="exact"/>
        <w:rPr>
          <w:sz w:val="20"/>
          <w:szCs w:val="20"/>
          <w:color w:val="auto"/>
        </w:rPr>
      </w:pPr>
    </w:p>
    <w:p>
      <w:pPr>
        <w:jc w:val="both"/>
        <w:ind w:left="286" w:right="80" w:hanging="239"/>
        <w:spacing w:after="0" w:line="267" w:lineRule="auto"/>
        <w:tabs>
          <w:tab w:leader="none" w:pos="28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being registered hereunder an indeterminate number of shares of common stock, preferred stock, or warrants as may be sold, from time to time. Warrants represent rights to purchase common stock, preferred stock or debt securities. In no event will the aggregate offering price of all securities issued from time to time pursuant to this registration statement exceed $750,000,000.</w:t>
      </w:r>
    </w:p>
    <w:p>
      <w:pPr>
        <w:spacing w:after="0" w:line="55" w:lineRule="exact"/>
        <w:rPr>
          <w:rFonts w:ascii="Times New Roman" w:cs="Times New Roman" w:eastAsia="Times New Roman" w:hAnsi="Times New Roman"/>
          <w:sz w:val="15"/>
          <w:szCs w:val="15"/>
          <w:color w:val="auto"/>
        </w:rPr>
      </w:pPr>
    </w:p>
    <w:p>
      <w:pPr>
        <w:ind w:left="286" w:hanging="239"/>
        <w:spacing w:after="0"/>
        <w:tabs>
          <w:tab w:leader="none" w:pos="28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Note 1 above.</w:t>
      </w:r>
    </w:p>
    <w:p>
      <w:pPr>
        <w:spacing w:after="0" w:line="98" w:lineRule="exact"/>
        <w:rPr>
          <w:rFonts w:ascii="Times New Roman" w:cs="Times New Roman" w:eastAsia="Times New Roman" w:hAnsi="Times New Roman"/>
          <w:sz w:val="15"/>
          <w:szCs w:val="15"/>
          <w:color w:val="auto"/>
        </w:rPr>
      </w:pPr>
    </w:p>
    <w:p>
      <w:pPr>
        <w:ind w:left="286" w:right="100" w:hanging="239"/>
        <w:spacing w:after="0" w:line="283" w:lineRule="auto"/>
        <w:tabs>
          <w:tab w:leader="none" w:pos="28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being registered hereunder an indeterminate number of subscription rights as may be sold, from time to time, representing rights to purchase common stock. In no event will the aggregate offering price of all securities issued from time to time pursuant to this registration statement exceed $750,000,000.</w:t>
      </w:r>
    </w:p>
    <w:p>
      <w:pPr>
        <w:spacing w:after="0" w:line="44" w:lineRule="exact"/>
        <w:rPr>
          <w:rFonts w:ascii="Times New Roman" w:cs="Times New Roman" w:eastAsia="Times New Roman" w:hAnsi="Times New Roman"/>
          <w:sz w:val="15"/>
          <w:szCs w:val="15"/>
          <w:color w:val="auto"/>
        </w:rPr>
      </w:pPr>
    </w:p>
    <w:p>
      <w:pPr>
        <w:jc w:val="both"/>
        <w:ind w:left="286" w:right="80" w:hanging="239"/>
        <w:spacing w:after="0" w:line="267" w:lineRule="auto"/>
        <w:tabs>
          <w:tab w:leader="none" w:pos="28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$750,000,000. In no event will the aggregate offering price of all securities issued from time to time pursuant to this registration statement exceed $750,000,000.</w:t>
      </w:r>
    </w:p>
    <w:p>
      <w:pPr>
        <w:spacing w:after="0" w:line="55" w:lineRule="exact"/>
        <w:rPr>
          <w:rFonts w:ascii="Times New Roman" w:cs="Times New Roman" w:eastAsia="Times New Roman" w:hAnsi="Times New Roman"/>
          <w:sz w:val="15"/>
          <w:szCs w:val="15"/>
          <w:color w:val="auto"/>
        </w:rPr>
      </w:pPr>
    </w:p>
    <w:p>
      <w:pPr>
        <w:ind w:left="286" w:hanging="239"/>
        <w:spacing w:after="0"/>
        <w:tabs>
          <w:tab w:leader="none" w:pos="28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Note 1 above.</w:t>
      </w:r>
    </w:p>
    <w:p>
      <w:pPr>
        <w:spacing w:after="0" w:line="98" w:lineRule="exact"/>
        <w:rPr>
          <w:rFonts w:ascii="Times New Roman" w:cs="Times New Roman" w:eastAsia="Times New Roman" w:hAnsi="Times New Roman"/>
          <w:sz w:val="15"/>
          <w:szCs w:val="15"/>
          <w:color w:val="auto"/>
        </w:rPr>
      </w:pPr>
    </w:p>
    <w:p>
      <w:pPr>
        <w:ind w:left="286" w:right="80" w:hanging="239"/>
        <w:spacing w:after="0" w:line="283" w:lineRule="auto"/>
        <w:tabs>
          <w:tab w:leader="none" w:pos="28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pursuant to Rule 457 solely for the purposes of determining the registration fee. The proposed maximum offering price per security will be determined, from time to time, by Saratoga Investment Corp. (the “Registrant”) in connection with the sale by the Registrant of the securities registered under this registration statement.</w:t>
      </w:r>
    </w:p>
    <w:p>
      <w:pPr>
        <w:spacing w:after="0" w:line="44" w:lineRule="exact"/>
        <w:rPr>
          <w:rFonts w:ascii="Times New Roman" w:cs="Times New Roman" w:eastAsia="Times New Roman" w:hAnsi="Times New Roman"/>
          <w:sz w:val="15"/>
          <w:szCs w:val="15"/>
          <w:color w:val="auto"/>
        </w:rPr>
      </w:pPr>
    </w:p>
    <w:p>
      <w:pPr>
        <w:ind w:left="286" w:hanging="239"/>
        <w:spacing w:after="0"/>
        <w:tabs>
          <w:tab w:leader="none" w:pos="28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Note 1 above.</w:t>
      </w:r>
    </w:p>
    <w:p>
      <w:pPr>
        <w:spacing w:after="0" w:line="98" w:lineRule="exact"/>
        <w:rPr>
          <w:rFonts w:ascii="Times New Roman" w:cs="Times New Roman" w:eastAsia="Times New Roman" w:hAnsi="Times New Roman"/>
          <w:sz w:val="15"/>
          <w:szCs w:val="15"/>
          <w:color w:val="auto"/>
        </w:rPr>
      </w:pPr>
    </w:p>
    <w:p>
      <w:pPr>
        <w:ind w:left="286" w:hanging="239"/>
        <w:spacing w:after="0"/>
        <w:tabs>
          <w:tab w:leader="none" w:pos="28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Note 1 above.</w:t>
      </w:r>
    </w:p>
    <w:p>
      <w:pPr>
        <w:spacing w:after="0" w:line="98" w:lineRule="exact"/>
        <w:rPr>
          <w:rFonts w:ascii="Times New Roman" w:cs="Times New Roman" w:eastAsia="Times New Roman" w:hAnsi="Times New Roman"/>
          <w:sz w:val="15"/>
          <w:szCs w:val="15"/>
          <w:color w:val="auto"/>
        </w:rPr>
      </w:pPr>
    </w:p>
    <w:p>
      <w:pPr>
        <w:ind w:left="286" w:hanging="239"/>
        <w:spacing w:after="0"/>
        <w:tabs>
          <w:tab w:leader="none" w:pos="28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Note 3 above.</w:t>
      </w:r>
    </w:p>
    <w:p>
      <w:pPr>
        <w:spacing w:after="0" w:line="98" w:lineRule="exact"/>
        <w:rPr>
          <w:sz w:val="20"/>
          <w:szCs w:val="20"/>
          <w:color w:val="auto"/>
        </w:rPr>
      </w:pPr>
    </w:p>
    <w:p>
      <w:pPr>
        <w:ind w:left="326" w:hanging="321"/>
        <w:spacing w:after="0"/>
        <w:tabs>
          <w:tab w:leader="none" w:pos="326"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Note 4 above.</w:t>
      </w:r>
    </w:p>
    <w:p>
      <w:pPr>
        <w:spacing w:after="0" w:line="98" w:lineRule="exact"/>
        <w:rPr>
          <w:rFonts w:ascii="Times New Roman" w:cs="Times New Roman" w:eastAsia="Times New Roman" w:hAnsi="Times New Roman"/>
          <w:sz w:val="15"/>
          <w:szCs w:val="15"/>
          <w:color w:val="auto"/>
        </w:rPr>
      </w:pPr>
    </w:p>
    <w:p>
      <w:pPr>
        <w:ind w:left="306" w:hanging="306"/>
        <w:spacing w:after="0"/>
        <w:tabs>
          <w:tab w:leader="none" w:pos="306"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Note 1 above.</w:t>
      </w:r>
    </w:p>
    <w:p>
      <w:pPr>
        <w:spacing w:after="0" w:line="98" w:lineRule="exact"/>
        <w:rPr>
          <w:rFonts w:ascii="Times New Roman" w:cs="Times New Roman" w:eastAsia="Times New Roman" w:hAnsi="Times New Roman"/>
          <w:sz w:val="15"/>
          <w:szCs w:val="15"/>
          <w:color w:val="auto"/>
        </w:rPr>
      </w:pPr>
    </w:p>
    <w:p>
      <w:pPr>
        <w:jc w:val="both"/>
        <w:ind w:left="326" w:right="80" w:hanging="321"/>
        <w:spacing w:after="0" w:line="257" w:lineRule="auto"/>
        <w:tabs>
          <w:tab w:leader="none" w:pos="326"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Rule 415(a)(6) under the Securities Act of 1933, as amended (the “Securities Act”), this registration statement includes $339,516,468.69 in aggregate principal offering price of unsold securities (the “Unsold Securities”) that were previously registered for sale under the Registrant’s Registration Statement on Form N-2 (File No. 333-269186) initially filed on January 11, 2023, and amended on February 21, 2023, and declared effective on March 13, 2023 (the “Prior Registration Statement”). The Registrant previously paid at filing fees in the aggregate of $37,414.71 relating to the Unsold Securities. Pursuant to Rule 415(a)(6) under the Securities Act, the filing fees previously paid with respect to the Unsold Securities will continue to be applied to such Unsold Securities. Pursuant to Rule 415(a)(6) under the Securities Act, the offering of Unsold Securities under the Prior Registration Statement will be deemed terminated as of the date of effectiveness of this registration statement.</w:t>
      </w:r>
    </w:p>
    <w:sectPr>
      <w:pgSz w:w="11900" w:h="16838" w:orient="portrait"/>
      <w:cols w:equalWidth="0" w:num="1">
        <w:col w:w="11346"/>
      </w:cols>
      <w:pgMar w:left="314"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1)"/>
      <w:numFmt w:val="decimal"/>
      <w:start w:val="1"/>
    </w:lvl>
  </w:abstractNum>
  <w:abstractNum w:abstractNumId="9">
    <w:nsid w:val="4B588F54"/>
    <w:multiLevelType w:val="hybridMultilevel"/>
    <w:lvl w:ilvl="0">
      <w:lvlJc w:val="left"/>
      <w:lvlText w:val="(%1)"/>
      <w:numFmt w:val="decimal"/>
      <w:start w:val="5"/>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1)"/>
      <w:numFmt w:val="lowerLetter"/>
      <w:start w:val="1"/>
    </w:lvl>
  </w:abstractNum>
  <w:abstractNum w:abstractNumId="17">
    <w:nsid w:val="749ABB43"/>
    <w:multiLevelType w:val="hybridMultilevel"/>
    <w:lvl w:ilvl="0">
      <w:lvlJc w:val="left"/>
      <w:lvlText w:val="(%1)"/>
      <w:numFmt w:val="lowerLetter"/>
      <w:start w:val="7"/>
    </w:lvl>
  </w:abstractNum>
  <w:abstractNum w:abstractNumId="18">
    <w:nsid w:val="3DC240FB"/>
    <w:multiLevelType w:val="hybridMultilevel"/>
    <w:lvl w:ilvl="0">
      <w:lvlJc w:val="left"/>
      <w:lvlText w:val="(%1)"/>
      <w:numFmt w:val="lowerLetter"/>
      <w:start w:val="8"/>
    </w:lvl>
  </w:abstractNum>
  <w:abstractNum w:abstractNumId="19">
    <w:nsid w:val="1BA026FA"/>
    <w:multiLevelType w:val="hybridMultilevel"/>
    <w:lvl w:ilvl="0">
      <w:lvlJc w:val="left"/>
      <w:lvlText w:val="(%1)"/>
      <w:numFmt w:val="lowerLetter"/>
      <w:start w:val="11"/>
    </w:lvl>
  </w:abstractNum>
  <w:abstractNum w:abstractNumId="20">
    <w:nsid w:val="79A1DEAA"/>
    <w:multiLevelType w:val="hybridMultilevel"/>
    <w:lvl w:ilvl="0">
      <w:lvlJc w:val="left"/>
      <w:lvlText w:val="(%1)"/>
      <w:numFmt w:val="lowerLetter"/>
      <w:start w:val="1"/>
    </w:lvl>
  </w:abstractNum>
  <w:abstractNum w:abstractNumId="21">
    <w:nsid w:val="75C6C33A"/>
    <w:multiLevelType w:val="hybridMultilevel"/>
    <w:lvl w:ilvl="0">
      <w:lvlJc w:val="left"/>
      <w:lvlText w:val="●"/>
      <w:numFmt w:val="bullet"/>
      <w:start w:val="1"/>
    </w:lvl>
    <w:lvl w:ilvl="1">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1)"/>
      <w:numFmt w:val="decimal"/>
      <w:start w:val="2"/>
    </w:lvl>
  </w:abstractNum>
  <w:abstractNum w:abstractNumId="29">
    <w:nsid w:val="275AC794"/>
    <w:multiLevelType w:val="hybridMultilevel"/>
    <w:lvl w:ilvl="0">
      <w:lvlJc w:val="left"/>
      <w:lvlText w:val="(%1)"/>
      <w:numFmt w:val="lowerLetter"/>
      <w:start w:val="2"/>
    </w:lvl>
  </w:abstractNum>
  <w:abstractNum w:abstractNumId="30">
    <w:nsid w:val="39386575"/>
    <w:multiLevelType w:val="hybridMultilevel"/>
    <w:lvl w:ilvl="0">
      <w:lvlJc w:val="left"/>
      <w:lvlText w:val="(%1)"/>
      <w:numFmt w:val="decimal"/>
      <w:start w:val="3"/>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1)"/>
      <w:numFmt w:val="lowerLetter"/>
      <w:start w:val="2"/>
    </w:lvl>
  </w:abstractNum>
  <w:abstractNum w:abstractNumId="56">
    <w:nsid w:val="15014ACB"/>
    <w:multiLevelType w:val="hybridMultilevel"/>
    <w:lvl w:ilvl="0">
      <w:lvlJc w:val="left"/>
      <w:lvlText w:val="(%1)"/>
      <w:numFmt w:val="lowerLetter"/>
      <w:start w:val="5"/>
    </w:lvl>
  </w:abstractNum>
  <w:abstractNum w:abstractNumId="57">
    <w:nsid w:val="5F5E7FD0"/>
    <w:multiLevelType w:val="hybridMultilevel"/>
    <w:lvl w:ilvl="0">
      <w:lvlJc w:val="left"/>
      <w:lvlText w:val="(%1)"/>
      <w:numFmt w:val="lowerLetter"/>
      <w:start w:val="7"/>
    </w:lvl>
  </w:abstractNum>
  <w:abstractNum w:abstractNumId="58">
    <w:nsid w:val="98A3148"/>
    <w:multiLevelType w:val="hybridMultilevel"/>
    <w:lvl w:ilvl="0">
      <w:lvlJc w:val="left"/>
      <w:lvlText w:val="(%1)"/>
      <w:numFmt w:val="lowerLetter"/>
      <w:start w:val="9"/>
    </w:lvl>
  </w:abstractNum>
  <w:abstractNum w:abstractNumId="59">
    <w:nsid w:val="799D0247"/>
    <w:multiLevelType w:val="hybridMultilevel"/>
    <w:lvl w:ilvl="0">
      <w:lvlJc w:val="left"/>
      <w:lvlText w:val="(%1)"/>
      <w:numFmt w:val="lowerLetter"/>
      <w:start w:val="12"/>
    </w:lvl>
  </w:abstractNum>
  <w:abstractNum w:abstractNumId="60">
    <w:nsid w:val="6B94764"/>
    <w:multiLevelType w:val="hybridMultilevel"/>
    <w:lvl w:ilvl="0">
      <w:lvlJc w:val="left"/>
      <w:lvlText w:val="(%1)"/>
      <w:numFmt w:val="lowerLetter"/>
      <w:start w:val="15"/>
    </w:lvl>
  </w:abstractNum>
  <w:abstractNum w:abstractNumId="61">
    <w:nsid w:val="42C296BD"/>
    <w:multiLevelType w:val="hybridMultilevel"/>
    <w:lvl w:ilvl="0">
      <w:lvlJc w:val="left"/>
      <w:lvlText w:val="%1"/>
      <w:numFmt w:val="decimal"/>
      <w:start w:val="104"/>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1)"/>
      <w:numFmt w:val="decimal"/>
      <w:start w:val="1"/>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6">
    <w:nsid w:val="540A471C"/>
    <w:multiLevelType w:val="hybridMultilevel"/>
    <w:lvl w:ilvl="0">
      <w:lvlJc w:val="left"/>
      <w:lvlText w:val="(%1)"/>
      <w:numFmt w:val="decimal"/>
      <w:start w:val="1"/>
    </w:lvl>
    <w:lvl w:ilvl="1">
      <w:lvlJc w:val="left"/>
      <w:lvlText w:val="(%2)"/>
      <w:numFmt w:val="upperLetter"/>
      <w:start w:val="1"/>
    </w:lvl>
  </w:abstractNum>
  <w:abstractNum w:abstractNumId="67">
    <w:nsid w:val="7BD3EE7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8">
    <w:nsid w:val="51D9C564"/>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69">
    <w:nsid w:val="613EFDC5"/>
    <w:multiLevelType w:val="hybridMultilevel"/>
    <w:lvl w:ilvl="0">
      <w:lvlJc w:val="left"/>
      <w:lvlText w:val="%1)"/>
      <w:numFmt w:val="lowerLetter"/>
      <w:start w:val="1"/>
    </w:lvl>
  </w:abstractNum>
  <w:abstractNum w:abstractNumId="70">
    <w:nsid w:val="BF72B14"/>
    <w:multiLevelType w:val="hybridMultilevel"/>
    <w:lvl w:ilvl="0">
      <w:lvlJc w:val="left"/>
      <w:lvlText w:val="%1)"/>
      <w:numFmt w:val="lowerLetter"/>
      <w:start w:val="2"/>
    </w:lvl>
  </w:abstractNum>
  <w:abstractNum w:abstractNumId="71">
    <w:nsid w:val="11447B73"/>
    <w:multiLevelType w:val="hybridMultilevel"/>
    <w:lvl w:ilvl="0">
      <w:lvlJc w:val="left"/>
      <w:lvlText w:val="%1."/>
      <w:numFmt w:val="decimal"/>
      <w:start w:val="1"/>
    </w:lvl>
  </w:abstractNum>
  <w:abstractNum w:abstractNumId="72">
    <w:nsid w:val="42963E5A"/>
    <w:multiLevelType w:val="hybridMultilevel"/>
    <w:lvl w:ilvl="0">
      <w:lvlJc w:val="left"/>
      <w:lvlText w:val="(%1)"/>
      <w:numFmt w:val="decimal"/>
      <w:start w:val="1"/>
    </w:lvl>
    <w:lvl w:ilvl="1">
      <w:lvlJc w:val="left"/>
      <w:lvlText w:val="-"/>
      <w:numFmt w:val="bullet"/>
      <w:start w:val="1"/>
    </w:lvl>
  </w:abstractNum>
  <w:abstractNum w:abstractNumId="73">
    <w:nsid w:val="A0382C5"/>
    <w:multiLevelType w:val="hybridMultilevel"/>
    <w:lvl w:ilvl="0">
      <w:lvlJc w:val="left"/>
      <w:lvlText w:val="(%1)"/>
      <w:numFmt w:val="decimal"/>
      <w:start w:val="8"/>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lowerLetter"/>
      <w:start w:val="1"/>
    </w:lvl>
  </w:abstractNum>
  <w:abstractNum w:abstractNumId="76">
    <w:nsid w:val="3B0FD379"/>
    <w:multiLevelType w:val="hybridMultilevel"/>
    <w:lvl w:ilvl="0">
      <w:lvlJc w:val="left"/>
      <w:lvlText w:val="(%1)"/>
      <w:numFmt w:val="lowerRoman"/>
      <w:start w:val="1"/>
    </w:lvl>
  </w:abstractNum>
  <w:abstractNum w:abstractNumId="77">
    <w:nsid w:val="68EB2F63"/>
    <w:multiLevelType w:val="hybridMultilevel"/>
    <w:lvl w:ilvl="0">
      <w:lvlJc w:val="left"/>
      <w:lvlText w:val="(%1)"/>
      <w:numFmt w:val="lowerRoman"/>
      <w:start w:val="1"/>
    </w:lvl>
  </w:abstractNum>
  <w:abstractNum w:abstractNumId="78">
    <w:nsid w:val="4962813B"/>
    <w:multiLevelType w:val="hybridMultilevel"/>
    <w:lvl w:ilvl="0">
      <w:lvlJc w:val="left"/>
      <w:lvlText w:val="(%1)"/>
      <w:numFmt w:val="lowerRoman"/>
      <w:start w:val="14"/>
    </w:lvl>
  </w:abstractNum>
  <w:abstractNum w:abstractNumId="79">
    <w:nsid w:val="60B6DF70"/>
    <w:multiLevelType w:val="hybridMultilevel"/>
    <w:lvl w:ilvl="0">
      <w:lvlJc w:val="left"/>
      <w:lvlText w:val="%1."/>
      <w:numFmt w:val="decimal"/>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3"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89" Type="http://schemas.openxmlformats.org/officeDocument/2006/relationships/image" Target="media/image129.png"/><Relationship Id="rId190" Type="http://schemas.openxmlformats.org/officeDocument/2006/relationships/image" Target="media/image130.png"/><Relationship Id="rId192" Type="http://schemas.openxmlformats.org/officeDocument/2006/relationships/image" Target="media/image131.png"/><Relationship Id="rId193" Type="http://schemas.openxmlformats.org/officeDocument/2006/relationships/image" Target="media/image132.png"/><Relationship Id="rId194" Type="http://schemas.openxmlformats.org/officeDocument/2006/relationships/image" Target="media/image133.png"/><Relationship Id="rId195" Type="http://schemas.openxmlformats.org/officeDocument/2006/relationships/image" Target="media/image134.png"/><Relationship Id="rId196" Type="http://schemas.openxmlformats.org/officeDocument/2006/relationships/image" Target="media/image135.png"/><Relationship Id="rId197" Type="http://schemas.openxmlformats.org/officeDocument/2006/relationships/image" Target="media/image136.png"/><Relationship Id="rId204" Type="http://schemas.openxmlformats.org/officeDocument/2006/relationships/image" Target="media/image137.png"/><Relationship Id="rId205" Type="http://schemas.openxmlformats.org/officeDocument/2006/relationships/image" Target="media/image138.png"/><Relationship Id="rId206" Type="http://schemas.openxmlformats.org/officeDocument/2006/relationships/image" Target="media/image139.png"/><Relationship Id="rId207" Type="http://schemas.openxmlformats.org/officeDocument/2006/relationships/image" Target="media/image140.png"/><Relationship Id="rId208" Type="http://schemas.openxmlformats.org/officeDocument/2006/relationships/image" Target="media/image141.png"/><Relationship Id="rId209" Type="http://schemas.openxmlformats.org/officeDocument/2006/relationships/image" Target="media/image142.png"/><Relationship Id="rId210" Type="http://schemas.openxmlformats.org/officeDocument/2006/relationships/image" Target="media/image143.png"/><Relationship Id="rId211" Type="http://schemas.openxmlformats.org/officeDocument/2006/relationships/image" Target="media/image144.png"/><Relationship Id="rId212" Type="http://schemas.openxmlformats.org/officeDocument/2006/relationships/image" Target="media/image145.png"/><Relationship Id="rId213" Type="http://schemas.openxmlformats.org/officeDocument/2006/relationships/image" Target="media/image146.png"/><Relationship Id="rId214" Type="http://schemas.openxmlformats.org/officeDocument/2006/relationships/image" Target="media/image147.png"/><Relationship Id="rId215" Type="http://schemas.openxmlformats.org/officeDocument/2006/relationships/image" Target="media/image148.png"/><Relationship Id="rId216" Type="http://schemas.openxmlformats.org/officeDocument/2006/relationships/image" Target="media/image149.png"/><Relationship Id="rId217" Type="http://schemas.openxmlformats.org/officeDocument/2006/relationships/image" Target="media/image150.png"/><Relationship Id="rId218" Type="http://schemas.openxmlformats.org/officeDocument/2006/relationships/image" Target="media/image151.png"/><Relationship Id="rId219" Type="http://schemas.openxmlformats.org/officeDocument/2006/relationships/image" Target="media/image152.png"/><Relationship Id="rId220" Type="http://schemas.openxmlformats.org/officeDocument/2006/relationships/image" Target="media/image153.png"/><Relationship Id="rId221" Type="http://schemas.openxmlformats.org/officeDocument/2006/relationships/image" Target="media/image154.png"/><Relationship Id="rId222" Type="http://schemas.openxmlformats.org/officeDocument/2006/relationships/image" Target="media/image155.png"/><Relationship Id="rId223" Type="http://schemas.openxmlformats.org/officeDocument/2006/relationships/image" Target="media/image156.png"/><Relationship Id="rId224" Type="http://schemas.openxmlformats.org/officeDocument/2006/relationships/image" Target="media/image157.png"/><Relationship Id="rId225" Type="http://schemas.openxmlformats.org/officeDocument/2006/relationships/image" Target="media/image158.png"/><Relationship Id="rId226" Type="http://schemas.openxmlformats.org/officeDocument/2006/relationships/image" Target="media/image159.png"/><Relationship Id="rId227" Type="http://schemas.openxmlformats.org/officeDocument/2006/relationships/image" Target="media/image160.png"/><Relationship Id="rId228" Type="http://schemas.openxmlformats.org/officeDocument/2006/relationships/image" Target="media/image161.png"/><Relationship Id="rId229" Type="http://schemas.openxmlformats.org/officeDocument/2006/relationships/image" Target="media/image162.png"/><Relationship Id="rId230" Type="http://schemas.openxmlformats.org/officeDocument/2006/relationships/image" Target="media/image163.png"/><Relationship Id="rId231" Type="http://schemas.openxmlformats.org/officeDocument/2006/relationships/image" Target="media/image164.png"/><Relationship Id="rId232" Type="http://schemas.openxmlformats.org/officeDocument/2006/relationships/image" Target="media/image165.png"/><Relationship Id="rId233" Type="http://schemas.openxmlformats.org/officeDocument/2006/relationships/image" Target="media/image166.png"/><Relationship Id="rId234" Type="http://schemas.openxmlformats.org/officeDocument/2006/relationships/image" Target="media/image167.png"/><Relationship Id="rId235" Type="http://schemas.openxmlformats.org/officeDocument/2006/relationships/image" Target="media/image168.png"/><Relationship Id="rId236" Type="http://schemas.openxmlformats.org/officeDocument/2006/relationships/image" Target="media/image169.png"/><Relationship Id="rId237" Type="http://schemas.openxmlformats.org/officeDocument/2006/relationships/image" Target="media/image170.png"/><Relationship Id="rId238" Type="http://schemas.openxmlformats.org/officeDocument/2006/relationships/image" Target="media/image171.png"/><Relationship Id="rId239" Type="http://schemas.openxmlformats.org/officeDocument/2006/relationships/image" Target="media/image172.png"/><Relationship Id="rId240" Type="http://schemas.openxmlformats.org/officeDocument/2006/relationships/image" Target="media/image173.png"/><Relationship Id="rId241" Type="http://schemas.openxmlformats.org/officeDocument/2006/relationships/image" Target="media/image174.png"/><Relationship Id="rId242" Type="http://schemas.openxmlformats.org/officeDocument/2006/relationships/image" Target="media/image175.png"/><Relationship Id="rId243" Type="http://schemas.openxmlformats.org/officeDocument/2006/relationships/image" Target="media/image176.png"/><Relationship Id="rId244" Type="http://schemas.openxmlformats.org/officeDocument/2006/relationships/image" Target="media/image177.png"/><Relationship Id="rId245" Type="http://schemas.openxmlformats.org/officeDocument/2006/relationships/image" Target="media/image178.png"/><Relationship Id="rId246" Type="http://schemas.openxmlformats.org/officeDocument/2006/relationships/image" Target="media/image179.png"/><Relationship Id="rId247" Type="http://schemas.openxmlformats.org/officeDocument/2006/relationships/image" Target="media/image180.png"/><Relationship Id="rId248" Type="http://schemas.openxmlformats.org/officeDocument/2006/relationships/image" Target="media/image181.jpeg"/><Relationship Id="rId249" Type="http://schemas.openxmlformats.org/officeDocument/2006/relationships/image" Target="media/image182.jpeg"/><Relationship Id="rId250" Type="http://schemas.openxmlformats.org/officeDocument/2006/relationships/image" Target="media/image183.png"/><Relationship Id="rId251" Type="http://schemas.openxmlformats.org/officeDocument/2006/relationships/image" Target="media/image184.png"/><Relationship Id="rId252" Type="http://schemas.openxmlformats.org/officeDocument/2006/relationships/image" Target="media/image185.png"/><Relationship Id="rId24" Type="http://schemas.openxmlformats.org/officeDocument/2006/relationships/hyperlink" Target="http://www.sec.gov/Archives/edgar/data/1377936/000121390025040617/ea0235536-10k_saratoga.htm" TargetMode="External"/><Relationship Id="rId34" Type="http://schemas.openxmlformats.org/officeDocument/2006/relationships/hyperlink" Target="http://www.sec.gov/Archives/edgar/data/1377936/000121390026002153/ea0270446-10q_saratoga.htm" TargetMode="External"/><Relationship Id="rId43" Type="http://schemas.openxmlformats.org/officeDocument/2006/relationships/hyperlink" Target="https://www.sec.gov/Archives/edgar/data/1377936/000121390026002153/ea0270446-10q_saratoga.htm" TargetMode="External"/><Relationship Id="rId83" Type="http://schemas.openxmlformats.org/officeDocument/2006/relationships/hyperlink" Target="http://www.sec.gov/Archives/edgar/data/1377936/000121390025071844/ea0251731-01.htm" TargetMode="External"/><Relationship Id="rId130" Type="http://schemas.openxmlformats.org/officeDocument/2006/relationships/hyperlink" Target="https://www.sec.gov/ix?doc=/Archives/edgar/data/0001377936/000121390025040617/ea0235536-10k_saratoga.htm" TargetMode="External"/><Relationship Id="rId131" Type="http://schemas.openxmlformats.org/officeDocument/2006/relationships/hyperlink" Target="https://www.sec.gov/ix?doc=/Archives/edgar/data/0001377936/000121390025062051/ea0246449-10q_saratoga.htm" TargetMode="External"/><Relationship Id="rId132" Type="http://schemas.openxmlformats.org/officeDocument/2006/relationships/hyperlink" Target="https://www.sec.gov/ix?doc=/Archives/edgar/data/0001377936/000121390025097022/ea0258170-10q_saratoga.htm" TargetMode="External"/><Relationship Id="rId133" Type="http://schemas.openxmlformats.org/officeDocument/2006/relationships/hyperlink" Target="https://www.sec.gov/ix?doc=/Archives/edgar/data/0001377936/000121390026002153/ea0270446-10q_saratoga.htm" TargetMode="External"/><Relationship Id="rId134" Type="http://schemas.openxmlformats.org/officeDocument/2006/relationships/hyperlink" Target="https://www.sec.gov/ix?doc=/Archives/edgar/data/0001377936/000121390025091767/ea0258856-8k_saratoga.htm" TargetMode="External"/><Relationship Id="rId135" Type="http://schemas.openxmlformats.org/officeDocument/2006/relationships/hyperlink" Target="https://www.sec.gov/ix?doc=/Archives/edgar/data/0001377936/000121390025107282/ea0264440-8k_saratoga.htm" TargetMode="External"/><Relationship Id="rId136" Type="http://schemas.openxmlformats.org/officeDocument/2006/relationships/hyperlink" Target="https://www.sec.gov/Archives/edgar/data/1377936/000121390023035521/f10k2023ex4-24_saratoga.htm" TargetMode="External"/><Relationship Id="rId137" Type="http://schemas.openxmlformats.org/officeDocument/2006/relationships/hyperlink" Target="http://www.sec.gov/Archives/edgar/data/1377936/000095012307004223/y309238ae8va12b.htm" TargetMode="External"/><Relationship Id="rId140" Type="http://schemas.openxmlformats.org/officeDocument/2006/relationships/hyperlink" Target="http://www.sec.gov/Archives/edgar/data/1377936/000095012307009887/y36920exv3w1.htm" TargetMode="External"/><Relationship Id="rId141" Type="http://schemas.openxmlformats.org/officeDocument/2006/relationships/hyperlink" Target="https://www.sec.gov/Archives/edgar/data/1377936/000095012310071403/y85912exv3w1.htm" TargetMode="External"/><Relationship Id="rId142" Type="http://schemas.openxmlformats.org/officeDocument/2006/relationships/hyperlink" Target="https://www.sec.gov/Archives/edgar/data/1377936/000095012310077033/y86144exv3w1.htm" TargetMode="External"/><Relationship Id="rId143" Type="http://schemas.openxmlformats.org/officeDocument/2006/relationships/hyperlink" Target="https://www.sec.gov/Archives/edgar/data/1377936/000121390021000658/f10q1120ex3-2_saratoga.htm" TargetMode="External"/><Relationship Id="rId146" Type="http://schemas.openxmlformats.org/officeDocument/2006/relationships/hyperlink" Target="https://www.sec.gov/Archives/edgar/data/1377936/000104746910007816/a2199934zex-99_d1.htm" TargetMode="External"/><Relationship Id="rId147" Type="http://schemas.openxmlformats.org/officeDocument/2006/relationships/hyperlink" Target="https://www.sec.gov/Archives/edgar/data/1377936/000104746913005204/a2214878zex-99_d4.htm" TargetMode="External"/><Relationship Id="rId148" Type="http://schemas.openxmlformats.org/officeDocument/2006/relationships/hyperlink" Target="http://www.sec.gov/Archives/edgar/data/1377936/000119312514434783/d791359dex99d10.htm" TargetMode="External"/><Relationship Id="rId149" Type="http://schemas.openxmlformats.org/officeDocument/2006/relationships/hyperlink" Target="http://www.sec.gov/Archives/edgar/data/1377936/000121390023002013/f10q1122ex4-7_saratoga.htm" TargetMode="External"/><Relationship Id="rId150" Type="http://schemas.openxmlformats.org/officeDocument/2006/relationships/hyperlink" Target="http://www.sec.gov/Archives/edgar/data/1377936/000121390021014572/ea137359ex4-2_saratoga.htm" TargetMode="External"/><Relationship Id="rId151" Type="http://schemas.openxmlformats.org/officeDocument/2006/relationships/hyperlink" Target="http://www.sec.gov/Archives/edgar/data/1377936/000121390022002669/ea154117ex4-2_saratoga.htm" TargetMode="External"/><Relationship Id="rId152" Type="http://schemas.openxmlformats.org/officeDocument/2006/relationships/hyperlink" Target="http://www.sec.gov/Archives/edgar/data/1377936/000121390022021904/ea158818ex4-2_saratoga.htm" TargetMode="External"/><Relationship Id="rId153" Type="http://schemas.openxmlformats.org/officeDocument/2006/relationships/hyperlink" Target="http://www.sec.gov/Archives/edgar/data/1377936/000121390022066744/ea167631ex4-2_saratoga.htm" TargetMode="External"/><Relationship Id="rId154" Type="http://schemas.openxmlformats.org/officeDocument/2006/relationships/hyperlink" Target="https://www.sec.gov/Archives/edgar/data/1377936/000121390022066744/ea167631ex4-2_saratoga.htm" TargetMode="External"/><Relationship Id="rId155" Type="http://schemas.openxmlformats.org/officeDocument/2006/relationships/hyperlink" Target="http://www.sec.gov/Archives/edgar/data/1377936/000121390022079500/ea169874ex4-2_saratoga.htm" TargetMode="External"/><Relationship Id="rId156" Type="http://schemas.openxmlformats.org/officeDocument/2006/relationships/hyperlink" Target="https://www.sec.gov/Archives/edgar/data/1377936/000121390022079500/ea169874ex4-2_saratoga.htm" TargetMode="External"/><Relationship Id="rId157" Type="http://schemas.openxmlformats.org/officeDocument/2006/relationships/hyperlink" Target="https://www.sec.gov/Archives/edgar/data/1377936/000121390023029874/ea176949ex4-2_saratoga.htm" TargetMode="External"/><Relationship Id="rId158" Type="http://schemas.openxmlformats.org/officeDocument/2006/relationships/hyperlink" Target="http://www.sec.gov/Archives/edgar/data/1377936/000121390021028386/ea141326ex99-e_saratoga.htm" TargetMode="External"/><Relationship Id="rId162" Type="http://schemas.openxmlformats.org/officeDocument/2006/relationships/hyperlink" Target="https://www.sec.gov/Archives/edgar/data/1377936/000119312514434783/d791359dex99g.htm" TargetMode="External"/><Relationship Id="rId164" Type="http://schemas.openxmlformats.org/officeDocument/2006/relationships/hyperlink" Target="https://www.sec.gov/Archives/edgar/data/1377936/000121390021039813/ea145060ex10-1_saratoga.htm" TargetMode="External"/><Relationship Id="rId165" Type="http://schemas.openxmlformats.org/officeDocument/2006/relationships/hyperlink" Target="http://www.sec.gov/Archives/edgar/data/1377936/000121390023058189/ea182006ex10-1_saratoga.htm" TargetMode="External"/><Relationship Id="rId166" Type="http://schemas.openxmlformats.org/officeDocument/2006/relationships/hyperlink" Target="http://www.sec.gov/Archives/edgar/data/1377936/000121390024043694/ea0206207ex10-1_sarato.htm" TargetMode="External"/><Relationship Id="rId167" Type="http://schemas.openxmlformats.org/officeDocument/2006/relationships/hyperlink" Target="http://www.sec.gov/Archives/edgar/data/1377936/000121390022061816/f10q0822ex10-13_saratoga.htm" TargetMode="External"/><Relationship Id="rId168" Type="http://schemas.openxmlformats.org/officeDocument/2006/relationships/hyperlink" Target="http://www.sec.gov/Archives/edgar/data/1377936/000121390022061816/f10q0822ex10-14_saratoga.htm" TargetMode="External"/><Relationship Id="rId169" Type="http://schemas.openxmlformats.org/officeDocument/2006/relationships/hyperlink" Target="http://www.sec.gov/Archives/edgar/data/1377936/000121390022061816/f10q0822ex10-15_saratoga.htm" TargetMode="External"/><Relationship Id="rId170" Type="http://schemas.openxmlformats.org/officeDocument/2006/relationships/hyperlink" Target="http://www.sec.gov/Archives/edgar/data/1377936/000095012307009887/y36920exv10w2.htm" TargetMode="External"/><Relationship Id="rId173" Type="http://schemas.openxmlformats.org/officeDocument/2006/relationships/hyperlink" Target="https://www.sec.gov/Archives/edgar/data/1377936/000095012310071403/y85912exv10w2.htm" TargetMode="External"/><Relationship Id="rId174" Type="http://schemas.openxmlformats.org/officeDocument/2006/relationships/hyperlink" Target="https://www.sec.gov/Archives/edgar/data/1377936/000095012310071403/y85912exv10w3.htm" TargetMode="External"/><Relationship Id="rId175" Type="http://schemas.openxmlformats.org/officeDocument/2006/relationships/hyperlink" Target="https://www.sec.gov/Archives/edgar/data/1377936/000095010307000068/dp04375_exh-k6.htm" TargetMode="External"/><Relationship Id="rId176" Type="http://schemas.openxmlformats.org/officeDocument/2006/relationships/hyperlink" Target="https://www.sec.gov/Archives/edgar/data/1377936/000119312517062772/d319533dex99k6.htm" TargetMode="External"/><Relationship Id="rId177" Type="http://schemas.openxmlformats.org/officeDocument/2006/relationships/hyperlink" Target="http://www.sec.gov/Archives/edgar/data/1377936/000121390021013481/ea137017ex10-1_saratogainv.htm" TargetMode="External"/><Relationship Id="rId178" Type="http://schemas.openxmlformats.org/officeDocument/2006/relationships/hyperlink" Target="https://www.sec.gov/Archives/edgar/data/1377936/000121390021013481/ea137017ex10-2_saratogainv.htm" TargetMode="External"/><Relationship Id="rId179" Type="http://schemas.openxmlformats.org/officeDocument/2006/relationships/hyperlink" Target="http://www.sec.gov/Archives/edgar/data/1377936/000121390024027201/ea020264001ex10-1_saratoga.htm" TargetMode="External"/><Relationship Id="rId180" Type="http://schemas.openxmlformats.org/officeDocument/2006/relationships/hyperlink" Target="http://www.sec.gov/Archives/edgar/data/1377936/000121390024053343/ea020794801ex10-1_saratoga.htm" TargetMode="External"/><Relationship Id="rId181" Type="http://schemas.openxmlformats.org/officeDocument/2006/relationships/hyperlink" Target="http://www.sec.gov/Archives/edgar/data/1377936/000121390024027201/ea020264001ex10-2_saratoga.htm" TargetMode="External"/><Relationship Id="rId182" Type="http://schemas.openxmlformats.org/officeDocument/2006/relationships/hyperlink" Target="http://www.sec.gov/Archives/edgar/data/1377936/000121390024027201/ea020264001ex10-3_saratoga.htm" TargetMode="External"/><Relationship Id="rId183" Type="http://schemas.openxmlformats.org/officeDocument/2006/relationships/hyperlink" Target="http://www.sec.gov/Archives/edgar/data/1377936/000121390021055127/ea149501ex10-1_saratoga.htm" TargetMode="External"/><Relationship Id="rId184" Type="http://schemas.openxmlformats.org/officeDocument/2006/relationships/hyperlink" Target="https://www.sec.gov/Archives/edgar/data/0001377936/000121390025107282/ea026444001ex10-1_saratoga.htm" TargetMode="External"/><Relationship Id="rId185" Type="http://schemas.openxmlformats.org/officeDocument/2006/relationships/hyperlink" Target="https://www.sec.gov/Archives/edgar/data/0001377936/000121390025107282/ea026444001ex10-2_saratoga.htm" TargetMode="External"/><Relationship Id="rId186" Type="http://schemas.openxmlformats.org/officeDocument/2006/relationships/hyperlink" Target="https://www.sec.gov/Archives/edgar/data/0001377936/000121390025107282/ea026444001ex10-3_saratoga.htm" TargetMode="External"/><Relationship Id="rId187" Type="http://schemas.openxmlformats.org/officeDocument/2006/relationships/hyperlink" Target="https://www.sec.gov/Archives/edgar/data/0001377936/000121390025107282/ea026444001ex10-4_saratoga.htm" TargetMode="External"/><Relationship Id="rId188" Type="http://schemas.openxmlformats.org/officeDocument/2006/relationships/hyperlink" Target="https://www.sec.gov/Archives/edgar/data/0001377936/000121390025107282/ea026444001ex10-5_saratoga.htm" TargetMode="External"/><Relationship Id="rId191" Type="http://schemas.openxmlformats.org/officeDocument/2006/relationships/hyperlink" Target="http://www.sec.gov/Archives/edgar/data/1377936/000095012307004261/y30923a6exv99wrwr.htm" TargetMode="External"/><Relationship Id="rId198" Type="http://schemas.openxmlformats.org/officeDocument/2006/relationships/hyperlink" Target="https://www.sec.gov/Archives/edgar/data/1377936/000119312514434783/d791359dex992.htm" TargetMode="External"/><Relationship Id="rId199" Type="http://schemas.openxmlformats.org/officeDocument/2006/relationships/hyperlink" Target="https://www.sec.gov/Archives/edgar/data/1377936/000119312514434783/d791359dex993.htm" TargetMode="External"/><Relationship Id="rId200" Type="http://schemas.openxmlformats.org/officeDocument/2006/relationships/hyperlink" Target="https://www.sec.gov/Archives/edgar/data/1377936/000119312514434783/d791359dex994.htm" TargetMode="External"/><Relationship Id="rId201" Type="http://schemas.openxmlformats.org/officeDocument/2006/relationships/hyperlink" Target="https://www.sec.gov/Archives/edgar/data/1377936/000119312514434783/d791359dex995.htm" TargetMode="External"/><Relationship Id="rId202" Type="http://schemas.openxmlformats.org/officeDocument/2006/relationships/hyperlink" Target="https://www.sec.gov/Archives/edgar/data/1377936/000119312514434783/d791359dex996.htm" TargetMode="External"/><Relationship Id="rId203" Type="http://schemas.openxmlformats.org/officeDocument/2006/relationships/hyperlink" Target="https://www.sec.gov/Archives/edgar/data/1377936/000119312514434783/d791359dex9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2026-01-16T06:11:32Z</dcterms:created>
  <dcterms:modified xsi:type="dcterms:W3CDTF">2026-01-16T06:11:32Z</dcterms:modified>
</cp:coreProperties>
</file>