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780" w:hanging="441"/>
        <w:spacing w:after="0"/>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May 31, 2013</w:t>
      </w:r>
    </w:p>
    <w:p>
      <w:pPr>
        <w:spacing w:after="0" w:line="216" w:lineRule="exact"/>
        <w:rPr>
          <w:sz w:val="24"/>
          <w:szCs w:val="24"/>
          <w:color w:val="auto"/>
        </w:rPr>
      </w:pPr>
    </w:p>
    <w:p>
      <w:pPr>
        <w:ind w:left="780" w:hanging="441"/>
        <w:spacing w:after="0"/>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1-33376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SARATOGA INVESTMENT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6360" w:type="dxa"/>
            <w:vAlign w:val="bottom"/>
          </w:tcPr>
          <w:p>
            <w:pPr>
              <w:jc w:val="center"/>
              <w:ind w:right="3490"/>
              <w:spacing w:after="0"/>
              <w:rPr>
                <w:sz w:val="20"/>
                <w:szCs w:val="20"/>
                <w:color w:val="auto"/>
              </w:rPr>
            </w:pPr>
            <w:r>
              <w:rPr>
                <w:rFonts w:ascii="Arial" w:cs="Arial" w:eastAsia="Arial" w:hAnsi="Arial"/>
                <w:sz w:val="18"/>
                <w:szCs w:val="18"/>
                <w:b w:val="1"/>
                <w:bCs w:val="1"/>
                <w:color w:val="auto"/>
                <w:w w:val="98"/>
              </w:rPr>
              <w:t>Maryland</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20-8700615</w:t>
            </w:r>
          </w:p>
        </w:tc>
      </w:tr>
      <w:tr>
        <w:trPr>
          <w:trHeight w:val="216"/>
        </w:trPr>
        <w:tc>
          <w:tcPr>
            <w:tcW w:w="6360" w:type="dxa"/>
            <w:vAlign w:val="bottom"/>
          </w:tcPr>
          <w:p>
            <w:pPr>
              <w:jc w:val="center"/>
              <w:ind w:right="349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360" w:type="dxa"/>
            <w:vAlign w:val="bottom"/>
          </w:tcPr>
          <w:p>
            <w:pPr>
              <w:jc w:val="center"/>
              <w:ind w:right="349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6360" w:type="dxa"/>
            <w:vAlign w:val="bottom"/>
          </w:tcPr>
          <w:p>
            <w:pPr>
              <w:jc w:val="center"/>
              <w:ind w:right="3490"/>
              <w:spacing w:after="0"/>
              <w:rPr>
                <w:sz w:val="20"/>
                <w:szCs w:val="20"/>
                <w:color w:val="auto"/>
              </w:rPr>
            </w:pPr>
            <w:r>
              <w:rPr>
                <w:rFonts w:ascii="Arial" w:cs="Arial" w:eastAsia="Arial" w:hAnsi="Arial"/>
                <w:sz w:val="18"/>
                <w:szCs w:val="18"/>
                <w:b w:val="1"/>
                <w:bCs w:val="1"/>
                <w:color w:val="auto"/>
                <w:w w:val="88"/>
              </w:rPr>
              <w:t>535 Madison Avenue</w:t>
            </w:r>
          </w:p>
        </w:tc>
        <w:tc>
          <w:tcPr>
            <w:tcW w:w="1520" w:type="dxa"/>
            <w:vAlign w:val="bottom"/>
          </w:tcPr>
          <w:p>
            <w:pPr>
              <w:spacing w:after="0"/>
              <w:rPr>
                <w:sz w:val="24"/>
                <w:szCs w:val="24"/>
                <w:color w:val="auto"/>
              </w:rPr>
            </w:pPr>
          </w:p>
        </w:tc>
      </w:tr>
      <w:tr>
        <w:trPr>
          <w:trHeight w:val="220"/>
        </w:trPr>
        <w:tc>
          <w:tcPr>
            <w:tcW w:w="6360" w:type="dxa"/>
            <w:vAlign w:val="bottom"/>
          </w:tcPr>
          <w:p>
            <w:pPr>
              <w:jc w:val="center"/>
              <w:ind w:right="3490"/>
              <w:spacing w:after="0"/>
              <w:rPr>
                <w:sz w:val="20"/>
                <w:szCs w:val="20"/>
                <w:color w:val="auto"/>
              </w:rPr>
            </w:pPr>
            <w:r>
              <w:rPr>
                <w:rFonts w:ascii="Arial" w:cs="Arial" w:eastAsia="Arial" w:hAnsi="Arial"/>
                <w:sz w:val="18"/>
                <w:szCs w:val="18"/>
                <w:b w:val="1"/>
                <w:bCs w:val="1"/>
                <w:color w:val="auto"/>
                <w:w w:val="93"/>
              </w:rPr>
              <w:t>New York, New York</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10022</w:t>
            </w:r>
          </w:p>
        </w:tc>
      </w:tr>
      <w:tr>
        <w:trPr>
          <w:trHeight w:val="230"/>
        </w:trPr>
        <w:tc>
          <w:tcPr>
            <w:tcW w:w="6360" w:type="dxa"/>
            <w:vAlign w:val="bottom"/>
          </w:tcPr>
          <w:p>
            <w:pPr>
              <w:jc w:val="center"/>
              <w:ind w:right="3490"/>
              <w:spacing w:after="0"/>
              <w:rPr>
                <w:sz w:val="20"/>
                <w:szCs w:val="20"/>
                <w:color w:val="auto"/>
              </w:rPr>
            </w:pPr>
            <w:r>
              <w:rPr>
                <w:rFonts w:ascii="Arial" w:cs="Arial" w:eastAsia="Arial" w:hAnsi="Arial"/>
                <w:sz w:val="18"/>
                <w:szCs w:val="18"/>
                <w:color w:val="auto"/>
                <w:w w:val="92"/>
              </w:rPr>
              <w:t>(Address of principal executive office)</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360" w:type="dxa"/>
            <w:vAlign w:val="bottom"/>
          </w:tcPr>
          <w:p>
            <w:pPr>
              <w:jc w:val="right"/>
              <w:ind w:right="1410"/>
              <w:spacing w:after="0"/>
              <w:rPr>
                <w:sz w:val="20"/>
                <w:szCs w:val="20"/>
                <w:color w:val="auto"/>
              </w:rPr>
            </w:pPr>
            <w:r>
              <w:rPr>
                <w:rFonts w:ascii="Arial" w:cs="Arial" w:eastAsia="Arial" w:hAnsi="Arial"/>
                <w:sz w:val="18"/>
                <w:szCs w:val="18"/>
                <w:b w:val="1"/>
                <w:bCs w:val="1"/>
                <w:color w:val="auto"/>
              </w:rPr>
              <w:t>(212) 906-7800</w:t>
            </w:r>
          </w:p>
        </w:tc>
        <w:tc>
          <w:tcPr>
            <w:tcW w:w="1520" w:type="dxa"/>
            <w:vAlign w:val="bottom"/>
          </w:tcPr>
          <w:p>
            <w:pPr>
              <w:spacing w:after="0"/>
              <w:rPr>
                <w:sz w:val="24"/>
                <w:szCs w:val="24"/>
                <w:color w:val="auto"/>
              </w:rPr>
            </w:pPr>
          </w:p>
        </w:tc>
      </w:tr>
      <w:tr>
        <w:trPr>
          <w:trHeight w:val="230"/>
        </w:trPr>
        <w:tc>
          <w:tcPr>
            <w:tcW w:w="6360" w:type="dxa"/>
            <w:vAlign w:val="bottom"/>
          </w:tcPr>
          <w:p>
            <w:pPr>
              <w:jc w:val="center"/>
              <w:ind w:left="213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1" w:lineRule="exact"/>
        <w:rPr>
          <w:sz w:val="24"/>
          <w:szCs w:val="24"/>
          <w:color w:val="auto"/>
        </w:rPr>
      </w:pPr>
    </w:p>
    <w:p>
      <w:pPr>
        <w:ind w:right="6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24"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33" w:right="239" w:bottom="0" w:gutter="0" w:footer="0" w:header="0"/>
          <w:type w:val="continuous"/>
        </w:sectPr>
      </w:pPr>
    </w:p>
    <w:p>
      <w:pPr>
        <w:spacing w:after="0" w:line="48"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spacing w:after="0" w:line="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outstanding as of July 15, 2013 was 4,730,116.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Page</w:t>
            </w:r>
          </w:p>
        </w:tc>
      </w:tr>
      <w:tr>
        <w:trPr>
          <w:trHeight w:val="385"/>
        </w:trPr>
        <w:tc>
          <w:tcPr>
            <w:tcW w:w="600" w:type="dxa"/>
            <w:vAlign w:val="bottom"/>
            <w:gridSpan w:val="2"/>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560" w:type="dxa"/>
            <w:vAlign w:val="bottom"/>
          </w:tcPr>
          <w:p>
            <w:pPr>
              <w:spacing w:after="0"/>
              <w:rPr>
                <w:sz w:val="24"/>
                <w:szCs w:val="24"/>
                <w:color w:val="auto"/>
              </w:rPr>
            </w:pPr>
          </w:p>
        </w:tc>
        <w:tc>
          <w:tcPr>
            <w:tcW w:w="9640" w:type="dxa"/>
            <w:vAlign w:val="bottom"/>
            <w:gridSpan w:val="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380" w:type="dxa"/>
            <w:vAlign w:val="bottom"/>
            <w:tcBorders>
              <w:top w:val="single" w:sz="8" w:color="0000EE"/>
            </w:tcBorders>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260" w:type="dxa"/>
            <w:vAlign w:val="bottom"/>
            <w:gridSpan w:val="3"/>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59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6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Consolidated Statements of Assets and Liabilities as of May 31, 2013 (unaudited) and February 28, 2013</w:t>
              </w:r>
            </w:hyperlink>
          </w:p>
        </w:tc>
        <w:tc>
          <w:tcPr>
            <w:tcW w:w="20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for the three months ended May 31, 2013 and 2012 (unaudited)</w:t>
              </w:r>
            </w:hyperlink>
          </w:p>
        </w:tc>
        <w:tc>
          <w:tcPr>
            <w:tcW w:w="2220" w:type="dxa"/>
            <w:vAlign w:val="bottom"/>
            <w:gridSpan w:val="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Schedules of Investments as of May 31, 2013 (unaudited) and February 28, 2013</w:t>
              </w:r>
            </w:hyperlink>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60" w:type="dxa"/>
            <w:vAlign w:val="bottom"/>
            <w:tcBorders>
              <w:bottom w:val="single" w:sz="8" w:color="0000EE"/>
            </w:tcBorders>
            <w:gridSpan w:val="17"/>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Consolidated Statements of Changes in Net Assets for the three months ended May 31, 2013 and 2012 (unaudited)</w:t>
              </w:r>
            </w:hyperlink>
          </w:p>
        </w:tc>
        <w:tc>
          <w:tcPr>
            <w:tcW w:w="5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Consolidated Statements of Cash Flows for the three months ended May 31, 2013 and 2012 (unaudited)</w:t>
              </w:r>
            </w:hyperlink>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6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Notes to Consolidated Financial Statements as of May 31, 2013 (unaudited)</w:t>
              </w:r>
            </w:hyperlink>
          </w:p>
        </w:tc>
        <w:tc>
          <w:tcPr>
            <w:tcW w:w="1360" w:type="dxa"/>
            <w:vAlign w:val="bottom"/>
            <w:tcBorders>
              <w:top w:val="single" w:sz="8" w:color="0000EE"/>
            </w:tcBorders>
            <w:gridSpan w:val="2"/>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412"/>
        </w:trPr>
        <w:tc>
          <w:tcPr>
            <w:tcW w:w="640" w:type="dxa"/>
            <w:vAlign w:val="bottom"/>
            <w:tcBorders>
              <w:bottom w:val="single" w:sz="8" w:color="0000EE"/>
            </w:tcBorders>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520" w:type="dxa"/>
            <w:vAlign w:val="bottom"/>
            <w:gridSpan w:val="3"/>
          </w:tcPr>
          <w:p>
            <w:pPr>
              <w:spacing w:after="0"/>
              <w:rPr>
                <w:sz w:val="24"/>
                <w:szCs w:val="24"/>
                <w:color w:val="auto"/>
              </w:rPr>
            </w:pPr>
          </w:p>
        </w:tc>
        <w:tc>
          <w:tcPr>
            <w:tcW w:w="646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3.</w:t>
              </w:r>
            </w:hyperlink>
          </w:p>
        </w:tc>
        <w:tc>
          <w:tcPr>
            <w:tcW w:w="620" w:type="dxa"/>
            <w:vAlign w:val="bottom"/>
            <w:gridSpan w:val="4"/>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Quantitative and Qualitative Disclosures About Market Risk</w:t>
              </w:r>
            </w:hyperlink>
          </w:p>
        </w:tc>
        <w:tc>
          <w:tcPr>
            <w:tcW w:w="2460" w:type="dxa"/>
            <w:vAlign w:val="bottom"/>
            <w:gridSpan w:val="3"/>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640" w:type="dxa"/>
            <w:vAlign w:val="bottom"/>
            <w:gridSpan w:val="5"/>
          </w:tcPr>
          <w:p>
            <w:pPr>
              <w:spacing w:after="0"/>
              <w:rPr>
                <w:sz w:val="24"/>
                <w:szCs w:val="24"/>
                <w:color w:val="auto"/>
              </w:rPr>
            </w:pPr>
          </w:p>
        </w:tc>
        <w:tc>
          <w:tcPr>
            <w:tcW w:w="682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6820" w:type="dxa"/>
            <w:vAlign w:val="bottom"/>
            <w:gridSpan w:val="13"/>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OTHER INFORMATION</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1.</w:t>
              </w:r>
            </w:hyperlink>
          </w:p>
        </w:tc>
        <w:tc>
          <w:tcPr>
            <w:tcW w:w="120" w:type="dxa"/>
            <w:vAlign w:val="bottom"/>
            <w:tcBorders>
              <w:top w:val="single" w:sz="8" w:color="0000EE"/>
            </w:tcBorders>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4800" w:type="dxa"/>
            <w:vAlign w:val="bottom"/>
            <w:gridSpan w:val="6"/>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6820" w:type="dxa"/>
            <w:vAlign w:val="bottom"/>
            <w:gridSpan w:val="1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520" w:type="dxa"/>
            <w:vAlign w:val="bottom"/>
            <w:gridSpan w:val="3"/>
          </w:tcPr>
          <w:p>
            <w:pPr>
              <w:spacing w:after="0"/>
              <w:rPr>
                <w:sz w:val="24"/>
                <w:szCs w:val="24"/>
                <w:color w:val="auto"/>
              </w:rPr>
            </w:pPr>
          </w:p>
        </w:tc>
        <w:tc>
          <w:tcPr>
            <w:tcW w:w="6820" w:type="dxa"/>
            <w:vAlign w:val="bottom"/>
            <w:gridSpan w:val="1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Unregistered Sales of Equity Securities and Use of Proceeds</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3.</w:t>
              </w:r>
            </w:hyperlink>
          </w:p>
        </w:tc>
        <w:tc>
          <w:tcPr>
            <w:tcW w:w="220" w:type="dxa"/>
            <w:vAlign w:val="bottom"/>
            <w:gridSpan w:val="3"/>
          </w:tcPr>
          <w:p>
            <w:pPr>
              <w:spacing w:after="0"/>
              <w:rPr>
                <w:sz w:val="24"/>
                <w:szCs w:val="24"/>
                <w:color w:val="auto"/>
              </w:rPr>
            </w:pPr>
          </w:p>
        </w:tc>
        <w:tc>
          <w:tcPr>
            <w:tcW w:w="400" w:type="dxa"/>
            <w:vAlign w:val="bottom"/>
          </w:tcPr>
          <w:p>
            <w:pPr>
              <w:spacing w:after="0"/>
              <w:rPr>
                <w:sz w:val="24"/>
                <w:szCs w:val="24"/>
                <w:color w:val="auto"/>
              </w:rPr>
            </w:pP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Defaults upon Senior Securities</w:t>
              </w:r>
            </w:hyperlink>
          </w:p>
        </w:tc>
        <w:tc>
          <w:tcPr>
            <w:tcW w:w="2480" w:type="dxa"/>
            <w:vAlign w:val="bottom"/>
            <w:gridSpan w:val="4"/>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tcBorders>
            <w:gridSpan w:val="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4.</w:t>
              </w:r>
            </w:hyperlink>
          </w:p>
        </w:tc>
        <w:tc>
          <w:tcPr>
            <w:tcW w:w="220" w:type="dxa"/>
            <w:vAlign w:val="bottom"/>
            <w:tcBorders>
              <w:top w:val="single" w:sz="8" w:color="0000EE"/>
            </w:tcBorders>
            <w:gridSpan w:val="3"/>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Borders>
              <w:top w:val="single" w:sz="8" w:color="0000EE"/>
            </w:tcBorders>
            <w:gridSpan w:val="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Mine Safety Disclosures</w:t>
              </w:r>
            </w:hyperlink>
          </w:p>
        </w:tc>
        <w:tc>
          <w:tcPr>
            <w:tcW w:w="4540" w:type="dxa"/>
            <w:vAlign w:val="bottom"/>
            <w:gridSpan w:val="5"/>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5.</w:t>
              </w:r>
            </w:hyperlink>
          </w:p>
        </w:tc>
        <w:tc>
          <w:tcPr>
            <w:tcW w:w="620" w:type="dxa"/>
            <w:vAlign w:val="bottom"/>
            <w:gridSpan w:val="4"/>
          </w:tcPr>
          <w:p>
            <w:pPr>
              <w:spacing w:after="0"/>
              <w:rPr>
                <w:sz w:val="24"/>
                <w:szCs w:val="24"/>
                <w:color w:val="auto"/>
              </w:rPr>
            </w:pPr>
          </w:p>
        </w:tc>
        <w:tc>
          <w:tcPr>
            <w:tcW w:w="132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9">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2"/>
          </w:tcPr>
          <w:p>
            <w:pPr>
              <w:spacing w:after="0"/>
              <w:rPr>
                <w:sz w:val="24"/>
                <w:szCs w:val="24"/>
                <w:color w:val="auto"/>
              </w:rPr>
            </w:pPr>
          </w:p>
        </w:tc>
        <w:tc>
          <w:tcPr>
            <w:tcW w:w="5060" w:type="dxa"/>
            <w:vAlign w:val="bottom"/>
            <w:gridSpan w:val="7"/>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9">
              <w:r>
                <w:rPr>
                  <w:rFonts w:ascii="Arial" w:cs="Arial" w:eastAsia="Arial" w:hAnsi="Arial"/>
                  <w:sz w:val="18"/>
                  <w:szCs w:val="18"/>
                  <w:color w:val="0000EE"/>
                  <w:w w:val="94"/>
                </w:rPr>
                <w:t>Item 6.</w:t>
              </w:r>
            </w:hyperlink>
          </w:p>
        </w:tc>
        <w:tc>
          <w:tcPr>
            <w:tcW w:w="620" w:type="dxa"/>
            <w:vAlign w:val="bottom"/>
            <w:gridSpan w:val="4"/>
          </w:tcPr>
          <w:p>
            <w:pPr>
              <w:spacing w:after="0"/>
              <w:rPr>
                <w:sz w:val="24"/>
                <w:szCs w:val="24"/>
                <w:color w:val="auto"/>
              </w:rPr>
            </w:pP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9">
              <w:r>
                <w:rPr>
                  <w:rFonts w:ascii="Arial" w:cs="Arial" w:eastAsia="Arial" w:hAnsi="Arial"/>
                  <w:sz w:val="18"/>
                  <w:szCs w:val="18"/>
                  <w:color w:val="0000EE"/>
                  <w:w w:val="91"/>
                </w:rPr>
                <w:t>Exhibits</w:t>
              </w:r>
            </w:hyperlink>
          </w:p>
        </w:tc>
        <w:tc>
          <w:tcPr>
            <w:tcW w:w="6220" w:type="dxa"/>
            <w:vAlign w:val="bottom"/>
            <w:gridSpan w:val="11"/>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5460" w:type="dxa"/>
            <w:vAlign w:val="bottom"/>
            <w:gridSpan w:val="11"/>
          </w:tcPr>
          <w:p>
            <w:pPr>
              <w:jc w:val="center"/>
              <w:ind w:left="3550"/>
              <w:spacing w:after="0"/>
              <w:rPr>
                <w:sz w:val="20"/>
                <w:szCs w:val="20"/>
                <w:color w:val="auto"/>
              </w:rPr>
            </w:pPr>
            <w:r>
              <w:rPr>
                <w:rFonts w:ascii="Arial" w:cs="Arial" w:eastAsia="Arial" w:hAnsi="Arial"/>
                <w:sz w:val="18"/>
                <w:szCs w:val="18"/>
                <w:color w:val="auto"/>
                <w:w w:val="99"/>
              </w:rPr>
              <w:t>2</w:t>
            </w: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80" w:type="dxa"/>
            <w:vAlign w:val="bottom"/>
            <w:gridSpan w:val="2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gridSpan w:val="5"/>
          </w:tcPr>
          <w:p>
            <w:pPr>
              <w:jc w:val="center"/>
              <w:spacing w:after="0"/>
              <w:rPr>
                <w:sz w:val="20"/>
                <w:szCs w:val="20"/>
                <w:color w:val="auto"/>
              </w:rPr>
            </w:pPr>
            <w:r>
              <w:rPr>
                <w:rFonts w:ascii="Arial" w:cs="Arial" w:eastAsia="Arial" w:hAnsi="Arial"/>
                <w:sz w:val="18"/>
                <w:szCs w:val="18"/>
                <w:b w:val="1"/>
                <w:bCs w:val="1"/>
                <w:color w:val="auto"/>
              </w:rPr>
              <w:t>PART I FINANCIAL INFORMATION</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80" w:type="dxa"/>
            <w:vAlign w:val="bottom"/>
            <w:gridSpan w:val="20"/>
          </w:tcPr>
          <w:p>
            <w:pPr>
              <w:spacing w:after="0"/>
              <w:rPr>
                <w:sz w:val="20"/>
                <w:szCs w:val="20"/>
                <w:color w:val="auto"/>
              </w:rPr>
            </w:pPr>
            <w:r>
              <w:rPr>
                <w:rFonts w:ascii="Arial" w:cs="Arial" w:eastAsia="Arial" w:hAnsi="Arial"/>
                <w:sz w:val="18"/>
                <w:szCs w:val="18"/>
                <w:b w:val="1"/>
                <w:bCs w:val="1"/>
                <w:color w:val="auto"/>
              </w:rPr>
              <w:t>Item 1. Financial Statements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Saratoga Investment Corp.</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May 31, 2013</w:t>
            </w:r>
          </w:p>
        </w:tc>
        <w:tc>
          <w:tcPr>
            <w:tcW w:w="100" w:type="dxa"/>
            <w:vAlign w:val="bottom"/>
          </w:tcPr>
          <w:p>
            <w:pPr>
              <w:spacing w:after="0"/>
              <w:rPr>
                <w:sz w:val="12"/>
                <w:szCs w:val="12"/>
                <w:color w:val="auto"/>
              </w:rPr>
            </w:pPr>
          </w:p>
        </w:tc>
        <w:tc>
          <w:tcPr>
            <w:tcW w:w="1260" w:type="dxa"/>
            <w:vAlign w:val="bottom"/>
          </w:tcPr>
          <w:p>
            <w:pPr>
              <w:jc w:val="right"/>
              <w:ind w:right="3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259"/>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tcPr>
          <w:p>
            <w:pPr>
              <w:ind w:left="160"/>
              <w:spacing w:after="0"/>
              <w:rPr>
                <w:sz w:val="20"/>
                <w:szCs w:val="20"/>
                <w:color w:val="auto"/>
              </w:rPr>
            </w:pPr>
            <w:r>
              <w:rPr>
                <w:rFonts w:ascii="Arial" w:cs="Arial" w:eastAsia="Arial" w:hAnsi="Arial"/>
                <w:sz w:val="18"/>
                <w:szCs w:val="18"/>
                <w:color w:val="auto"/>
                <w:w w:val="95"/>
              </w:rPr>
              <w:t>Non-control/non-affiliate investments (amortized cost of $140,710,469 and $130,465,086, respectively)</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141,254,519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129,563,428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shd w:val="clear" w:color="auto" w:fill="CCEEFF"/>
          </w:tcPr>
          <w:p>
            <w:pPr>
              <w:ind w:left="160"/>
              <w:spacing w:after="0"/>
              <w:rPr>
                <w:sz w:val="20"/>
                <w:szCs w:val="20"/>
                <w:color w:val="auto"/>
              </w:rPr>
            </w:pPr>
            <w:r>
              <w:rPr>
                <w:rFonts w:ascii="Arial" w:cs="Arial" w:eastAsia="Arial" w:hAnsi="Arial"/>
                <w:sz w:val="18"/>
                <w:szCs w:val="18"/>
                <w:color w:val="auto"/>
              </w:rPr>
              <w:t>Control investments (cost of $17,657,435 and $18,944,966 respectively)</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23,584,582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25,516,959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gridSpan w:val="19"/>
          </w:tcPr>
          <w:p>
            <w:pPr>
              <w:ind w:left="160"/>
              <w:spacing w:after="0"/>
              <w:rPr>
                <w:sz w:val="20"/>
                <w:szCs w:val="20"/>
                <w:color w:val="auto"/>
              </w:rPr>
            </w:pPr>
            <w:r>
              <w:rPr>
                <w:rFonts w:ascii="Arial" w:cs="Arial" w:eastAsia="Arial" w:hAnsi="Arial"/>
                <w:sz w:val="18"/>
                <w:szCs w:val="18"/>
                <w:color w:val="auto"/>
              </w:rPr>
              <w:t>Total investments at fair value (amortized cost of $158,367,904 and $149,410,052 respectively)</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164,839,101</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155,080,387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31,555,038</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tcPr>
          <w:p>
            <w:pPr>
              <w:spacing w:after="0"/>
              <w:rPr>
                <w:sz w:val="20"/>
                <w:szCs w:val="20"/>
                <w:color w:val="auto"/>
              </w:rPr>
            </w:pPr>
            <w:r>
              <w:rPr>
                <w:rFonts w:ascii="Arial" w:cs="Arial" w:eastAsia="Arial" w:hAnsi="Arial"/>
                <w:sz w:val="18"/>
                <w:szCs w:val="18"/>
                <w:color w:val="auto"/>
              </w:rPr>
              <w:t>Cash and cash equivalents, reserve accounts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4,812,160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12,086,142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Interest receivable, (net of reserve of $114,742 and $53,543, respectively)</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2,152,892</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tcPr>
          <w:p>
            <w:pPr>
              <w:spacing w:after="0"/>
              <w:rPr>
                <w:sz w:val="20"/>
                <w:szCs w:val="20"/>
                <w:color w:val="auto"/>
              </w:rPr>
            </w:pPr>
            <w:r>
              <w:rPr>
                <w:rFonts w:ascii="Arial" w:cs="Arial" w:eastAsia="Arial" w:hAnsi="Arial"/>
                <w:sz w:val="18"/>
                <w:szCs w:val="18"/>
                <w:color w:val="auto"/>
              </w:rPr>
              <w:t>Due from manager</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Deferred debt financing costs, net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4,494,124</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tcPr>
          <w:p>
            <w:pPr>
              <w:spacing w:after="0"/>
              <w:rPr>
                <w:sz w:val="20"/>
                <w:szCs w:val="20"/>
                <w:color w:val="auto"/>
              </w:rPr>
            </w:pPr>
            <w:r>
              <w:rPr>
                <w:rFonts w:ascii="Arial" w:cs="Arial" w:eastAsia="Arial" w:hAnsi="Arial"/>
                <w:sz w:val="18"/>
                <w:szCs w:val="18"/>
                <w:color w:val="auto"/>
              </w:rPr>
              <w:t>Management fee receivable</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215,821</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215,853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147,763</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tcPr>
          <w:p>
            <w:pPr>
              <w:spacing w:after="0"/>
              <w:rPr>
                <w:sz w:val="20"/>
                <w:szCs w:val="20"/>
                <w:color w:val="auto"/>
              </w:rPr>
            </w:pPr>
            <w:r>
              <w:rPr>
                <w:rFonts w:ascii="Arial" w:cs="Arial" w:eastAsia="Arial" w:hAnsi="Arial"/>
                <w:sz w:val="18"/>
                <w:szCs w:val="18"/>
                <w:color w:val="auto"/>
              </w:rPr>
              <w:t>Receivable from unsettled trades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1,817,074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40" w:type="dxa"/>
            <w:vAlign w:val="bottom"/>
            <w:tcBorders>
              <w:top w:val="single" w:sz="8" w:color="CCEEFF"/>
              <w:bottom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w w:val="98"/>
              </w:rPr>
              <w:t>Total assets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208,229,892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174,411,430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tcPr>
          <w:p>
            <w:pPr>
              <w:spacing w:after="0"/>
              <w:rPr>
                <w:sz w:val="20"/>
                <w:szCs w:val="20"/>
                <w:color w:val="auto"/>
              </w:rPr>
            </w:pPr>
            <w:r>
              <w:rPr>
                <w:rFonts w:ascii="Arial" w:cs="Arial" w:eastAsia="Arial" w:hAnsi="Arial"/>
                <w:sz w:val="18"/>
                <w:szCs w:val="18"/>
                <w:color w:val="auto"/>
              </w:rPr>
              <w:t>Revolving credit facility</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24,300,000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SBA debentures payable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40,000,000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Arial" w:cs="Arial" w:eastAsia="Arial" w:hAnsi="Arial"/>
                <w:sz w:val="18"/>
                <w:szCs w:val="18"/>
                <w:color w:val="auto"/>
                <w:w w:val="97"/>
              </w:rPr>
              <w:t>Notes payable</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48,300,000</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6,067,160</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4,509,322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tcPr>
          <w:p>
            <w:pPr>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673,106</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435,038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60" w:type="dxa"/>
            <w:vAlign w:val="bottom"/>
            <w:gridSpan w:val="19"/>
            <w:shd w:val="clear" w:color="auto" w:fill="CCEEFF"/>
          </w:tcPr>
          <w:p>
            <w:pPr>
              <w:spacing w:after="0"/>
              <w:rPr>
                <w:sz w:val="20"/>
                <w:szCs w:val="20"/>
                <w:color w:val="auto"/>
              </w:rPr>
            </w:pPr>
            <w:r>
              <w:rPr>
                <w:rFonts w:ascii="Arial" w:cs="Arial" w:eastAsia="Arial" w:hAnsi="Arial"/>
                <w:sz w:val="18"/>
                <w:szCs w:val="18"/>
                <w:color w:val="auto"/>
              </w:rPr>
              <w:t>Interest and debt fees payable</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484,287</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6"/>
          </w:tcPr>
          <w:p>
            <w:pPr>
              <w:spacing w:after="0"/>
              <w:rPr>
                <w:sz w:val="20"/>
                <w:szCs w:val="20"/>
                <w:color w:val="auto"/>
              </w:rPr>
            </w:pPr>
            <w:r>
              <w:rPr>
                <w:rFonts w:ascii="Arial" w:cs="Arial" w:eastAsia="Arial" w:hAnsi="Arial"/>
                <w:sz w:val="18"/>
                <w:szCs w:val="18"/>
                <w:color w:val="auto"/>
                <w:w w:val="86"/>
              </w:rPr>
              <w:t>Due to manager</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4"/>
          </w:tcPr>
          <w:p>
            <w:pPr>
              <w:jc w:val="right"/>
              <w:ind w:right="280"/>
              <w:spacing w:after="0"/>
              <w:rPr>
                <w:sz w:val="20"/>
                <w:szCs w:val="20"/>
                <w:color w:val="auto"/>
              </w:rPr>
            </w:pPr>
            <w:r>
              <w:rPr>
                <w:rFonts w:ascii="Arial" w:cs="Arial" w:eastAsia="Arial" w:hAnsi="Arial"/>
                <w:sz w:val="18"/>
                <w:szCs w:val="18"/>
                <w:color w:val="auto"/>
              </w:rPr>
              <w:t>218,727</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222,513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60" w:type="dxa"/>
            <w:vAlign w:val="bottom"/>
            <w:tcBorders>
              <w:top w:val="single" w:sz="8" w:color="CCEEFF"/>
              <w:bottom w:val="single" w:sz="8" w:color="CCEEFF"/>
            </w:tcBorders>
            <w:gridSpan w:val="19"/>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95,743,280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65,724,669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-5429885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-5429885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7980" w:type="dxa"/>
            <w:vAlign w:val="bottom"/>
            <w:gridSpan w:val="5"/>
          </w:tcPr>
          <w:p>
            <w:pPr>
              <w:spacing w:after="0"/>
              <w:rPr>
                <w:sz w:val="20"/>
                <w:szCs w:val="20"/>
                <w:color w:val="auto"/>
              </w:rPr>
            </w:pPr>
            <w:r>
              <w:rPr>
                <w:rFonts w:ascii="Arial" w:cs="Arial" w:eastAsia="Arial" w:hAnsi="Arial"/>
                <w:sz w:val="18"/>
                <w:szCs w:val="18"/>
                <w:color w:val="auto"/>
                <w:w w:val="91"/>
              </w:rPr>
              <w:t>Common stock, par value $.001, 100,000,000 common shares authorized, 4,730,116 and 4,730,116 common</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w w:val="84"/>
              </w:rPr>
              <w:t>4,730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4,730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shares issued and outstanding, respectively</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174,824,076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174,824,076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Distribution in excess of net investment income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20"/>
              <w:spacing w:after="0"/>
              <w:rPr>
                <w:sz w:val="20"/>
                <w:szCs w:val="20"/>
                <w:color w:val="auto"/>
              </w:rPr>
            </w:pPr>
            <w:r>
              <w:rPr>
                <w:rFonts w:ascii="Arial" w:cs="Arial" w:eastAsia="Arial" w:hAnsi="Arial"/>
                <w:sz w:val="18"/>
                <w:szCs w:val="18"/>
                <w:color w:val="auto"/>
              </w:rPr>
              <w:t>(22,053,262)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(24,522,951)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(46,760,127)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(47,289,427)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unrealized appreciation on investments and derivatives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4"/>
          </w:tcPr>
          <w:p>
            <w:pPr>
              <w:jc w:val="right"/>
              <w:ind w:right="80"/>
              <w:spacing w:after="0"/>
              <w:rPr>
                <w:sz w:val="20"/>
                <w:szCs w:val="20"/>
                <w:color w:val="auto"/>
              </w:rPr>
            </w:pPr>
            <w:r>
              <w:rPr>
                <w:rFonts w:ascii="Arial" w:cs="Arial" w:eastAsia="Arial" w:hAnsi="Arial"/>
                <w:sz w:val="18"/>
                <w:szCs w:val="18"/>
                <w:color w:val="auto"/>
              </w:rPr>
              <w:t>6,471,195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5,670,333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Net Assets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112,486,612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108,686,761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208,229,892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174,411,430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84"/>
              </w:rPr>
              <w:t>23.78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bottom w:val="single" w:sz="8" w:color="CCEEFF"/>
            </w:tcBorders>
            <w:gridSpan w:val="3"/>
            <w:vMerge w:val="restart"/>
          </w:tcPr>
          <w:p>
            <w:pPr>
              <w:jc w:val="center"/>
              <w:ind w:left="20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0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gridSpan w:val="3"/>
          </w:tcPr>
          <w:p>
            <w:pPr>
              <w:jc w:val="center"/>
              <w:ind w:left="3970"/>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0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3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080" w:type="dxa"/>
            <w:vAlign w:val="bottom"/>
          </w:tcPr>
          <w:p>
            <w:pPr>
              <w:jc w:val="center"/>
              <w:ind w:left="2710"/>
              <w:spacing w:after="0"/>
              <w:rPr>
                <w:sz w:val="20"/>
                <w:szCs w:val="20"/>
                <w:color w:val="auto"/>
              </w:rPr>
            </w:pPr>
            <w:r>
              <w:rPr>
                <w:rFonts w:ascii="Arial" w:cs="Arial" w:eastAsia="Arial" w:hAnsi="Arial"/>
                <w:sz w:val="18"/>
                <w:szCs w:val="18"/>
                <w:b w:val="1"/>
                <w:bCs w:val="1"/>
                <w:color w:val="auto"/>
                <w:w w:val="90"/>
              </w:rPr>
              <w:t>Saratoga Investment Corp.</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80" w:type="dxa"/>
            <w:vAlign w:val="bottom"/>
          </w:tcPr>
          <w:p>
            <w:pPr>
              <w:jc w:val="center"/>
              <w:ind w:left="271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For the three months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For the three months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ended May 31, 2013</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4"/>
              </w:rPr>
              <w:t>ended May 31, 2012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3"/>
          </w:tcPr>
          <w:p>
            <w:pPr>
              <w:jc w:val="center"/>
              <w:ind w:right="410"/>
              <w:spacing w:after="0"/>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center"/>
              <w:ind w:right="411"/>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26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Interest from investments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62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4,045,585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2,064,985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ind w:left="160"/>
              <w:spacing w:after="0"/>
              <w:rPr>
                <w:sz w:val="20"/>
                <w:szCs w:val="20"/>
                <w:color w:val="auto"/>
              </w:rPr>
            </w:pPr>
            <w:r>
              <w:rPr>
                <w:rFonts w:ascii="Arial" w:cs="Arial" w:eastAsia="Arial" w:hAnsi="Arial"/>
                <w:sz w:val="18"/>
                <w:szCs w:val="18"/>
                <w:color w:val="auto"/>
              </w:rPr>
              <w:t>Control investments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1,126,004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1,045,785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interest income</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5,171,589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3,110,770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Interest from cash and cash equivalents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fee income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498,091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346,176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investment income</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6,017,762</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3,619,182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Interest and debt financing expenses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1,127,855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625,703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736,716</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458,808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331,064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345,839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Incentive management fees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821,122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430,271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Insurance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Directors fees and expenses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51,000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Other expense</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3,123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3,548,073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2,346,392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2,469,689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1,272,790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realized gain from investments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529,300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178,630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realized loss from derivatives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Net unrealized appreciation on investments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800,862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1,739,422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unrealized appreciation on derivatives</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Net gain on investments</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1,330,162</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1,917,977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302"/>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3,799,851</w:t>
            </w:r>
          </w:p>
        </w:tc>
        <w:tc>
          <w:tcPr>
            <w:tcW w:w="2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3,190,767</w:t>
            </w:r>
          </w:p>
        </w:tc>
        <w:tc>
          <w:tcPr>
            <w:tcW w:w="10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WEIGHTED AVERAGE - BASIC AND DILUTED EARNINGS PER COMMON SHARE</w:t>
            </w:r>
          </w:p>
        </w:tc>
        <w:tc>
          <w:tcPr>
            <w:tcW w:w="620" w:type="dxa"/>
            <w:vAlign w:val="bottom"/>
            <w:gridSpan w:val="2"/>
          </w:tcPr>
          <w:p>
            <w:pPr>
              <w:jc w:val="right"/>
              <w:ind w:right="30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WEIGHTED AVERAGE COMMON STOCK OUTSTANDING - BASIC AND DILUTED</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4,730,116</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3,876,661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-6579870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-6579870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Schedule of Investments</w:t>
      </w:r>
    </w:p>
    <w:p>
      <w:pPr>
        <w:sectPr>
          <w:pgSz w:w="11900" w:h="16838" w:orient="portrait"/>
          <w:cols w:equalWidth="0" w:num="1">
            <w:col w:w="11460"/>
          </w:cols>
          <w:pgMar w:left="240" w:top="125" w:right="199" w:bottom="0" w:gutter="0" w:footer="0" w:header="0"/>
        </w:sectPr>
      </w:pPr>
    </w:p>
    <w:bookmarkStart w:id="3" w:name="page4"/>
    <w:bookmarkEnd w:id="3"/>
    <w:p>
      <w:pPr>
        <w:ind w:left="5200"/>
        <w:spacing w:after="0"/>
        <w:rPr>
          <w:sz w:val="20"/>
          <w:szCs w:val="20"/>
          <w:color w:val="auto"/>
        </w:rPr>
      </w:pPr>
      <w:r>
        <w:rPr>
          <w:rFonts w:ascii="Arial" w:cs="Arial" w:eastAsia="Arial" w:hAnsi="Arial"/>
          <w:sz w:val="18"/>
          <w:szCs w:val="18"/>
          <w:b w:val="1"/>
          <w:bCs w:val="1"/>
          <w:color w:val="auto"/>
        </w:rPr>
        <w:t>May 31, 2013</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(a)</w:t>
            </w:r>
          </w:p>
        </w:tc>
        <w:tc>
          <w:tcPr>
            <w:tcW w:w="100" w:type="dxa"/>
            <w:vAlign w:val="bottom"/>
          </w:tcPr>
          <w:p>
            <w:pPr>
              <w:spacing w:after="0"/>
              <w:rPr>
                <w:sz w:val="14"/>
                <w:szCs w:val="14"/>
                <w:color w:val="auto"/>
              </w:rPr>
            </w:pPr>
          </w:p>
        </w:tc>
        <w:tc>
          <w:tcPr>
            <w:tcW w:w="118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7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 Interest Rate / Maturity</w:t>
            </w: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Principal/</w:t>
            </w:r>
          </w:p>
        </w:tc>
        <w:tc>
          <w:tcPr>
            <w:tcW w:w="240" w:type="dxa"/>
            <w:vAlign w:val="bottom"/>
          </w:tcPr>
          <w:p>
            <w:pPr>
              <w:spacing w:after="0"/>
              <w:rPr>
                <w:sz w:val="14"/>
                <w:szCs w:val="14"/>
                <w:color w:val="auto"/>
              </w:rPr>
            </w:pPr>
          </w:p>
        </w:tc>
        <w:tc>
          <w:tcPr>
            <w:tcW w:w="9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 (c)</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Number of Shares</w:t>
            </w:r>
          </w:p>
        </w:tc>
        <w:tc>
          <w:tcPr>
            <w:tcW w:w="2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2"/>
              </w:rPr>
              <w:t>Non-control/Non-affiliated investments -</w:t>
            </w:r>
          </w:p>
        </w:tc>
        <w:tc>
          <w:tcPr>
            <w:tcW w:w="10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125.5% (b)</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Coast Plating, Inc.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Aerospace</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11.70% Cash, 9/13/2014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2,528,759</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2,465,034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2,465,034</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Coast Plating, Inc.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Aerospace</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12.45% Cash, 9/13/2014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942,087</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918,346</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918,346</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Aerospace</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3,383,380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3,383,380</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National Truck Protection Co., Inc. (d), (g)</w:t>
            </w:r>
          </w:p>
        </w:tc>
        <w:tc>
          <w:tcPr>
            <w:tcW w:w="1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Automotive</w:t>
            </w: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589</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601,258</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Automotive</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15.50% (13.50% Cash/2.00% PIK),</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8/10/2017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5,500,000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5,471,119</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5,471,119</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Take 5 Oil Change, L.L.C.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Automotive</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9.00% Cash, 11/28/2016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6,000,000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6,000,000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6,000,000</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Take 5 Oil Change, L.L.C.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Automotive</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13.00% Cash, 11/28/2016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1,964,333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2,000,000</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Take 5 Oil Change, L.L.C. (d), (g)</w:t>
            </w:r>
          </w:p>
        </w:tc>
        <w:tc>
          <w:tcPr>
            <w:tcW w:w="1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Automotive</w:t>
            </w: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7,128</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712,800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804,894</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Automotive</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14,648,252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14,877,271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Building Products</w:t>
            </w: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 Voting A-1</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2,535</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220,900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Building Products</w:t>
            </w: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 Voting B-1</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1,600</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139,424</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Legacy Cabinets, Inc.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Building Products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7.25% (1.00% Cash/6.25% PIK), 5/3/2014</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337,235</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337,234</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294,608</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Building Products</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697,558</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294,608</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Note</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12.50% Cash, 1/1/2018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7,000,000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6,866,531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7,315,000</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Easy Ice, LLC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First Lien Term Loan 14.00% (11.00% Cash</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3.00% PIK), 3/29/2018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7,338,378</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7,197,495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7,338,378</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Senior Secured Note</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14.00% (13.00% Cash/1.00% PIK),</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7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12/28/2017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5,724,425</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5,620,102</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5,724,426</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8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276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Emily Street Enterprises, L.L.C. (d), (g)</w:t>
            </w:r>
          </w:p>
        </w:tc>
        <w:tc>
          <w:tcPr>
            <w:tcW w:w="1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Business Services</w:t>
            </w: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 Membership Interests</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49,318</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400,000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463,589</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w:t>
            </w: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11.00% Cash, 11/29/2017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6,200,000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6,088,495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6,200,000</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w w:val="96"/>
              </w:rPr>
              <w:t>First Lien Term Loan, 14.00% (12.00% Cash,</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2.00% PIK), 3/6/2018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9,570,581</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9,389,157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9,570,581</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Vector Controls Holding Co., LLC (d), (g)</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Business Services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Warrants to Purchase Limited Liability</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Company Interests</w:t>
            </w:r>
          </w:p>
        </w:tc>
        <w:tc>
          <w:tcPr>
            <w:tcW w:w="12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101</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Business Services</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35,561,780</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36,611,974</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32.5%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Targus Group International, Inc.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Consumer Products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11.00% Cash, 5/24/2016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3,930,007</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3,882,605</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3,900,532</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Consumer Products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Unsecured Note</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10.00% PIK, 6/14/2019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2,047,391</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1,914,341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1,143,687</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3"/>
              </w:rPr>
              <w:t>Consumer Products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Unsecured Note</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16.00% Cash, 10/26/2018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344,773</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338,861</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318,156</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93"/>
              </w:rPr>
              <w:t>Consumer Products</w:t>
            </w: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62,413</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566,765</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3,123,771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Consumer Products</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6,702,572</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8,486,146</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CFF Acquisition L.L.C.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4"/>
              </w:rPr>
              <w:t>Consumer Services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7.50% Cash, 7/31/2015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1,798,016</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1,701,650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1,798,016</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Expedited Travel L.L.C.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4"/>
              </w:rPr>
              <w:t>Consumer Services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12.00% Cash, 12/28/2017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4,767,500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4,669,337</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4,767,500</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w w:val="94"/>
              </w:rPr>
              <w:t>Consumer Services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11.00% Cash, 12/31/2016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2,941,006</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Consumer Services</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9,311,993</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9,565,516</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M/C Acquisition Corp., L.L.C.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Education</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First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1.00% Cash, 6/28/2013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2,888,564</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1,586,846</w:t>
            </w: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469,540</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 (g)</w:t>
            </w:r>
          </w:p>
        </w:tc>
        <w:tc>
          <w:tcPr>
            <w:tcW w:w="1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Education</w:t>
            </w: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Class A Common Stock</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544,761</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30,242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Education</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1,617,088</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469,540</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Group Dekko, Inc. (d)</w:t>
            </w:r>
          </w:p>
        </w:tc>
        <w:tc>
          <w:tcPr>
            <w:tcW w:w="128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Electronics</w:t>
            </w:r>
          </w:p>
        </w:tc>
        <w:tc>
          <w:tcPr>
            <w:tcW w:w="286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Term Loan</w:t>
            </w:r>
          </w:p>
        </w:tc>
        <w:tc>
          <w:tcPr>
            <w:tcW w:w="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6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w w:val="98"/>
              </w:rPr>
              <w:t>11.00% (10.00% Cash/1.00% PIK), 5/1/2016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6,848,480</w:t>
            </w:r>
          </w:p>
        </w:tc>
        <w:tc>
          <w:tcPr>
            <w:tcW w:w="2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6,848,480</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6,765,613</w:t>
            </w:r>
          </w:p>
        </w:tc>
        <w:tc>
          <w:tcPr>
            <w:tcW w:w="1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Electronics</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6,848,480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6,765,613</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USS Parent Holding Corp. (d), (g)</w:t>
            </w:r>
          </w:p>
        </w:tc>
        <w:tc>
          <w:tcPr>
            <w:tcW w:w="1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Environmental</w:t>
            </w: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Non Voting Common Stock</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765</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133,002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169,759</w:t>
            </w: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USS Parent Holding Corp. (d), (g)</w:t>
            </w:r>
          </w:p>
        </w:tc>
        <w:tc>
          <w:tcPr>
            <w:tcW w:w="12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Environmental</w:t>
            </w:r>
          </w:p>
        </w:tc>
        <w:tc>
          <w:tcPr>
            <w:tcW w:w="286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Voting Common Stock</w:t>
            </w:r>
          </w:p>
        </w:tc>
        <w:tc>
          <w:tcPr>
            <w:tcW w:w="12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17,396</w:t>
            </w: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3,025,798</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3,862,012</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Total Environmental</w:t>
            </w: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3,158,800</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4,031,771</w:t>
            </w:r>
          </w:p>
        </w:tc>
        <w:tc>
          <w:tcPr>
            <w:tcW w:w="1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675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(a)</w:t>
            </w:r>
          </w:p>
        </w:tc>
        <w:tc>
          <w:tcPr>
            <w:tcW w:w="100" w:type="dxa"/>
            <w:vAlign w:val="bottom"/>
          </w:tcPr>
          <w:p>
            <w:pPr>
              <w:spacing w:after="0"/>
              <w:rPr>
                <w:sz w:val="14"/>
                <w:szCs w:val="14"/>
                <w:color w:val="auto"/>
              </w:rPr>
            </w:pPr>
          </w:p>
        </w:tc>
        <w:tc>
          <w:tcPr>
            <w:tcW w:w="128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Industry</w:t>
            </w:r>
          </w:p>
        </w:tc>
        <w:tc>
          <w:tcPr>
            <w:tcW w:w="27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 Interest Rate / Maturity</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Principal/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10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3"/>
              </w:rPr>
              <w:t>Fair Value (c)</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5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Number of Shares</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DS Waters of America, Inc.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Food and Beverage</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10.50% Cash, 8/29/2017</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3,960,000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3,983,258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4,039,200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HOA Restaurant Group, L.L.C.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Food and Beverage</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11.25% Cash, 4/1/2017</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4,000,000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3,902,304</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3,920,000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TB Corp.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Food and Beverage</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5.81% Cash, 6/19/2018</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5,153,506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5,129,843</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5,114,339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TB Corp.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Food and Beverage</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Unsecured Note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13.50% (12.00% Cash/1.50% PIK),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12/20/2018</w:t>
            </w: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2,513,884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2,479,190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2,513,884</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TM Restaurant Group L.L.C.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Food and Beverage</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7.75% Cash, 7/16/2017</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2,901,940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2,883,980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2,896,426</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Total Food and Beverage</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18,378,575</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18,483,849</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Oceans Acquisition, Inc.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Healthcare Services</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9.03% Cash, 12/27/2017</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7,359,190</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Maverick Healthcare Group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Healthcare Services</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10.75% Cash, 12/31/2016</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4,887,500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4,827,286</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4,887,500</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Total Healthcare Services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12,186,476</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12,387,500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McMillin Companies L.L.C. (d), (g)</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Homebuilding</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0% Cash, 12/31/2013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550,000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543,209</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344,355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Total Homebuilding</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543,209</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344,355</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Worldwide Express Operations, L.L.C.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Logistics</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7.50% Cash, 6/30/2013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6,074,502</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6,058,535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6,074,502</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Total Logistics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6,058,535</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6,074,502</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Metals</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17.00% (13.00%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Cash/4.00% PIK), 9/14/2014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8,801,913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8,801,913</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7,426,174</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 (g)</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Metals</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 Interests (2008)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 (g)</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Metals</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 Interests (2013)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18,227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Total Metals</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8,801,933</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7,426,174</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Network Communications, Inc.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Publishing</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Unsecured Notes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8.60% PIK, 1/14/2020</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2,716,179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2,071,371</w:t>
            </w:r>
          </w:p>
        </w:tc>
        <w:tc>
          <w:tcPr>
            <w:tcW w:w="10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983,099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Communications, Inc. (d), (g)</w:t>
            </w:r>
          </w:p>
        </w:tc>
        <w:tc>
          <w:tcPr>
            <w:tcW w:w="1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Publishing</w:t>
            </w: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211,429</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Penton Media, Inc. (d)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Publishing</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6.00% Cash, 8/1/2014</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4,849,233</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4,561,918</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4,769,221</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Total Publishing</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6,633,289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5,752,320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(d)</w:t>
            </w:r>
          </w:p>
        </w:tc>
        <w:tc>
          <w:tcPr>
            <w:tcW w:w="1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First Lien Term Loan 9.75% Cash, 5/9/2018</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6,150,000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6,028,549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(d)</w:t>
            </w:r>
          </w:p>
        </w:tc>
        <w:tc>
          <w:tcPr>
            <w:tcW w:w="1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Revolver</w:t>
            </w:r>
          </w:p>
        </w:tc>
        <w:tc>
          <w:tcPr>
            <w:tcW w:w="1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166,667</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(d), (g)</w:t>
            </w:r>
          </w:p>
        </w:tc>
        <w:tc>
          <w:tcPr>
            <w:tcW w:w="1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1,282</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1,282</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1,282</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Community Investors, Inc. (d), (g)</w:t>
            </w:r>
          </w:p>
        </w:tc>
        <w:tc>
          <w:tcPr>
            <w:tcW w:w="13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Software</w:t>
            </w:r>
          </w:p>
        </w:tc>
        <w:tc>
          <w:tcPr>
            <w:tcW w:w="27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Preferred Stock</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148,718</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148,718</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148,718</w:t>
            </w: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7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Total Software</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6,178,549</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6,300,000</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50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Non-control/Non-affiliated</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investments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140,710,469</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141,254,519</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125.5%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- 21.0% (b)</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GSC Investment Corp. CLO 2007 LTD.</w:t>
            </w:r>
          </w:p>
        </w:tc>
        <w:tc>
          <w:tcPr>
            <w:tcW w:w="1380" w:type="dxa"/>
            <w:vAlign w:val="bottom"/>
            <w:gridSpan w:val="3"/>
            <w:shd w:val="clear" w:color="auto" w:fill="CCEEFF"/>
          </w:tcPr>
          <w:p>
            <w:pPr>
              <w:ind w:left="100"/>
              <w:spacing w:after="0" w:line="130" w:lineRule="exact"/>
              <w:rPr>
                <w:sz w:val="20"/>
                <w:szCs w:val="20"/>
                <w:color w:val="auto"/>
              </w:rPr>
            </w:pPr>
            <w:r>
              <w:rPr>
                <w:rFonts w:ascii="Arial" w:cs="Arial" w:eastAsia="Arial" w:hAnsi="Arial"/>
                <w:sz w:val="14"/>
                <w:szCs w:val="14"/>
                <w:color w:val="auto"/>
              </w:rPr>
              <w:t>Structured Finance</w:t>
            </w:r>
          </w:p>
        </w:tc>
        <w:tc>
          <w:tcPr>
            <w:tcW w:w="2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Other/Structured Finance Securities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 (e), (f)</w:t>
            </w:r>
          </w:p>
        </w:tc>
        <w:tc>
          <w:tcPr>
            <w:tcW w:w="1380" w:type="dxa"/>
            <w:vAlign w:val="bottom"/>
            <w:gridSpan w:val="3"/>
            <w:shd w:val="clear" w:color="auto" w:fill="CCEEFF"/>
          </w:tcPr>
          <w:p>
            <w:pPr>
              <w:ind w:left="100"/>
              <w:spacing w:after="0"/>
              <w:rPr>
                <w:sz w:val="20"/>
                <w:szCs w:val="20"/>
                <w:color w:val="auto"/>
              </w:rPr>
            </w:pPr>
            <w:r>
              <w:rPr>
                <w:rFonts w:ascii="Arial" w:cs="Arial" w:eastAsia="Arial" w:hAnsi="Arial"/>
                <w:sz w:val="14"/>
                <w:szCs w:val="14"/>
                <w:color w:val="auto"/>
              </w:rPr>
              <w:t>Securities</w:t>
            </w:r>
          </w:p>
        </w:tc>
        <w:tc>
          <w:tcPr>
            <w:tcW w:w="2640" w:type="dxa"/>
            <w:vAlign w:val="bottom"/>
            <w:shd w:val="clear" w:color="auto" w:fill="CCEEFF"/>
          </w:tcPr>
          <w:p>
            <w:pPr>
              <w:spacing w:after="0"/>
              <w:rPr>
                <w:sz w:val="20"/>
                <w:szCs w:val="20"/>
                <w:color w:val="auto"/>
              </w:rPr>
            </w:pPr>
            <w:r>
              <w:rPr>
                <w:rFonts w:ascii="Arial" w:cs="Arial" w:eastAsia="Arial" w:hAnsi="Arial"/>
                <w:sz w:val="14"/>
                <w:szCs w:val="14"/>
                <w:color w:val="auto"/>
              </w:rPr>
              <w:t>26.43%, 1/21/2020</w:t>
            </w:r>
          </w:p>
        </w:tc>
        <w:tc>
          <w:tcPr>
            <w:tcW w:w="60" w:type="dxa"/>
            <w:vAlign w:val="bottom"/>
            <w:shd w:val="clear" w:color="auto" w:fill="CCEEFF"/>
          </w:tcPr>
          <w:p>
            <w:pPr>
              <w:spacing w:after="0"/>
              <w:rPr>
                <w:sz w:val="14"/>
                <w:szCs w:val="14"/>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30,000,000</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17,657,435</w:t>
            </w: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23,584,582</w:t>
            </w:r>
          </w:p>
        </w:tc>
        <w:tc>
          <w:tcPr>
            <w:tcW w:w="1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Control investments</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17,657,435</w:t>
            </w: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23,584,582</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- 146.5% (b)</w:t>
            </w: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158,367,904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164,839,101</w:t>
            </w:r>
          </w:p>
        </w:tc>
        <w:tc>
          <w:tcPr>
            <w:tcW w:w="1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146.5%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3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of our equity and debt investments are issued by eligible portfolio companies, as defined in the Investment Company Act of 1940, except GSC Investment Corp. CLO 2007 Ltd.</w:t>
      </w:r>
    </w:p>
    <w:p>
      <w:pPr>
        <w:spacing w:after="0" w:line="11" w:lineRule="exact"/>
        <w:rPr>
          <w:rFonts w:ascii="Arial" w:cs="Arial" w:eastAsia="Arial" w:hAnsi="Arial"/>
          <w:sz w:val="13"/>
          <w:szCs w:val="13"/>
          <w:color w:val="auto"/>
        </w:rPr>
      </w:pPr>
    </w:p>
    <w:p>
      <w:pPr>
        <w:ind w:left="460" w:hanging="452"/>
        <w:spacing w:after="0" w:line="22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are based on net assets of $112,486,612 as of May 31, 2013.</w:t>
      </w:r>
    </w:p>
    <w:p>
      <w:pPr>
        <w:ind w:left="460" w:right="740" w:hanging="452"/>
        <w:spacing w:after="0" w:line="22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line="22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These securities are pledged as collateral under a senior secured revolving credit facility (see Note 6 to the consolidated financial statements).</w:t>
      </w:r>
    </w:p>
    <w:p>
      <w:pPr>
        <w:ind w:left="460" w:hanging="452"/>
        <w:spacing w:after="0" w:line="221"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26.43% represents the modeled effective interest rate that is expected to be earned over the life of the investment.</w:t>
      </w:r>
    </w:p>
    <w:p>
      <w:pPr>
        <w:ind w:left="460" w:right="300" w:hanging="452"/>
        <w:spacing w:after="0" w:line="237" w:lineRule="auto"/>
        <w:tabs>
          <w:tab w:leader="none" w:pos="46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ectPr>
          <w:pgSz w:w="11900" w:h="16838" w:orient="portrait"/>
          <w:cols w:equalWidth="0" w:num="1">
            <w:col w:w="11420"/>
          </w:cols>
          <w:pgMar w:left="240" w:top="368" w:right="239" w:bottom="1440" w:gutter="0" w:footer="0" w:header="0"/>
        </w:sectPr>
      </w:pPr>
    </w:p>
    <w:bookmarkStart w:id="5" w:name="page6"/>
    <w:bookmarkEnd w:id="5"/>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20" w:type="dxa"/>
            <w:vAlign w:val="bottom"/>
          </w:tcPr>
          <w:p>
            <w:pPr>
              <w:spacing w:after="0"/>
              <w:rPr>
                <w:sz w:val="14"/>
                <w:szCs w:val="14"/>
                <w:color w:val="auto"/>
              </w:rPr>
            </w:pPr>
          </w:p>
        </w:tc>
        <w:tc>
          <w:tcPr>
            <w:tcW w:w="1060" w:type="dxa"/>
            <w:vAlign w:val="bottom"/>
            <w:gridSpan w:val="3"/>
            <w:vMerge w:val="restart"/>
          </w:tcPr>
          <w:p>
            <w:pPr>
              <w:jc w:val="right"/>
              <w:ind w:right="349"/>
              <w:spacing w:after="0"/>
              <w:rPr>
                <w:sz w:val="20"/>
                <w:szCs w:val="20"/>
                <w:color w:val="auto"/>
              </w:rPr>
            </w:pPr>
            <w:r>
              <w:rPr>
                <w:rFonts w:ascii="Arial" w:cs="Arial" w:eastAsia="Arial" w:hAnsi="Arial"/>
                <w:sz w:val="14"/>
                <w:szCs w:val="14"/>
                <w:b w:val="1"/>
                <w:bCs w:val="1"/>
                <w:color w:val="auto"/>
                <w:w w:val="90"/>
              </w:rPr>
              <w:t>Purchases</w:t>
            </w:r>
          </w:p>
        </w:tc>
        <w:tc>
          <w:tcPr>
            <w:tcW w:w="1220" w:type="dxa"/>
            <w:vAlign w:val="bottom"/>
            <w:gridSpan w:val="3"/>
            <w:vMerge w:val="restart"/>
          </w:tcPr>
          <w:p>
            <w:pPr>
              <w:jc w:val="right"/>
              <w:ind w:right="329"/>
              <w:spacing w:after="0"/>
              <w:rPr>
                <w:sz w:val="20"/>
                <w:szCs w:val="20"/>
                <w:color w:val="auto"/>
              </w:rPr>
            </w:pPr>
            <w:r>
              <w:rPr>
                <w:rFonts w:ascii="Arial" w:cs="Arial" w:eastAsia="Arial" w:hAnsi="Arial"/>
                <w:sz w:val="14"/>
                <w:szCs w:val="14"/>
                <w:b w:val="1"/>
                <w:bCs w:val="1"/>
                <w:color w:val="auto"/>
                <w:w w:val="92"/>
              </w:rPr>
              <w:t>Redemptions</w:t>
            </w:r>
          </w:p>
        </w:tc>
        <w:tc>
          <w:tcPr>
            <w:tcW w:w="1160" w:type="dxa"/>
            <w:vAlign w:val="bottom"/>
            <w:gridSpan w:val="3"/>
            <w:vMerge w:val="restart"/>
          </w:tcPr>
          <w:p>
            <w:pPr>
              <w:jc w:val="right"/>
              <w:ind w:right="368"/>
              <w:spacing w:after="0"/>
              <w:rPr>
                <w:sz w:val="20"/>
                <w:szCs w:val="20"/>
                <w:color w:val="auto"/>
              </w:rPr>
            </w:pPr>
            <w:r>
              <w:rPr>
                <w:rFonts w:ascii="Arial" w:cs="Arial" w:eastAsia="Arial" w:hAnsi="Arial"/>
                <w:sz w:val="14"/>
                <w:szCs w:val="14"/>
                <w:b w:val="1"/>
                <w:bCs w:val="1"/>
                <w:color w:val="auto"/>
                <w:w w:val="89"/>
              </w:rPr>
              <w:t>Sales (cost)</w:t>
            </w: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Management</w:t>
            </w:r>
          </w:p>
        </w:tc>
        <w:tc>
          <w:tcPr>
            <w:tcW w:w="12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Net Realized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3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fee income</w:t>
            </w:r>
          </w:p>
        </w:tc>
        <w:tc>
          <w:tcPr>
            <w:tcW w:w="12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gains/(losses)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gains/(losses)</w:t>
            </w:r>
          </w:p>
        </w:tc>
        <w:tc>
          <w:tcPr>
            <w:tcW w:w="0" w:type="dxa"/>
            <w:vAlign w:val="bottom"/>
          </w:tcPr>
          <w:p>
            <w:pPr>
              <w:spacing w:after="0"/>
              <w:rPr>
                <w:sz w:val="1"/>
                <w:szCs w:val="1"/>
                <w:color w:val="auto"/>
              </w:rPr>
            </w:pPr>
          </w:p>
        </w:tc>
      </w:tr>
      <w:tr>
        <w:trPr>
          <w:trHeight w:val="142"/>
        </w:trPr>
        <w:tc>
          <w:tcPr>
            <w:tcW w:w="29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GSC Investment Corp. CLO 2007 LTD.</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1,126,004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498,091</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ind w:left="860"/>
              <w:spacing w:after="0" w:line="142" w:lineRule="exact"/>
              <w:rPr>
                <w:sz w:val="20"/>
                <w:szCs w:val="20"/>
                <w:color w:val="auto"/>
              </w:rPr>
            </w:pPr>
            <w:r>
              <w:rPr>
                <w:rFonts w:ascii="Arial" w:cs="Arial" w:eastAsia="Arial" w:hAnsi="Arial"/>
                <w:sz w:val="14"/>
                <w:szCs w:val="14"/>
                <w:color w:val="auto"/>
                <w:w w:val="85"/>
              </w:rPr>
              <w:t>—</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5,927,147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4"/>
          <w:szCs w:val="14"/>
          <w:color w:val="auto"/>
        </w:rPr>
      </w:pPr>
      <w:r>
        <w:rPr>
          <w:rFonts w:ascii="Arial" w:cs="Arial" w:eastAsia="Arial" w:hAnsi="Arial"/>
          <w:sz w:val="14"/>
          <w:szCs w:val="14"/>
          <w:color w:val="auto"/>
        </w:rPr>
        <w:t>Non-income producing at May 31, 2013.</w:t>
      </w: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1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February 28, 2013</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(a)</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40" w:type="dxa"/>
            <w:vAlign w:val="bottom"/>
          </w:tcPr>
          <w:p>
            <w:pPr>
              <w:spacing w:after="0"/>
              <w:rPr>
                <w:sz w:val="14"/>
                <w:szCs w:val="14"/>
                <w:color w:val="auto"/>
              </w:rPr>
            </w:pPr>
          </w:p>
        </w:tc>
        <w:tc>
          <w:tcPr>
            <w:tcW w:w="28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Investment Interest Rate / Maturity</w:t>
            </w:r>
          </w:p>
        </w:tc>
        <w:tc>
          <w:tcPr>
            <w:tcW w:w="1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Principal/</w:t>
            </w:r>
          </w:p>
        </w:tc>
        <w:tc>
          <w:tcPr>
            <w:tcW w:w="220" w:type="dxa"/>
            <w:vAlign w:val="bottom"/>
          </w:tcPr>
          <w:p>
            <w:pPr>
              <w:spacing w:after="0"/>
              <w:rPr>
                <w:sz w:val="14"/>
                <w:szCs w:val="14"/>
                <w:color w:val="auto"/>
              </w:rPr>
            </w:pP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 (c)</w:t>
            </w: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4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Number of Shares</w:t>
            </w:r>
          </w:p>
        </w:tc>
        <w:tc>
          <w:tcPr>
            <w:tcW w:w="2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Net Assets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w w:val="97"/>
              </w:rPr>
              <w:t>Non-control/Non-affiliated investments -</w:t>
            </w:r>
          </w:p>
        </w:tc>
        <w:tc>
          <w:tcPr>
            <w:tcW w:w="1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119.2% (b)</w:t>
            </w: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Coast Plating, Inc.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First Lien Term Loan 11.70% Cash, 9/13/2014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2,550,000</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2,550,000</w:t>
            </w:r>
          </w:p>
        </w:tc>
        <w:tc>
          <w:tcPr>
            <w:tcW w:w="4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2,550,000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Coast Plating, Inc.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Aerospace</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First Lien Term Loan 13.20% Cash, 9/13/2014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950,000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950,000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Aerospace</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3,500,000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3,500,000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National Truck Protection Co., Inc. (d), (h)</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589</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591,827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National Truck Protection Co., Inc.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First Lien Term Loan 15.50% Cash 8/10/2017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5,500,000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Take 5 Oil Change, L.L.C.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First Lien Term Loan 9.00% Cash, 11/28/2016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6,000,000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Take 5 Oil Change, L.L.C. (d)</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Automotive</w:t>
            </w:r>
          </w:p>
        </w:tc>
        <w:tc>
          <w:tcPr>
            <w:tcW w:w="300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Term Loan 13.00% Cash,</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11/28/2016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2,000,000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1,961,761</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Take 5 Oil Change, L.L.C. (d), (h)</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7,128</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712,800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712,800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Automotive</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14,674,561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14,804,627</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(h)</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Voting A-1</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2,535</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220,900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(h)</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Products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 Voting B-1</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1,600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139,424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Legacy Cabinets, Inc. (d)</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Building Products</w:t>
            </w:r>
          </w:p>
        </w:tc>
        <w:tc>
          <w:tcPr>
            <w:tcW w:w="300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Term Loan 7.25% (1.00%</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Cash/6.25% PIK), 5/3/2014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332,229</w:t>
            </w:r>
          </w:p>
        </w:tc>
        <w:tc>
          <w:tcPr>
            <w:tcW w:w="2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332,229</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267,378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Building Products</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692,553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267,378</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 (d)</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Business Services</w:t>
            </w:r>
          </w:p>
        </w:tc>
        <w:tc>
          <w:tcPr>
            <w:tcW w:w="300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Note 14.00% (13.00%</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3000" w:type="dxa"/>
            <w:vAlign w:val="bottom"/>
            <w:gridSpan w:val="3"/>
            <w:shd w:val="clear" w:color="auto" w:fill="CCEEFF"/>
          </w:tcPr>
          <w:p>
            <w:pPr>
              <w:ind w:left="140"/>
              <w:spacing w:after="0"/>
              <w:rPr>
                <w:sz w:val="20"/>
                <w:szCs w:val="20"/>
                <w:color w:val="auto"/>
              </w:rPr>
            </w:pPr>
            <w:r>
              <w:rPr>
                <w:rFonts w:ascii="Arial" w:cs="Arial" w:eastAsia="Arial" w:hAnsi="Arial"/>
                <w:sz w:val="14"/>
                <w:szCs w:val="14"/>
                <w:color w:val="auto"/>
              </w:rPr>
              <w:t>Cash/1.00% PIK), 12/28/2017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5,705,384</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5,595,317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5,705,384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Emily Street Enterprises, L.L.C. (d), (h)</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Business Services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Warrant Membership Interests</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49,318</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400,000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399,969</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Dispensing Dynamics International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7"/>
              </w:rPr>
              <w:t>Business Services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Senior Secured Note 12.50% Cash, 1/1/2018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7,000,000</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6,860,186</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7,000,000</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Business Services</w:t>
            </w:r>
          </w:p>
        </w:tc>
        <w:tc>
          <w:tcPr>
            <w:tcW w:w="300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Term Loan 11.00% Cash,</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w:t>
            </w:r>
          </w:p>
        </w:tc>
        <w:tc>
          <w:tcPr>
            <w:tcW w:w="114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11/29/2017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6,200,000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6,082,248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6,200,000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Sourcehov LLC (d)</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Business Services</w:t>
            </w:r>
          </w:p>
        </w:tc>
        <w:tc>
          <w:tcPr>
            <w:tcW w:w="300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Second Lien Term Loan 10.50% Cash,</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4/29/2018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2,648,298</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2,850,000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Business Services</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21,586,049</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22,155,353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Consumer Products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First Lien Term Loan 7.25% Cash, 8/17/2017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4,974,747</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4,930,481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5,024,495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Group International, Inc.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Consumer Products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w w:val="98"/>
              </w:rPr>
              <w:t>First Lien Term Loan 11.00% Cash, 5/24/2016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3,940,003</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3,888,460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3,956,551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Consumer Products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Unsecured Note 10.00% PIK, 6/14/2019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1,914,341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1,914,341</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1,116,252</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Consumer Products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Unsecured Note 16.00% Cash, 10/26/2018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332,500</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326,320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305,334</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(h)</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Consumer Products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62,413</w:t>
            </w: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566,765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3,324,741</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Consumer Products</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11,626,367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13,727,373</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CFF Acquisition L.L.C. (d)</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Consumer Services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First Lien Term Loan 7.50% Cash, 7/31/2015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2,161,391</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2,032,060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2,154,475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Expedited Travel L.L.C. (d)</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Consumer Services</w:t>
            </w:r>
          </w:p>
        </w:tc>
        <w:tc>
          <w:tcPr>
            <w:tcW w:w="300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Term Loan 12.00% Cash,</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12/28/2017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5,500,000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5,380,520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5,500,000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1"/>
              </w:rPr>
              <w:t>Consumer Services</w:t>
            </w:r>
          </w:p>
        </w:tc>
        <w:tc>
          <w:tcPr>
            <w:tcW w:w="300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Term Loan 11.00% Cash,</w:t>
            </w:r>
          </w:p>
        </w:tc>
        <w:tc>
          <w:tcPr>
            <w:tcW w:w="1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12/31/2016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2,936,860</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3,000,000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Consumer Services</w:t>
            </w:r>
          </w:p>
        </w:tc>
        <w:tc>
          <w:tcPr>
            <w:tcW w:w="10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10,349,440</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10,654,475</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Borders>
              <w:bottom w:val="single" w:sz="8" w:color="010101"/>
            </w:tcBorders>
          </w:tcPr>
          <w:p>
            <w:pPr>
              <w:spacing w:after="0"/>
              <w:rPr>
                <w:sz w:val="21"/>
                <w:szCs w:val="21"/>
                <w:color w:val="auto"/>
              </w:rPr>
            </w:pPr>
          </w:p>
        </w:tc>
        <w:tc>
          <w:tcPr>
            <w:tcW w:w="2500" w:type="dxa"/>
            <w:vAlign w:val="bottom"/>
            <w:tcBorders>
              <w:bottom w:val="single" w:sz="8" w:color="010101"/>
            </w:tcBorders>
          </w:tcPr>
          <w:p>
            <w:pPr>
              <w:spacing w:after="0"/>
              <w:rPr>
                <w:sz w:val="21"/>
                <w:szCs w:val="21"/>
                <w:color w:val="auto"/>
              </w:rPr>
            </w:pPr>
          </w:p>
        </w:tc>
        <w:tc>
          <w:tcPr>
            <w:tcW w:w="120" w:type="dxa"/>
            <w:vAlign w:val="bottom"/>
            <w:tcBorders>
              <w:bottom w:val="single" w:sz="8" w:color="010101"/>
            </w:tcBorders>
          </w:tcPr>
          <w:p>
            <w:pPr>
              <w:spacing w:after="0"/>
              <w:rPr>
                <w:sz w:val="21"/>
                <w:szCs w:val="21"/>
                <w:color w:val="auto"/>
              </w:rPr>
            </w:pPr>
          </w:p>
        </w:tc>
        <w:tc>
          <w:tcPr>
            <w:tcW w:w="1140" w:type="dxa"/>
            <w:vAlign w:val="bottom"/>
            <w:tcBorders>
              <w:bottom w:val="single" w:sz="8" w:color="010101"/>
            </w:tcBorders>
          </w:tcPr>
          <w:p>
            <w:pPr>
              <w:spacing w:after="0"/>
              <w:rPr>
                <w:sz w:val="21"/>
                <w:szCs w:val="21"/>
                <w:color w:val="auto"/>
              </w:rPr>
            </w:pPr>
          </w:p>
        </w:tc>
        <w:tc>
          <w:tcPr>
            <w:tcW w:w="140" w:type="dxa"/>
            <w:vAlign w:val="bottom"/>
            <w:tcBorders>
              <w:bottom w:val="single" w:sz="8" w:color="010101"/>
            </w:tcBorders>
          </w:tcPr>
          <w:p>
            <w:pPr>
              <w:spacing w:after="0"/>
              <w:rPr>
                <w:sz w:val="21"/>
                <w:szCs w:val="21"/>
                <w:color w:val="auto"/>
              </w:rPr>
            </w:pPr>
          </w:p>
        </w:tc>
        <w:tc>
          <w:tcPr>
            <w:tcW w:w="2740" w:type="dxa"/>
            <w:vAlign w:val="bottom"/>
            <w:tcBorders>
              <w:bottom w:val="single" w:sz="8" w:color="010101"/>
            </w:tcBorders>
          </w:tcPr>
          <w:p>
            <w:pPr>
              <w:spacing w:after="0"/>
              <w:rPr>
                <w:sz w:val="21"/>
                <w:szCs w:val="21"/>
                <w:color w:val="auto"/>
              </w:rPr>
            </w:pPr>
          </w:p>
        </w:tc>
        <w:tc>
          <w:tcPr>
            <w:tcW w:w="120" w:type="dxa"/>
            <w:vAlign w:val="bottom"/>
            <w:tcBorders>
              <w:bottom w:val="single" w:sz="8" w:color="010101"/>
            </w:tcBorders>
          </w:tcPr>
          <w:p>
            <w:pPr>
              <w:spacing w:after="0"/>
              <w:rPr>
                <w:sz w:val="21"/>
                <w:szCs w:val="21"/>
                <w:color w:val="auto"/>
              </w:rPr>
            </w:pPr>
          </w:p>
        </w:tc>
        <w:tc>
          <w:tcPr>
            <w:tcW w:w="100" w:type="dxa"/>
            <w:vAlign w:val="bottom"/>
            <w:tcBorders>
              <w:bottom w:val="single" w:sz="8" w:color="010101"/>
            </w:tcBorders>
          </w:tcPr>
          <w:p>
            <w:pPr>
              <w:spacing w:after="0"/>
              <w:rPr>
                <w:sz w:val="21"/>
                <w:szCs w:val="21"/>
                <w:color w:val="auto"/>
              </w:rPr>
            </w:pPr>
          </w:p>
        </w:tc>
        <w:tc>
          <w:tcPr>
            <w:tcW w:w="1280" w:type="dxa"/>
            <w:vAlign w:val="bottom"/>
            <w:tcBorders>
              <w:bottom w:val="single" w:sz="8" w:color="010101"/>
            </w:tcBorders>
          </w:tcPr>
          <w:p>
            <w:pPr>
              <w:spacing w:after="0"/>
              <w:rPr>
                <w:sz w:val="21"/>
                <w:szCs w:val="21"/>
                <w:color w:val="auto"/>
              </w:rPr>
            </w:pPr>
          </w:p>
        </w:tc>
        <w:tc>
          <w:tcPr>
            <w:tcW w:w="100" w:type="dxa"/>
            <w:vAlign w:val="bottom"/>
            <w:tcBorders>
              <w:bottom w:val="single" w:sz="8" w:color="010101"/>
            </w:tcBorders>
          </w:tcPr>
          <w:p>
            <w:pPr>
              <w:spacing w:after="0"/>
              <w:rPr>
                <w:sz w:val="21"/>
                <w:szCs w:val="21"/>
                <w:color w:val="auto"/>
              </w:rPr>
            </w:pPr>
          </w:p>
        </w:tc>
        <w:tc>
          <w:tcPr>
            <w:tcW w:w="220" w:type="dxa"/>
            <w:vAlign w:val="bottom"/>
            <w:tcBorders>
              <w:top w:val="single" w:sz="8" w:color="auto"/>
              <w:bottom w:val="single" w:sz="8" w:color="010101"/>
            </w:tcBorders>
          </w:tcPr>
          <w:p>
            <w:pPr>
              <w:spacing w:after="0"/>
              <w:rPr>
                <w:sz w:val="21"/>
                <w:szCs w:val="21"/>
                <w:color w:val="auto"/>
              </w:rPr>
            </w:pPr>
          </w:p>
        </w:tc>
        <w:tc>
          <w:tcPr>
            <w:tcW w:w="800" w:type="dxa"/>
            <w:vAlign w:val="bottom"/>
            <w:tcBorders>
              <w:top w:val="single" w:sz="8" w:color="auto"/>
              <w:bottom w:val="single" w:sz="8" w:color="010101"/>
            </w:tcBorders>
          </w:tcPr>
          <w:p>
            <w:pPr>
              <w:spacing w:after="0"/>
              <w:rPr>
                <w:sz w:val="21"/>
                <w:szCs w:val="21"/>
                <w:color w:val="auto"/>
              </w:rPr>
            </w:pPr>
          </w:p>
        </w:tc>
        <w:tc>
          <w:tcPr>
            <w:tcW w:w="40" w:type="dxa"/>
            <w:vAlign w:val="bottom"/>
            <w:tcBorders>
              <w:bottom w:val="single" w:sz="8" w:color="010101"/>
            </w:tcBorders>
          </w:tcPr>
          <w:p>
            <w:pPr>
              <w:spacing w:after="0"/>
              <w:rPr>
                <w:sz w:val="21"/>
                <w:szCs w:val="21"/>
                <w:color w:val="auto"/>
              </w:rPr>
            </w:pPr>
          </w:p>
        </w:tc>
        <w:tc>
          <w:tcPr>
            <w:tcW w:w="60" w:type="dxa"/>
            <w:vAlign w:val="bottom"/>
            <w:tcBorders>
              <w:bottom w:val="single" w:sz="8" w:color="010101"/>
            </w:tcBorders>
          </w:tcPr>
          <w:p>
            <w:pPr>
              <w:spacing w:after="0"/>
              <w:rPr>
                <w:sz w:val="21"/>
                <w:szCs w:val="21"/>
                <w:color w:val="auto"/>
              </w:rPr>
            </w:pPr>
          </w:p>
        </w:tc>
        <w:tc>
          <w:tcPr>
            <w:tcW w:w="80" w:type="dxa"/>
            <w:vAlign w:val="bottom"/>
            <w:tcBorders>
              <w:top w:val="single" w:sz="8" w:color="auto"/>
              <w:bottom w:val="single" w:sz="8" w:color="010101"/>
            </w:tcBorders>
          </w:tcPr>
          <w:p>
            <w:pPr>
              <w:spacing w:after="0"/>
              <w:rPr>
                <w:sz w:val="21"/>
                <w:szCs w:val="21"/>
                <w:color w:val="auto"/>
              </w:rPr>
            </w:pPr>
          </w:p>
        </w:tc>
        <w:tc>
          <w:tcPr>
            <w:tcW w:w="940" w:type="dxa"/>
            <w:vAlign w:val="bottom"/>
            <w:tcBorders>
              <w:top w:val="single" w:sz="8" w:color="auto"/>
              <w:bottom w:val="single" w:sz="8" w:color="010101"/>
            </w:tcBorders>
          </w:tcPr>
          <w:p>
            <w:pPr>
              <w:spacing w:after="0"/>
              <w:rPr>
                <w:sz w:val="21"/>
                <w:szCs w:val="21"/>
                <w:color w:val="auto"/>
              </w:rPr>
            </w:pPr>
          </w:p>
        </w:tc>
        <w:tc>
          <w:tcPr>
            <w:tcW w:w="100" w:type="dxa"/>
            <w:vAlign w:val="bottom"/>
            <w:tcBorders>
              <w:bottom w:val="single" w:sz="8" w:color="010101"/>
            </w:tcBorders>
          </w:tcPr>
          <w:p>
            <w:pPr>
              <w:spacing w:after="0"/>
              <w:rPr>
                <w:sz w:val="21"/>
                <w:szCs w:val="21"/>
                <w:color w:val="auto"/>
              </w:rPr>
            </w:pPr>
          </w:p>
        </w:tc>
        <w:tc>
          <w:tcPr>
            <w:tcW w:w="800" w:type="dxa"/>
            <w:vAlign w:val="bottom"/>
            <w:tcBorders>
              <w:top w:val="single" w:sz="8" w:color="auto"/>
              <w:bottom w:val="single" w:sz="8" w:color="010101"/>
            </w:tcBorders>
          </w:tcPr>
          <w:p>
            <w:pPr>
              <w:spacing w:after="0"/>
              <w:rPr>
                <w:sz w:val="21"/>
                <w:szCs w:val="21"/>
                <w:color w:val="auto"/>
              </w:rPr>
            </w:pPr>
          </w:p>
        </w:tc>
        <w:tc>
          <w:tcPr>
            <w:tcW w:w="120" w:type="dxa"/>
            <w:vAlign w:val="bottom"/>
            <w:tcBorders>
              <w:bottom w:val="single" w:sz="8" w:color="010101"/>
            </w:tcBorders>
          </w:tcPr>
          <w:p>
            <w:pPr>
              <w:spacing w:after="0"/>
              <w:rPr>
                <w:sz w:val="21"/>
                <w:szCs w:val="21"/>
                <w:color w:val="auto"/>
              </w:rPr>
            </w:pPr>
          </w:p>
        </w:tc>
        <w:tc>
          <w:tcPr>
            <w:tcW w:w="40" w:type="dxa"/>
            <w:vAlign w:val="bottom"/>
            <w:tcBorders>
              <w:bottom w:val="single" w:sz="8" w:color="010101"/>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(a)</w:t>
            </w:r>
          </w:p>
        </w:tc>
        <w:tc>
          <w:tcPr>
            <w:tcW w:w="10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Industry</w:t>
            </w:r>
          </w:p>
        </w:tc>
        <w:tc>
          <w:tcPr>
            <w:tcW w:w="120" w:type="dxa"/>
            <w:vAlign w:val="bottom"/>
          </w:tcPr>
          <w:p>
            <w:pPr>
              <w:spacing w:after="0"/>
              <w:rPr>
                <w:sz w:val="14"/>
                <w:szCs w:val="14"/>
                <w:color w:val="auto"/>
              </w:rPr>
            </w:pPr>
          </w:p>
        </w:tc>
        <w:tc>
          <w:tcPr>
            <w:tcW w:w="28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Investment Interest Rate / Maturity</w:t>
            </w:r>
          </w:p>
        </w:tc>
        <w:tc>
          <w:tcPr>
            <w:tcW w:w="100" w:type="dxa"/>
            <w:vAlign w:val="bottom"/>
          </w:tcPr>
          <w:p>
            <w:pPr>
              <w:spacing w:after="0"/>
              <w:rPr>
                <w:sz w:val="14"/>
                <w:szCs w:val="14"/>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10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Fair Value (c)</w:t>
            </w: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980" w:type="dxa"/>
            <w:vAlign w:val="bottom"/>
            <w:gridSpan w:val="3"/>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Number of Shares</w:t>
            </w:r>
          </w:p>
        </w:tc>
        <w:tc>
          <w:tcPr>
            <w:tcW w:w="100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6"/>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w:t>
            </w: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Education</w:t>
            </w:r>
          </w:p>
        </w:tc>
        <w:tc>
          <w:tcPr>
            <w:tcW w:w="29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w w:val="96"/>
              </w:rPr>
              <w:t>First Lien Term Loan 1.00% Cash, 12/31/2012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2,740,780</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1,586,846</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291,893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 (h)</w:t>
            </w:r>
          </w:p>
        </w:tc>
        <w:tc>
          <w:tcPr>
            <w:tcW w:w="1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Education</w:t>
            </w:r>
          </w:p>
        </w:tc>
        <w:tc>
          <w:tcPr>
            <w:tcW w:w="2920" w:type="dxa"/>
            <w:vAlign w:val="bottom"/>
            <w:gridSpan w:val="3"/>
            <w:shd w:val="clear" w:color="auto" w:fill="CCEEFF"/>
          </w:tcPr>
          <w:p>
            <w:pPr>
              <w:ind w:left="120"/>
              <w:spacing w:after="0" w:line="149" w:lineRule="exact"/>
              <w:rPr>
                <w:sz w:val="20"/>
                <w:szCs w:val="20"/>
                <w:color w:val="auto"/>
              </w:rPr>
            </w:pPr>
            <w:r>
              <w:rPr>
                <w:rFonts w:ascii="Arial" w:cs="Arial" w:eastAsia="Arial" w:hAnsi="Arial"/>
                <w:sz w:val="14"/>
                <w:szCs w:val="14"/>
                <w:color w:val="auto"/>
              </w:rPr>
              <w:t>Class A Common Stock</w:t>
            </w:r>
          </w:p>
        </w:tc>
        <w:tc>
          <w:tcPr>
            <w:tcW w:w="10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544,761</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30,242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ind w:left="1780"/>
              <w:spacing w:after="0" w:line="149" w:lineRule="exact"/>
              <w:rPr>
                <w:sz w:val="20"/>
                <w:szCs w:val="20"/>
                <w:color w:val="auto"/>
              </w:rPr>
            </w:pPr>
            <w:r>
              <w:rPr>
                <w:rFonts w:ascii="Arial" w:cs="Arial" w:eastAsia="Arial" w:hAnsi="Arial"/>
                <w:sz w:val="14"/>
                <w:szCs w:val="14"/>
                <w:color w:val="auto"/>
              </w:rPr>
              <w:t>Total Education</w:t>
            </w:r>
          </w:p>
        </w:tc>
        <w:tc>
          <w:tcPr>
            <w:tcW w:w="1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1,617,088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291,893</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Group Dekko, Inc. (d)</w:t>
            </w:r>
          </w:p>
        </w:tc>
        <w:tc>
          <w:tcPr>
            <w:tcW w:w="1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Electronics</w:t>
            </w:r>
          </w:p>
        </w:tc>
        <w:tc>
          <w:tcPr>
            <w:tcW w:w="2920" w:type="dxa"/>
            <w:vAlign w:val="bottom"/>
            <w:gridSpan w:val="3"/>
            <w:shd w:val="clear" w:color="auto" w:fill="CCEEFF"/>
          </w:tcPr>
          <w:p>
            <w:pPr>
              <w:ind w:left="120"/>
              <w:spacing w:after="0" w:line="130" w:lineRule="exact"/>
              <w:rPr>
                <w:sz w:val="20"/>
                <w:szCs w:val="20"/>
                <w:color w:val="auto"/>
              </w:rPr>
            </w:pPr>
            <w:r>
              <w:rPr>
                <w:rFonts w:ascii="Arial" w:cs="Arial" w:eastAsia="Arial" w:hAnsi="Arial"/>
                <w:sz w:val="14"/>
                <w:szCs w:val="14"/>
                <w:color w:val="auto"/>
              </w:rPr>
              <w:t>Second Lien Term Loan 11.00% (10.00%</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92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Cash/1.00% PIK), 5/1/2016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6,824,717</w:t>
            </w: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6,824,717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6,720,981</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3" w:orient="portrait"/>
          <w:cols w:equalWidth="0" w:num="1">
            <w:col w:w="11460"/>
          </w:cols>
          <w:pgMar w:left="240" w:top="253" w:right="1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Total Electronics</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6,824,717</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6,720,981</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USS Parent Holding Corp. (d), (h)</w:t>
            </w:r>
          </w:p>
        </w:tc>
        <w:tc>
          <w:tcPr>
            <w:tcW w:w="12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Environmental</w:t>
            </w: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Non Voting Common Stock</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765</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133,002</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125,981</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USS Parent Holding Corp. (d), (h)</w:t>
            </w:r>
          </w:p>
        </w:tc>
        <w:tc>
          <w:tcPr>
            <w:tcW w:w="12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Environmental</w:t>
            </w: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Voting Common Stock</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17,396</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3,025,798</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2,866,065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Environmental</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3,158,800</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2,992,046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DS Waters of America, Inc. (d)</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Food and</w:t>
            </w:r>
          </w:p>
        </w:tc>
        <w:tc>
          <w:tcPr>
            <w:tcW w:w="2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Beverage</w:t>
            </w: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4"/>
              </w:rPr>
              <w:t>First Lien Term Loan 10.50% Cash, 8/29/2017</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3,994,704</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4,049,400</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HOA Restaurant Group, L.L.C. (d)</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Food and</w:t>
            </w:r>
          </w:p>
        </w:tc>
        <w:tc>
          <w:tcPr>
            <w:tcW w:w="2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Beverage</w:t>
            </w: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Senior Secured Note 11.25% Cash, 4/1/2017</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3,897,940</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3,560,000</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TB Corp. (d)</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Food and</w:t>
            </w:r>
          </w:p>
        </w:tc>
        <w:tc>
          <w:tcPr>
            <w:tcW w:w="2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Beverage</w:t>
            </w: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First Lien Term Loan 5.81% Cash, 6/19/2018</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5,153,506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5,128,662</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5,140,622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TB Corp. (d)</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Food and</w:t>
            </w:r>
          </w:p>
        </w:tc>
        <w:tc>
          <w:tcPr>
            <w:tcW w:w="28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4"/>
              </w:rPr>
              <w:t>Unsecured Note 13.50% (12.00% Cash/1.50%</w:t>
            </w: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Beverage</w:t>
            </w: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PIK), 2/19/2017</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2,504,585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2,468,317</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2,492,062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TM Restaurant Group L.L.C. (d)</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Food and</w:t>
            </w:r>
          </w:p>
        </w:tc>
        <w:tc>
          <w:tcPr>
            <w:tcW w:w="28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Beverage</w:t>
            </w: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7"/>
              </w:rPr>
              <w:t>First Lien Term Loan 7.75% Cash, 7/17/2017</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2,962,500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2,943,045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2,956,871</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Food and Beverage</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18,432,668</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18,198,955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Oceans Acquisition, Inc. (d)</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Healthcare</w:t>
            </w:r>
          </w:p>
        </w:tc>
        <w:tc>
          <w:tcPr>
            <w:tcW w:w="28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Term Loan 10.75% Cash,</w:t>
            </w: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Services</w:t>
            </w: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12/27/2017</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7,500,000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7,351,433</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Maverick Healthcare Group (d)</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Healthcare</w:t>
            </w:r>
          </w:p>
        </w:tc>
        <w:tc>
          <w:tcPr>
            <w:tcW w:w="28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Term Loan 10.75% Cash,</w:t>
            </w: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Services</w:t>
            </w: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12/31/2016</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4,900,000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4,835,389</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4,900,000</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Healthcare Services</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12,186,822</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12,400,000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McMillin Companies L.L.C. (d), (h)</w:t>
            </w:r>
          </w:p>
        </w:tc>
        <w:tc>
          <w:tcPr>
            <w:tcW w:w="12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Homebuilding</w:t>
            </w: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Senior Secured Note 0% Cash, 12/31/2013</w:t>
            </w:r>
          </w:p>
        </w:tc>
        <w:tc>
          <w:tcPr>
            <w:tcW w:w="4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550,000</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536,764</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315,370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Homebuilding</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536,764</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315,370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Capstone Logistics, L.L.C. (d)</w:t>
            </w:r>
          </w:p>
        </w:tc>
        <w:tc>
          <w:tcPr>
            <w:tcW w:w="12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Logistics</w:t>
            </w: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First Lien Term Loan 7.50% Cash, 9/16/2016</w:t>
            </w:r>
          </w:p>
        </w:tc>
        <w:tc>
          <w:tcPr>
            <w:tcW w:w="4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899,769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889,798</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908,766</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Capstone Logistics, L.L.C. (d)</w:t>
            </w:r>
          </w:p>
        </w:tc>
        <w:tc>
          <w:tcPr>
            <w:tcW w:w="12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Logistics</w:t>
            </w: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4"/>
              </w:rPr>
              <w:t>First Lien Term Loan 13.50% Cash, 9/16/2016</w:t>
            </w:r>
          </w:p>
        </w:tc>
        <w:tc>
          <w:tcPr>
            <w:tcW w:w="4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3,693,369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3,652,443</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3,767,236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Worldwide Express Operations, L.L.C. (d)</w:t>
            </w:r>
          </w:p>
        </w:tc>
        <w:tc>
          <w:tcPr>
            <w:tcW w:w="12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Logistics</w:t>
            </w: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7"/>
              </w:rPr>
              <w:t>First Lien Term Loan 7.50% Cash, 6/30/2013</w:t>
            </w:r>
          </w:p>
        </w:tc>
        <w:tc>
          <w:tcPr>
            <w:tcW w:w="4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6,527,979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6,461,295</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6,504,478</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Logistics</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11,003,536</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11,180,480</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Metals</w:t>
            </w:r>
          </w:p>
        </w:tc>
        <w:tc>
          <w:tcPr>
            <w:tcW w:w="28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Senior Secured Note 17.00% (13.00%</w:t>
            </w: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Cash/4.00% PIK), 3/1/2013</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7,728,566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7,728,566</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6,723,852</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Elyria Foundry Company, L.L.C. (d), (h)</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Metals</w:t>
            </w:r>
          </w:p>
        </w:tc>
        <w:tc>
          <w:tcPr>
            <w:tcW w:w="28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Warrants to Purchase Limited Liability</w:t>
            </w: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Company Interests</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Metals</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7,728,566</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6,723,852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Communications, Inc. (d)</w:t>
            </w:r>
          </w:p>
        </w:tc>
        <w:tc>
          <w:tcPr>
            <w:tcW w:w="12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Publishing</w:t>
            </w: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Unsecured Note 8.60% PIK, 1/14/2020</w:t>
            </w:r>
          </w:p>
        </w:tc>
        <w:tc>
          <w:tcPr>
            <w:tcW w:w="48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2,500,198</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2,049,660</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960,827</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Network Communications, Inc. (d), (h)</w:t>
            </w:r>
          </w:p>
        </w:tc>
        <w:tc>
          <w:tcPr>
            <w:tcW w:w="126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Publishing</w:t>
            </w:r>
          </w:p>
        </w:tc>
        <w:tc>
          <w:tcPr>
            <w:tcW w:w="28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4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211,429</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Penton Media, Inc. (d)</w:t>
            </w:r>
          </w:p>
        </w:tc>
        <w:tc>
          <w:tcPr>
            <w:tcW w:w="1260" w:type="dxa"/>
            <w:vAlign w:val="bottom"/>
            <w:shd w:val="clear" w:color="auto" w:fill="CCEEFF"/>
          </w:tcPr>
          <w:p>
            <w:pPr>
              <w:ind w:left="260"/>
              <w:spacing w:after="0" w:line="130" w:lineRule="exact"/>
              <w:rPr>
                <w:sz w:val="20"/>
                <w:szCs w:val="20"/>
                <w:color w:val="auto"/>
              </w:rPr>
            </w:pPr>
            <w:r>
              <w:rPr>
                <w:rFonts w:ascii="Arial" w:cs="Arial" w:eastAsia="Arial" w:hAnsi="Arial"/>
                <w:sz w:val="14"/>
                <w:szCs w:val="14"/>
                <w:color w:val="auto"/>
              </w:rPr>
              <w:t>Publishing</w:t>
            </w:r>
          </w:p>
        </w:tc>
        <w:tc>
          <w:tcPr>
            <w:tcW w:w="288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First Lien Term Loan 6.00% (4.00%</w:t>
            </w: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Cash/2.00% PIK), 8/1/2014</w:t>
            </w:r>
          </w:p>
        </w:tc>
        <w:tc>
          <w:tcPr>
            <w:tcW w:w="48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4,839,189</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4,497,495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4,669,818</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Total Publishing</w:t>
            </w:r>
          </w:p>
        </w:tc>
        <w:tc>
          <w:tcPr>
            <w:tcW w:w="4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6,547,155</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5,630,645</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1"/>
        </w:trPr>
        <w:tc>
          <w:tcPr>
            <w:tcW w:w="20" w:type="dxa"/>
            <w:vAlign w:val="bottom"/>
            <w:tcBorders>
              <w:bottom w:val="single" w:sz="8" w:color="010101"/>
            </w:tcBorders>
          </w:tcPr>
          <w:p>
            <w:pPr>
              <w:spacing w:after="0"/>
              <w:rPr>
                <w:sz w:val="24"/>
                <w:szCs w:val="24"/>
                <w:color w:val="auto"/>
              </w:rPr>
            </w:pPr>
          </w:p>
        </w:tc>
        <w:tc>
          <w:tcPr>
            <w:tcW w:w="2700" w:type="dxa"/>
            <w:vAlign w:val="bottom"/>
            <w:tcBorders>
              <w:bottom w:val="single" w:sz="8" w:color="010101"/>
            </w:tcBorders>
          </w:tcPr>
          <w:p>
            <w:pPr>
              <w:spacing w:after="0"/>
              <w:rPr>
                <w:sz w:val="24"/>
                <w:szCs w:val="24"/>
                <w:color w:val="auto"/>
              </w:rPr>
            </w:pPr>
          </w:p>
        </w:tc>
        <w:tc>
          <w:tcPr>
            <w:tcW w:w="126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480" w:type="dxa"/>
            <w:vAlign w:val="bottom"/>
            <w:tcBorders>
              <w:bottom w:val="single" w:sz="8" w:color="010101"/>
            </w:tcBorders>
          </w:tcPr>
          <w:p>
            <w:pPr>
              <w:spacing w:after="0"/>
              <w:rPr>
                <w:sz w:val="24"/>
                <w:szCs w:val="24"/>
                <w:color w:val="auto"/>
              </w:rPr>
            </w:pPr>
          </w:p>
        </w:tc>
        <w:tc>
          <w:tcPr>
            <w:tcW w:w="1020" w:type="dxa"/>
            <w:vAlign w:val="bottom"/>
            <w:tcBorders>
              <w:bottom w:val="single" w:sz="8" w:color="010101"/>
            </w:tcBorders>
          </w:tcPr>
          <w:p>
            <w:pPr>
              <w:spacing w:after="0"/>
              <w:rPr>
                <w:sz w:val="24"/>
                <w:szCs w:val="24"/>
                <w:color w:val="auto"/>
              </w:rPr>
            </w:pPr>
          </w:p>
        </w:tc>
        <w:tc>
          <w:tcPr>
            <w:tcW w:w="900" w:type="dxa"/>
            <w:vAlign w:val="bottom"/>
            <w:tcBorders>
              <w:top w:val="single" w:sz="8" w:color="auto"/>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020" w:type="dxa"/>
            <w:vAlign w:val="bottom"/>
            <w:tcBorders>
              <w:top w:val="single" w:sz="8" w:color="auto"/>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00" w:type="dxa"/>
            <w:vAlign w:val="bottom"/>
            <w:tcBorders>
              <w:top w:val="single" w:sz="8" w:color="auto"/>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 (a)</w:t>
            </w:r>
          </w:p>
        </w:tc>
        <w:tc>
          <w:tcPr>
            <w:tcW w:w="11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Industry</w:t>
            </w:r>
          </w:p>
        </w:tc>
        <w:tc>
          <w:tcPr>
            <w:tcW w:w="140" w:type="dxa"/>
            <w:vAlign w:val="bottom"/>
          </w:tcPr>
          <w:p>
            <w:pPr>
              <w:spacing w:after="0"/>
              <w:rPr>
                <w:sz w:val="14"/>
                <w:szCs w:val="14"/>
                <w:color w:val="auto"/>
              </w:rPr>
            </w:pPr>
          </w:p>
        </w:tc>
        <w:tc>
          <w:tcPr>
            <w:tcW w:w="28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Investment Interest Rate / Maturity</w:t>
            </w:r>
          </w:p>
        </w:tc>
        <w:tc>
          <w:tcPr>
            <w:tcW w:w="8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Principal/</w:t>
            </w: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3"/>
              </w:rPr>
              <w:t>Fair Value (c)</w:t>
            </w: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640" w:type="dxa"/>
            <w:vAlign w:val="bottom"/>
            <w:gridSpan w:val="3"/>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Number of Shares</w:t>
            </w: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Net Assets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20" w:type="dxa"/>
            <w:vAlign w:val="bottom"/>
            <w:gridSpan w:val="2"/>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Sub Total Non-control/Non-</w:t>
            </w:r>
          </w:p>
        </w:tc>
        <w:tc>
          <w:tcPr>
            <w:tcW w:w="1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affiliated investments</w:t>
            </w:r>
          </w:p>
        </w:tc>
        <w:tc>
          <w:tcPr>
            <w:tcW w:w="1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130,465,086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129,563,428</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119.2%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- 23.5% (b)</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GSC Partners CDO GP III, LP (g), (h)</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Financial Services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100% General Partnership Interest</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GSC Investment Corp. CLO 2007 LTD.</w:t>
            </w:r>
          </w:p>
        </w:tc>
        <w:tc>
          <w:tcPr>
            <w:tcW w:w="11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Structured Finance</w:t>
            </w:r>
          </w:p>
        </w:tc>
        <w:tc>
          <w:tcPr>
            <w:tcW w:w="3000" w:type="dxa"/>
            <w:vAlign w:val="bottom"/>
            <w:gridSpan w:val="3"/>
            <w:shd w:val="clear" w:color="auto" w:fill="CCEEFF"/>
          </w:tcPr>
          <w:p>
            <w:pPr>
              <w:ind w:left="140"/>
              <w:spacing w:after="0" w:line="130" w:lineRule="exact"/>
              <w:rPr>
                <w:sz w:val="20"/>
                <w:szCs w:val="20"/>
                <w:color w:val="auto"/>
              </w:rPr>
            </w:pPr>
            <w:r>
              <w:rPr>
                <w:rFonts w:ascii="Arial" w:cs="Arial" w:eastAsia="Arial" w:hAnsi="Arial"/>
                <w:sz w:val="14"/>
                <w:szCs w:val="14"/>
                <w:color w:val="auto"/>
              </w:rPr>
              <w:t>Other/Structured Finance Securities 23.06%,</w:t>
            </w:r>
          </w:p>
        </w:tc>
        <w:tc>
          <w:tcPr>
            <w:tcW w:w="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 (e), (g)</w:t>
            </w:r>
          </w:p>
        </w:tc>
        <w:tc>
          <w:tcPr>
            <w:tcW w:w="1140" w:type="dxa"/>
            <w:vAlign w:val="bottom"/>
            <w:shd w:val="clear" w:color="auto" w:fill="CCEEFF"/>
          </w:tcPr>
          <w:p>
            <w:pPr>
              <w:spacing w:after="0"/>
              <w:rPr>
                <w:sz w:val="20"/>
                <w:szCs w:val="20"/>
                <w:color w:val="auto"/>
              </w:rPr>
            </w:pPr>
            <w:r>
              <w:rPr>
                <w:rFonts w:ascii="Arial" w:cs="Arial" w:eastAsia="Arial" w:hAnsi="Arial"/>
                <w:sz w:val="14"/>
                <w:szCs w:val="14"/>
                <w:color w:val="auto"/>
              </w:rPr>
              <w:t>Securities</w:t>
            </w:r>
          </w:p>
        </w:tc>
        <w:tc>
          <w:tcPr>
            <w:tcW w:w="28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1/21/2020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30,000,000</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18,944,966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25,516,959</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Control investments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18,944,966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25,516,959</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Affiliate investments - 0.0% (b)</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GSC Partners CDO GP III, LP (f), (h)</w:t>
            </w:r>
          </w:p>
        </w:tc>
        <w:tc>
          <w:tcPr>
            <w:tcW w:w="1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8"/>
              </w:rPr>
              <w:t>Financial Services</w:t>
            </w:r>
          </w:p>
        </w:tc>
        <w:tc>
          <w:tcPr>
            <w:tcW w:w="300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6.24% Limited Partnership Interest</w:t>
            </w:r>
          </w:p>
        </w:tc>
        <w:tc>
          <w:tcPr>
            <w:tcW w:w="8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Affiliate investments</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- 142.7% (b)</w:t>
            </w:r>
          </w:p>
        </w:tc>
        <w:tc>
          <w:tcPr>
            <w:tcW w:w="1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   149,410,052</w:t>
            </w:r>
          </w:p>
        </w:tc>
        <w:tc>
          <w:tcPr>
            <w:tcW w:w="20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155,080,387</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0" w:right="320" w:hanging="492"/>
        <w:spacing w:after="0" w:line="230"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of our equity and debt investments are issued by eligible portfolio companies, as defined in the Investment Company Act of 1940, except GSC Investment Corp. CLO 2007 Ltd. and GSC Partners CDO GP III, LP.</w:t>
      </w:r>
    </w:p>
    <w:p>
      <w:pPr>
        <w:ind w:left="500" w:hanging="492"/>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Percentages are based on net assets of $108,686,761 as of February 28, 2013.</w:t>
      </w:r>
    </w:p>
    <w:p>
      <w:pPr>
        <w:ind w:left="500" w:right="740" w:hanging="492"/>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Because there is no readily available market value for these investments, the fair value of these investments is approved in good faith by our board of directors. (see Note 3 to the consolidated financial statements).</w:t>
      </w:r>
    </w:p>
    <w:p>
      <w:pPr>
        <w:ind w:left="500" w:hanging="492"/>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securities are pledged as collateral under a senior secured revolving credit facility (see Note 6 to the consolidated financial statements).</w:t>
      </w:r>
    </w:p>
    <w:p>
      <w:pPr>
        <w:ind w:left="500" w:hanging="492"/>
        <w:spacing w:after="0" w:line="221"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23.06% represents the modeled effective interest rate that is expected to be earned over the life of the investment.</w:t>
      </w:r>
    </w:p>
    <w:p>
      <w:pPr>
        <w:ind w:left="500" w:right="680" w:hanging="492"/>
        <w:spacing w:after="0" w:line="237" w:lineRule="auto"/>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defined in the Investment Company Act, we are an “Affiliate” of this portfolio company because we own 5% or more of the portfolio company’s outstanding voting securities. Transactions during the period in which the issuer was an Affiliate are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Redemptions</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Sales (cost)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jc w:val="center"/>
              <w:ind w:left="95"/>
              <w:spacing w:after="0"/>
              <w:rPr>
                <w:sz w:val="20"/>
                <w:szCs w:val="20"/>
                <w:color w:val="auto"/>
              </w:rPr>
            </w:pPr>
            <w:r>
              <w:rPr>
                <w:rFonts w:ascii="Arial" w:cs="Arial" w:eastAsia="Arial" w:hAnsi="Arial"/>
                <w:sz w:val="14"/>
                <w:szCs w:val="14"/>
                <w:b w:val="1"/>
                <w:bCs w:val="1"/>
                <w:color w:val="auto"/>
                <w:w w:val="95"/>
              </w:rPr>
              <w:t>Management</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tcPr>
          <w:p>
            <w:pPr>
              <w:ind w:left="160"/>
              <w:spacing w:after="0"/>
              <w:rPr>
                <w:sz w:val="20"/>
                <w:szCs w:val="20"/>
                <w:color w:val="auto"/>
              </w:rPr>
            </w:pPr>
            <w:r>
              <w:rPr>
                <w:rFonts w:ascii="Arial" w:cs="Arial" w:eastAsia="Arial" w:hAnsi="Arial"/>
                <w:sz w:val="14"/>
                <w:szCs w:val="14"/>
                <w:b w:val="1"/>
                <w:bCs w:val="1"/>
                <w:color w:val="auto"/>
                <w:w w:val="93"/>
              </w:rPr>
              <w:t>Net Realized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ind w:left="34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jc w:val="center"/>
              <w:ind w:left="95"/>
              <w:spacing w:after="0"/>
              <w:rPr>
                <w:sz w:val="20"/>
                <w:szCs w:val="20"/>
                <w:color w:val="auto"/>
              </w:rPr>
            </w:pPr>
            <w:r>
              <w:rPr>
                <w:rFonts w:ascii="Arial" w:cs="Arial" w:eastAsia="Arial" w:hAnsi="Arial"/>
                <w:sz w:val="14"/>
                <w:szCs w:val="14"/>
                <w:b w:val="1"/>
                <w:bCs w:val="1"/>
                <w:color w:val="auto"/>
                <w:w w:val="90"/>
              </w:rPr>
              <w:t>fee income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ind w:left="160"/>
              <w:spacing w:after="0"/>
              <w:rPr>
                <w:sz w:val="20"/>
                <w:szCs w:val="20"/>
                <w:color w:val="auto"/>
              </w:rPr>
            </w:pPr>
            <w:r>
              <w:rPr>
                <w:rFonts w:ascii="Arial" w:cs="Arial" w:eastAsia="Arial" w:hAnsi="Arial"/>
                <w:sz w:val="14"/>
                <w:szCs w:val="14"/>
                <w:b w:val="1"/>
                <w:bCs w:val="1"/>
                <w:color w:val="auto"/>
                <w:w w:val="83"/>
              </w:rPr>
              <w:t>gains/(losses)</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gains/(losses)</w:t>
            </w:r>
          </w:p>
        </w:tc>
        <w:tc>
          <w:tcPr>
            <w:tcW w:w="0" w:type="dxa"/>
            <w:vAlign w:val="bottom"/>
          </w:tcPr>
          <w:p>
            <w:pPr>
              <w:spacing w:after="0"/>
              <w:rPr>
                <w:sz w:val="1"/>
                <w:szCs w:val="1"/>
                <w:color w:val="auto"/>
              </w:rPr>
            </w:pPr>
          </w:p>
        </w:tc>
      </w:tr>
      <w:tr>
        <w:trPr>
          <w:trHeight w:val="142"/>
        </w:trPr>
        <w:tc>
          <w:tcPr>
            <w:tcW w:w="2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GSC Partners CDO GP III, LP</w:t>
            </w: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ind w:right="628"/>
              <w:spacing w:after="0" w:line="142"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808"/>
              <w:spacing w:after="0" w:line="142"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ind w:right="728"/>
              <w:spacing w:after="0" w:line="142" w:lineRule="exact"/>
              <w:rPr>
                <w:sz w:val="20"/>
                <w:szCs w:val="20"/>
                <w:color w:val="auto"/>
              </w:rPr>
            </w:pPr>
            <w:r>
              <w:rPr>
                <w:rFonts w:ascii="Arial" w:cs="Arial" w:eastAsia="Arial" w:hAnsi="Arial"/>
                <w:sz w:val="14"/>
                <w:szCs w:val="14"/>
                <w:color w:val="auto"/>
                <w:w w:val="76"/>
              </w:rPr>
              <w:t>$</w:t>
            </w: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ind w:right="748"/>
              <w:spacing w:after="0" w:line="142" w:lineRule="exact"/>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tcBorders>
            <w:shd w:val="clear" w:color="auto" w:fill="CCEEFF"/>
          </w:tcPr>
          <w:p>
            <w:pPr>
              <w:ind w:left="10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ind w:right="85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5"/>
              </w:rPr>
              <w:t>—</w:t>
            </w:r>
          </w:p>
        </w:tc>
        <w:tc>
          <w:tcPr>
            <w:tcW w:w="24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835"/>
              <w:spacing w:after="0"/>
              <w:rPr>
                <w:sz w:val="20"/>
                <w:szCs w:val="20"/>
                <w:color w:val="auto"/>
              </w:rPr>
            </w:pPr>
            <w:r>
              <w:rPr>
                <w:rFonts w:ascii="Arial" w:cs="Arial" w:eastAsia="Arial" w:hAnsi="Arial"/>
                <w:sz w:val="10"/>
                <w:szCs w:val="10"/>
                <w:color w:val="auto"/>
                <w:w w:val="71"/>
              </w:rPr>
              <w:t>$</w:t>
            </w: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CCEEFF"/>
          </w:tcPr>
          <w:p>
            <w:pPr>
              <w:ind w:left="880"/>
              <w:spacing w:after="0" w:line="142" w:lineRule="exact"/>
              <w:rPr>
                <w:sz w:val="20"/>
                <w:szCs w:val="20"/>
                <w:color w:val="auto"/>
              </w:rPr>
            </w:pPr>
            <w:r>
              <w:rPr>
                <w:rFonts w:ascii="Arial" w:cs="Arial" w:eastAsia="Arial" w:hAnsi="Arial"/>
                <w:sz w:val="14"/>
                <w:szCs w:val="14"/>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276" w:right="199" w:bottom="0" w:gutter="0" w:footer="0" w:header="0"/>
        </w:sectPr>
      </w:pPr>
    </w:p>
    <w:bookmarkStart w:id="7" w:name="page8"/>
    <w:bookmarkEnd w:id="7"/>
    <w:p>
      <w:pPr>
        <w:spacing w:after="0" w:line="5" w:lineRule="exact"/>
        <w:rPr>
          <w:sz w:val="20"/>
          <w:szCs w:val="20"/>
          <w:color w:val="auto"/>
        </w:rPr>
      </w:pPr>
    </w:p>
    <w:p>
      <w:pPr>
        <w:ind w:left="500" w:right="260" w:hanging="492"/>
        <w:spacing w:after="0" w:line="252" w:lineRule="auto"/>
        <w:tabs>
          <w:tab w:leader="none" w:pos="5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Redemptions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Sales (cost)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48"/>
              <w:spacing w:after="0"/>
              <w:rPr>
                <w:sz w:val="20"/>
                <w:szCs w:val="20"/>
                <w:color w:val="auto"/>
              </w:rPr>
            </w:pPr>
            <w:r>
              <w:rPr>
                <w:rFonts w:ascii="Arial" w:cs="Arial" w:eastAsia="Arial" w:hAnsi="Arial"/>
                <w:sz w:val="14"/>
                <w:szCs w:val="14"/>
                <w:b w:val="1"/>
                <w:bCs w:val="1"/>
                <w:color w:val="auto"/>
              </w:rPr>
              <w:t>Interest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Management</w:t>
            </w: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Realized</w:t>
            </w: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23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268"/>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fee income</w:t>
            </w:r>
          </w:p>
        </w:tc>
        <w:tc>
          <w:tcPr>
            <w:tcW w:w="12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gains/(losses)</w:t>
            </w:r>
          </w:p>
        </w:tc>
        <w:tc>
          <w:tcPr>
            <w:tcW w:w="8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gains/(losses)</w:t>
            </w:r>
          </w:p>
        </w:tc>
        <w:tc>
          <w:tcPr>
            <w:tcW w:w="0" w:type="dxa"/>
            <w:vAlign w:val="bottom"/>
          </w:tcPr>
          <w:p>
            <w:pPr>
              <w:spacing w:after="0"/>
              <w:rPr>
                <w:sz w:val="1"/>
                <w:szCs w:val="1"/>
                <w:color w:val="auto"/>
              </w:rPr>
            </w:pPr>
          </w:p>
        </w:tc>
      </w:tr>
      <w:tr>
        <w:trPr>
          <w:trHeight w:val="123"/>
        </w:trPr>
        <w:tc>
          <w:tcPr>
            <w:tcW w:w="212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GSC Investment Corp. CLO</w:t>
            </w:r>
          </w:p>
        </w:tc>
        <w:tc>
          <w:tcPr>
            <w:tcW w:w="24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2007 LTD.</w:t>
            </w:r>
          </w:p>
        </w:tc>
        <w:tc>
          <w:tcPr>
            <w:tcW w:w="7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w w:val="76"/>
              </w:rPr>
              <w:t>$</w:t>
            </w:r>
          </w:p>
        </w:tc>
        <w:tc>
          <w:tcPr>
            <w:tcW w:w="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4"/>
                <w:szCs w:val="14"/>
                <w:color w:val="auto"/>
                <w:w w:val="85"/>
              </w:rPr>
              <w:t>—</w:t>
            </w:r>
          </w:p>
        </w:tc>
        <w:tc>
          <w:tcPr>
            <w:tcW w:w="1100" w:type="dxa"/>
            <w:vAlign w:val="bottom"/>
            <w:gridSpan w:val="2"/>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4,205,509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2,000,072</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6,571,992</w:t>
            </w:r>
          </w:p>
        </w:tc>
        <w:tc>
          <w:tcPr>
            <w:tcW w:w="0" w:type="dxa"/>
            <w:vAlign w:val="bottom"/>
          </w:tcPr>
          <w:p>
            <w:pPr>
              <w:spacing w:after="0"/>
              <w:rPr>
                <w:sz w:val="1"/>
                <w:szCs w:val="1"/>
                <w:color w:val="auto"/>
              </w:rPr>
            </w:pPr>
          </w:p>
        </w:tc>
      </w:tr>
      <w:tr>
        <w:trPr>
          <w:trHeight w:val="182"/>
        </w:trPr>
        <w:tc>
          <w:tcPr>
            <w:tcW w:w="2360" w:type="dxa"/>
            <w:vAlign w:val="bottom"/>
            <w:gridSpan w:val="2"/>
          </w:tcPr>
          <w:p>
            <w:pPr>
              <w:spacing w:after="0"/>
              <w:rPr>
                <w:sz w:val="20"/>
                <w:szCs w:val="20"/>
                <w:color w:val="auto"/>
              </w:rPr>
            </w:pPr>
            <w:r>
              <w:rPr>
                <w:rFonts w:ascii="Arial" w:cs="Arial" w:eastAsia="Arial" w:hAnsi="Arial"/>
                <w:sz w:val="14"/>
                <w:szCs w:val="14"/>
                <w:color w:val="auto"/>
              </w:rPr>
              <w:t>GSC Partners CDO GP III, LP</w:t>
            </w:r>
          </w:p>
        </w:tc>
        <w:tc>
          <w:tcPr>
            <w:tcW w:w="780" w:type="dxa"/>
            <w:vAlign w:val="bottom"/>
          </w:tcPr>
          <w:p>
            <w:pPr>
              <w:jc w:val="right"/>
              <w:ind w:right="628"/>
              <w:spacing w:after="0"/>
              <w:rPr>
                <w:sz w:val="20"/>
                <w:szCs w:val="20"/>
                <w:color w:val="auto"/>
              </w:rPr>
            </w:pPr>
            <w:r>
              <w:rPr>
                <w:rFonts w:ascii="Arial" w:cs="Arial" w:eastAsia="Arial" w:hAnsi="Arial"/>
                <w:sz w:val="14"/>
                <w:szCs w:val="14"/>
                <w:color w:val="auto"/>
                <w:w w:val="76"/>
              </w:rPr>
              <w:t>$</w:t>
            </w:r>
          </w:p>
        </w:tc>
        <w:tc>
          <w:tcPr>
            <w:tcW w:w="260" w:type="dxa"/>
            <w:vAlign w:val="bottom"/>
            <w:gridSpan w:val="2"/>
          </w:tcPr>
          <w:p>
            <w:pPr>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r>
              <w:rPr>
                <w:rFonts w:ascii="Arial" w:cs="Arial" w:eastAsia="Arial" w:hAnsi="Arial"/>
                <w:sz w:val="14"/>
                <w:szCs w:val="14"/>
                <w:color w:val="auto"/>
                <w:w w:val="85"/>
              </w:rPr>
              <w:t>—</w:t>
            </w:r>
          </w:p>
        </w:tc>
        <w:tc>
          <w:tcPr>
            <w:tcW w:w="1100" w:type="dxa"/>
            <w:vAlign w:val="bottom"/>
            <w:gridSpan w:val="2"/>
          </w:tcPr>
          <w:p>
            <w:pPr>
              <w:jc w:val="right"/>
              <w:ind w:right="728"/>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Non-income producing at February 28, 2013.</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For the three months ended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May 31, 2013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May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jc w:val="center"/>
              <w:ind w:right="94"/>
              <w:spacing w:after="0" w:line="142" w:lineRule="exact"/>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INCREASE FROM OPERATIONS: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7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2,469,689</w:t>
            </w:r>
          </w:p>
        </w:tc>
        <w:tc>
          <w:tcPr>
            <w:tcW w:w="18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1,272,790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gain from investments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Net realized loss from derivatives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appreciation on investments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800,862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60"/>
              <w:spacing w:after="0"/>
              <w:rPr>
                <w:sz w:val="20"/>
                <w:szCs w:val="20"/>
                <w:color w:val="auto"/>
              </w:rPr>
            </w:pPr>
            <w:r>
              <w:rPr>
                <w:rFonts w:ascii="Arial" w:cs="Arial" w:eastAsia="Arial" w:hAnsi="Arial"/>
                <w:sz w:val="18"/>
                <w:szCs w:val="18"/>
                <w:color w:val="auto"/>
              </w:rPr>
              <w:t>Net unrealized appreciation on derivatives</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130,925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in net assets from operations</w:t>
            </w:r>
          </w:p>
        </w:tc>
        <w:tc>
          <w:tcPr>
            <w:tcW w:w="15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3,799,851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3,190,767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in net assets</w:t>
            </w: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3,799,851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108,686,761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97,380,150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112,486,612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100,570,917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7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2"/>
          </w:tcPr>
          <w:p>
            <w:pPr>
              <w:jc w:val="right"/>
              <w:ind w:right="180"/>
              <w:spacing w:after="0"/>
              <w:rPr>
                <w:sz w:val="20"/>
                <w:szCs w:val="20"/>
                <w:color w:val="auto"/>
              </w:rPr>
            </w:pPr>
            <w:r>
              <w:rPr>
                <w:rFonts w:ascii="Arial" w:cs="Arial" w:eastAsia="Arial" w:hAnsi="Arial"/>
                <w:sz w:val="18"/>
                <w:szCs w:val="18"/>
                <w:color w:val="auto"/>
              </w:rPr>
              <w:t>4,730,116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3,876,661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Distribution in excess of net investment income</w:t>
            </w:r>
          </w:p>
        </w:tc>
        <w:tc>
          <w:tcPr>
            <w:tcW w:w="17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280" w:type="dxa"/>
            <w:vAlign w:val="bottom"/>
            <w:gridSpan w:val="2"/>
          </w:tcPr>
          <w:p>
            <w:pPr>
              <w:jc w:val="right"/>
              <w:ind w:right="120"/>
              <w:spacing w:after="0"/>
              <w:rPr>
                <w:sz w:val="20"/>
                <w:szCs w:val="20"/>
                <w:color w:val="auto"/>
              </w:rPr>
            </w:pPr>
            <w:r>
              <w:rPr>
                <w:rFonts w:ascii="Arial" w:cs="Arial" w:eastAsia="Arial" w:hAnsi="Arial"/>
                <w:sz w:val="18"/>
                <w:szCs w:val="18"/>
                <w:color w:val="auto"/>
              </w:rPr>
              <w:t>(22,053,262)</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40"/>
              <w:spacing w:after="0"/>
              <w:rPr>
                <w:sz w:val="20"/>
                <w:szCs w:val="20"/>
                <w:color w:val="auto"/>
              </w:rPr>
            </w:pPr>
            <w:r>
              <w:rPr>
                <w:rFonts w:ascii="Arial" w:cs="Arial" w:eastAsia="Arial" w:hAnsi="Arial"/>
                <w:sz w:val="18"/>
                <w:szCs w:val="18"/>
                <w:color w:val="auto"/>
              </w:rPr>
              <w:t>(12,647,278)</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For the three months</w:t>
            </w:r>
          </w:p>
        </w:tc>
        <w:tc>
          <w:tcPr>
            <w:tcW w:w="14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For the three months</w:t>
            </w:r>
          </w:p>
        </w:tc>
      </w:tr>
      <w:tr>
        <w:trPr>
          <w:trHeight w:val="171"/>
        </w:trPr>
        <w:tc>
          <w:tcPr>
            <w:tcW w:w="7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ended May 31, 2013</w:t>
            </w:r>
          </w:p>
        </w:tc>
        <w:tc>
          <w:tcPr>
            <w:tcW w:w="140" w:type="dxa"/>
            <w:vAlign w:val="bottom"/>
          </w:tcPr>
          <w:p>
            <w:pPr>
              <w:spacing w:after="0"/>
              <w:rPr>
                <w:sz w:val="14"/>
                <w:szCs w:val="14"/>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ended May 31, 2012</w:t>
            </w:r>
          </w:p>
        </w:tc>
      </w:tr>
      <w:tr>
        <w:trPr>
          <w:trHeight w:val="142"/>
        </w:trPr>
        <w:tc>
          <w:tcPr>
            <w:tcW w:w="7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3,799,851</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3,190,767</w:t>
            </w:r>
          </w:p>
        </w:tc>
      </w:tr>
      <w:tr>
        <w:trPr>
          <w:trHeight w:val="202"/>
        </w:trPr>
        <w:tc>
          <w:tcPr>
            <w:tcW w:w="7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INCREASE IN NET ASSETS FROM OPERATIONS TO</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Paid-in-kind interest income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(176,122)</w:t>
            </w:r>
          </w:p>
        </w:tc>
        <w:tc>
          <w:tcPr>
            <w:tcW w:w="14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(326,462)</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accretion of discount on investments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(227,689)</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(244,768)</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Amortization of deferred debt financing costs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175,369</w:t>
            </w: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101,149</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realized gain from investments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(529,300)</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(178,630)</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Net realized loss from derivatives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131,000.00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appreciation on investments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(800,862)</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(1,739,422)</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Net unrealized appreciation on derivatives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(130,925)</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and redemption of investments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24,927,703</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4,454,285</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(32,952,444)</w:t>
            </w:r>
          </w:p>
        </w:tc>
        <w:tc>
          <w:tcPr>
            <w:tcW w:w="14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(13,335,300)</w:t>
            </w: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(Increase) decrease in operating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Cash and cash equivalents, reserve accounts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7,273,982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(524,328)</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736,466</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398,625</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Due from manager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(4,929)</w:t>
            </w: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Management fee receivable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40"/>
              <w:spacing w:after="0"/>
              <w:rPr>
                <w:sz w:val="20"/>
                <w:szCs w:val="20"/>
                <w:color w:val="auto"/>
              </w:rPr>
            </w:pPr>
            <w:r>
              <w:rPr>
                <w:rFonts w:ascii="Arial" w:cs="Arial" w:eastAsia="Arial" w:hAnsi="Arial"/>
                <w:sz w:val="18"/>
                <w:szCs w:val="18"/>
                <w:color w:val="auto"/>
              </w:rPr>
              <w:t>(64,356)</w:t>
            </w: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41,608</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Receivable from unsettled trades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1,809,010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59,511</w:t>
            </w: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Increase (decrease) in operating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Payable for unsettled trades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9,262,800</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Management and incentive fees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1,557,838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250,317</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238,068</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(143,238)</w:t>
            </w:r>
          </w:p>
        </w:tc>
      </w:tr>
      <w:tr>
        <w:trPr>
          <w:trHeight w:val="216"/>
        </w:trPr>
        <w:tc>
          <w:tcPr>
            <w:tcW w:w="7440" w:type="dxa"/>
            <w:vAlign w:val="bottom"/>
          </w:tcPr>
          <w:p>
            <w:pPr>
              <w:ind w:left="540"/>
              <w:spacing w:after="0"/>
              <w:rPr>
                <w:sz w:val="20"/>
                <w:szCs w:val="20"/>
                <w:color w:val="auto"/>
              </w:rPr>
            </w:pPr>
            <w:r>
              <w:rPr>
                <w:rFonts w:ascii="Arial" w:cs="Arial" w:eastAsia="Arial" w:hAnsi="Arial"/>
                <w:sz w:val="18"/>
                <w:szCs w:val="18"/>
                <w:color w:val="auto"/>
              </w:rPr>
              <w:t>Interest and debt fees payable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300"/>
              <w:spacing w:after="0"/>
              <w:rPr>
                <w:sz w:val="20"/>
                <w:szCs w:val="20"/>
                <w:color w:val="auto"/>
              </w:rPr>
            </w:pPr>
            <w:r>
              <w:rPr>
                <w:rFonts w:ascii="Arial" w:cs="Arial" w:eastAsia="Arial" w:hAnsi="Arial"/>
                <w:sz w:val="18"/>
                <w:szCs w:val="18"/>
                <w:color w:val="auto"/>
              </w:rPr>
              <w:t>226,491</w:t>
            </w:r>
          </w:p>
        </w:tc>
        <w:tc>
          <w:tcPr>
            <w:tcW w:w="14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108,717</w:t>
            </w:r>
          </w:p>
        </w:tc>
      </w:tr>
      <w:tr>
        <w:trPr>
          <w:trHeight w:val="216"/>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Due to manager</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(3,786)</w:t>
            </w: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(324,094)</w:t>
            </w:r>
          </w:p>
        </w:tc>
      </w:tr>
      <w:tr>
        <w:trPr>
          <w:trHeight w:val="20"/>
        </w:trPr>
        <w:tc>
          <w:tcPr>
            <w:tcW w:w="7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43" w:orient="portrait"/>
          <w:cols w:equalWidth="0" w:num="1">
            <w:col w:w="11420"/>
          </w:cols>
          <w:pgMar w:left="240" w:top="121" w:right="23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5,985,322</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1,051,343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Paydowns on debt</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(24,300,000)</w:t>
            </w:r>
          </w:p>
        </w:tc>
        <w:tc>
          <w:tcPr>
            <w:tcW w:w="5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48,300,000</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Debt financing cost</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(2,579,309)</w:t>
            </w:r>
          </w:p>
        </w:tc>
        <w:tc>
          <w:tcPr>
            <w:tcW w:w="5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BY) FINANCING ACTIVITIES</w:t>
            </w:r>
          </w:p>
        </w:tc>
        <w:tc>
          <w:tcPr>
            <w:tcW w:w="1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25,420,691</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31,406,013</w:t>
            </w:r>
          </w:p>
        </w:tc>
        <w:tc>
          <w:tcPr>
            <w:tcW w:w="5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149,025</w:t>
            </w:r>
          </w:p>
        </w:tc>
        <w:tc>
          <w:tcPr>
            <w:tcW w:w="5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1,325,698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31,555,038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2,377,041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1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725,995</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415,837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Supplemental non-cash information:</w:t>
            </w: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Paid-in-kind interest income</w:t>
            </w:r>
          </w:p>
        </w:tc>
        <w:tc>
          <w:tcPr>
            <w:tcW w:w="15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176,122</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ind w:left="160"/>
              <w:spacing w:after="0"/>
              <w:rPr>
                <w:sz w:val="20"/>
                <w:szCs w:val="20"/>
                <w:color w:val="auto"/>
              </w:rPr>
            </w:pPr>
            <w:r>
              <w:rPr>
                <w:rFonts w:ascii="Arial" w:cs="Arial" w:eastAsia="Arial" w:hAnsi="Arial"/>
                <w:sz w:val="18"/>
                <w:szCs w:val="18"/>
                <w:color w:val="auto"/>
              </w:rPr>
              <w:t>Net accretion of discount on investments</w:t>
            </w:r>
          </w:p>
        </w:tc>
        <w:tc>
          <w:tcPr>
            <w:tcW w:w="1580" w:type="dxa"/>
            <w:vAlign w:val="bottom"/>
            <w:gridSpan w:val="2"/>
          </w:tcPr>
          <w:p>
            <w:pPr>
              <w:jc w:val="right"/>
              <w:ind w:right="305"/>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227,689</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244,768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debt financing costs</w:t>
            </w:r>
          </w:p>
        </w:tc>
        <w:tc>
          <w:tcPr>
            <w:tcW w:w="15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175,369</w:t>
            </w: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101,149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We commenced operations on March 23, 2007 as GSC Investment Corp. and completed our initial public offering (“IPO”) on March 28, 2007. We have elected to be treated as a regulated investment company (“RIC”) under subchapter M of the Internal Revenue Code (the “Code”). We expect to continue to qualify and to elect to be treated for tax purposes as a RIC. Our investment objective is to generate current income and, to a lesser extent, capital appreciation from our investments.</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On July 30, 2010, the Company changed its name from “GSC Investment Corp.” to “Saratoga Investment Corp.” in conjunction with the transaction described in “Note 12. Recapitalization Transaction” below.</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externally managed and advised by our investment adviser, Saratoga Investment Advisors, LLC (the “Manager”), pursuant to an investment advisory and management agreement. Prior to July 30, 2010, we were managed and advised by GSCP (NJ), L.P.</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(“GAAP”) and include the accounts of the Company, its special purpose financing subsidiary, Saratoga Investment Funding, LLC (previously known as GSC Investment Funding LLC), and SBIC LP. All intercompany accounts and transactions have been eliminated in consolidation. All references made to the “Company,” “we,” and “us” herein include Saratoga Investment Corp. and its consolidated subsidiaries, except as stated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ectPr>
          <w:pgSz w:w="11900" w:h="16838" w:orient="portrait"/>
          <w:cols w:equalWidth="0" w:num="1">
            <w:col w:w="11420"/>
          </w:cols>
          <w:pgMar w:left="240" w:top="125" w:right="239" w:bottom="0" w:gutter="0" w:footer="0" w:header="0"/>
        </w:sectPr>
      </w:pPr>
    </w:p>
    <w:bookmarkStart w:id="9" w:name="page10"/>
    <w:bookmarkEnd w:id="9"/>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181" w:lineRule="exact"/>
        <w:rPr>
          <w:sz w:val="20"/>
          <w:szCs w:val="20"/>
          <w:color w:val="auto"/>
        </w:rPr>
      </w:pPr>
    </w:p>
    <w:p>
      <w:pPr>
        <w:ind w:left="5660" w:right="3520" w:hanging="5004"/>
        <w:spacing w:after="0" w:line="528" w:lineRule="auto"/>
        <w:tabs>
          <w:tab w:leader="none" w:pos="9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were to hold securities in the money market fund having an aggregate value in excess of 5.0% of the value of our total assets; or</w:t>
      </w:r>
    </w:p>
    <w:p>
      <w:pPr>
        <w:spacing w:after="0" w:line="236" w:lineRule="exact"/>
        <w:rPr>
          <w:rFonts w:ascii="Arial" w:cs="Arial" w:eastAsia="Arial" w:hAnsi="Arial"/>
          <w:sz w:val="17"/>
          <w:szCs w:val="17"/>
          <w:color w:val="auto"/>
        </w:rPr>
      </w:pPr>
    </w:p>
    <w:p>
      <w:pPr>
        <w:ind w:left="980" w:right="12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170" w:lineRule="exact"/>
        <w:rPr>
          <w:sz w:val="20"/>
          <w:szCs w:val="20"/>
          <w:color w:val="auto"/>
        </w:rPr>
      </w:pPr>
    </w:p>
    <w:p>
      <w:pPr>
        <w:ind w:left="980" w:right="560" w:hanging="324"/>
        <w:spacing w:after="0" w:line="277"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225" w:lineRule="exact"/>
        <w:rPr>
          <w:sz w:val="20"/>
          <w:szCs w:val="20"/>
          <w:color w:val="auto"/>
        </w:rPr>
      </w:pPr>
    </w:p>
    <w:p>
      <w:pPr>
        <w:ind w:left="980" w:right="800" w:hanging="324"/>
        <w:spacing w:after="0" w:line="308" w:lineRule="auto"/>
        <w:tabs>
          <w:tab w:leader="none" w:pos="94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0" w:hanging="324"/>
        <w:spacing w:after="0" w:line="27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Our investment in GSC Investment Corp. CLO 2007,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w:t>
      </w:r>
    </w:p>
    <w:p>
      <w:pPr>
        <w:sectPr>
          <w:pgSz w:w="11900" w:h="16952" w:orient="portrait"/>
          <w:cols w:equalWidth="0" w:num="1">
            <w:col w:w="11400"/>
          </w:cols>
          <w:pgMar w:left="240" w:top="121" w:right="259" w:bottom="0" w:gutter="0" w:footer="0" w:header="0"/>
        </w:sectPr>
      </w:pPr>
    </w:p>
    <w:bookmarkStart w:id="10" w:name="page11"/>
    <w:bookmarkEnd w:id="10"/>
    <w:p>
      <w:pPr>
        <w:ind w:right="20"/>
        <w:spacing w:after="0" w:line="276" w:lineRule="auto"/>
        <w:rPr>
          <w:sz w:val="20"/>
          <w:szCs w:val="20"/>
          <w:color w:val="auto"/>
        </w:rPr>
      </w:pPr>
      <w:r>
        <w:rPr>
          <w:rFonts w:ascii="Arial" w:cs="Arial" w:eastAsia="Arial" w:hAnsi="Arial"/>
          <w:sz w:val="17"/>
          <w:szCs w:val="17"/>
          <w:color w:val="auto"/>
        </w:rPr>
        <w:t>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73"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Financing costs incurred in connection with our credit facility, SBA debentures and notes offering are deferred and amortized using the straight line method, which approximates the effective interest method, over the life of their respective debt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ectPr>
          <w:pgSz w:w="11900" w:h="16838" w:orient="portrait"/>
          <w:cols w:equalWidth="0" w:num="1">
            <w:col w:w="11420"/>
          </w:cols>
          <w:pgMar w:left="240" w:top="125" w:right="239" w:bottom="61" w:gutter="0" w:footer="0" w:header="0"/>
        </w:sectPr>
      </w:pPr>
    </w:p>
    <w:bookmarkStart w:id="11" w:name="page12"/>
    <w:bookmarkEnd w:id="11"/>
    <w:p>
      <w:pPr>
        <w:ind w:right="120" w:firstLine="648"/>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May 31, 2013 and February 28, 2013, there were no uncertain tax positions.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have adopted a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If our common stock is trading below net asset value at the time of valuation, the plan administrator may receive the dividend or distribution in cash and purchase common stock in the open market, on the New York Stock Exchange or elsewhere, for the account of each participant in our dividend reinvestment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records an expense accrual in the consolidated statements of operations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ectPr>
          <w:pgSz w:w="11900" w:h="16838" w:orient="portrait"/>
          <w:cols w:equalWidth="0" w:num="1">
            <w:col w:w="11420"/>
          </w:cols>
          <w:pgMar w:left="240" w:top="125" w:right="239" w:bottom="0" w:gutter="0" w:footer="0" w:header="0"/>
        </w:sectPr>
      </w:pPr>
    </w:p>
    <w:bookmarkStart w:id="12" w:name="page13"/>
    <w:bookmarkEnd w:id="12"/>
    <w:p>
      <w:pPr>
        <w:spacing w:after="0" w:line="59"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980" w:right="260" w:hanging="324"/>
        <w:spacing w:after="0" w:line="259"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quotes accompanied by disclaimer would result in classification as a Level 3 asset, assuming no additional corroborating evidence.</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 valuation policy, we evaluate the source of inputs, including any markets in which our investments are trading, in determining fair value.</w:t>
      </w:r>
    </w:p>
    <w:p>
      <w:pPr>
        <w:spacing w:after="0" w:line="18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May 31, 2013 (dollars in thousands), according to the fair value hierarchy:</w:t>
      </w: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Fair Value Measurements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000" w:type="dxa"/>
            <w:vAlign w:val="bottom"/>
          </w:tcPr>
          <w:p>
            <w:pPr>
              <w:spacing w:after="0"/>
              <w:rPr>
                <w:sz w:val="12"/>
                <w:szCs w:val="12"/>
                <w:color w:val="auto"/>
              </w:rPr>
            </w:pPr>
          </w:p>
        </w:tc>
        <w:tc>
          <w:tcPr>
            <w:tcW w:w="10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term loans</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7"/>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Second lien term loans</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6,766</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6,766</w:t>
            </w: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24,730</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24,730</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4,958</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4,958</w:t>
            </w: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Structured finance securities</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23,585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23,585</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Equity interest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9,175</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9,175</w:t>
            </w:r>
          </w:p>
        </w:tc>
      </w:tr>
      <w:tr>
        <w:trPr>
          <w:trHeight w:val="21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7"/>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2013 (dollars in thousands), according to the fair value hierarchy:</w:t>
      </w:r>
    </w:p>
    <w:p>
      <w:pPr>
        <w:spacing w:after="0" w:line="162" w:lineRule="exact"/>
        <w:rPr>
          <w:sz w:val="20"/>
          <w:szCs w:val="20"/>
          <w:color w:val="auto"/>
        </w:rPr>
      </w:pPr>
    </w:p>
    <w:tbl>
      <w:tblPr>
        <w:tblLayout w:type="fixed"/>
        <w:tblInd w:w="8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Fair Value Measurements</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000" w:type="dxa"/>
            <w:vAlign w:val="bottom"/>
          </w:tcPr>
          <w:p>
            <w:pPr>
              <w:spacing w:after="0"/>
              <w:rPr>
                <w:sz w:val="12"/>
                <w:szCs w:val="12"/>
                <w:color w:val="auto"/>
              </w:rPr>
            </w:pPr>
          </w:p>
        </w:tc>
        <w:tc>
          <w:tcPr>
            <w:tcW w:w="106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right"/>
              <w:ind w:right="740"/>
              <w:spacing w:after="0" w:line="142" w:lineRule="exact"/>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2"/>
                <w:szCs w:val="12"/>
                <w:color w:val="auto"/>
              </w:rPr>
            </w:pPr>
          </w:p>
        </w:tc>
        <w:tc>
          <w:tcPr>
            <w:tcW w:w="1040" w:type="dxa"/>
            <w:vAlign w:val="bottom"/>
          </w:tcPr>
          <w:p>
            <w:pPr>
              <w:jc w:val="right"/>
              <w:ind w:right="432"/>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First lien term loans</w:t>
            </w:r>
          </w:p>
        </w:tc>
        <w:tc>
          <w:tcPr>
            <w:tcW w:w="1060" w:type="dxa"/>
            <w:vAlign w:val="bottom"/>
            <w:tcBorders>
              <w:top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7"/>
              </w:rPr>
              <w: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Second lien term loans</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9,571</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9,571</w:t>
            </w: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23,305</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23,305</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Unsecured notes</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4,874</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4,874</w:t>
            </w:r>
          </w:p>
        </w:tc>
      </w:tr>
      <w:tr>
        <w:trPr>
          <w:trHeight w:val="216"/>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Structured finance securities</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25,517</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25,517</w:t>
            </w: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Equity interest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6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8,021</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8,021</w:t>
            </w:r>
          </w:p>
        </w:tc>
      </w:tr>
      <w:tr>
        <w:trPr>
          <w:trHeight w:val="210"/>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7"/>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May 31, 2013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11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1"/>
              </w:rPr>
              <w:t>Second lien</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Senior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3"/>
              </w:rPr>
              <w:t>Unsecured</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Structured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secured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finance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term loans</w:t>
            </w:r>
          </w:p>
        </w:tc>
        <w:tc>
          <w:tcPr>
            <w:tcW w:w="12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term loans</w:t>
            </w:r>
          </w:p>
        </w:tc>
        <w:tc>
          <w:tcPr>
            <w:tcW w:w="18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notes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notes</w:t>
            </w:r>
          </w:p>
        </w:tc>
        <w:tc>
          <w:tcPr>
            <w:tcW w:w="14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securities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stock/equities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 as of</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February 28, 2013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83,792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23,305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8,021</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155,080</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w w:val="98"/>
              </w:rPr>
              <w:t>Net unrealized gains (losses)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801</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and other</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cost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24,283</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8,842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33,356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Sales and redemptions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(12,882)</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(3,030)</w:t>
            </w:r>
          </w:p>
        </w:tc>
        <w:tc>
          <w:tcPr>
            <w:tcW w:w="1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(7,728)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(1,287)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(24,927)</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realized gains from</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529</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20"/>
                <w:szCs w:val="20"/>
                <w:color w:val="auto"/>
              </w:rPr>
            </w:pPr>
            <w:r>
              <w:rPr>
                <w:rFonts w:ascii="Arial" w:cs="Arial" w:eastAsia="Arial" w:hAnsi="Arial"/>
                <w:sz w:val="18"/>
                <w:szCs w:val="18"/>
                <w:color w:val="auto"/>
              </w:rPr>
              <w:t>Balance as of May 31, 2013</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95,625</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4,958</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23,585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164,839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195"/>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3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three months ended May 31, 2012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6"/>
              </w:rPr>
              <w:t>Second lien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Senior</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Senior</w:t>
            </w:r>
          </w:p>
        </w:tc>
        <w:tc>
          <w:tcPr>
            <w:tcW w:w="100" w:type="dxa"/>
            <w:vAlign w:val="bottom"/>
          </w:tcPr>
          <w:p>
            <w:pPr>
              <w:spacing w:after="0"/>
              <w:rPr>
                <w:sz w:val="14"/>
                <w:szCs w:val="14"/>
                <w:color w:val="auto"/>
              </w:rPr>
            </w:pPr>
          </w:p>
        </w:tc>
        <w:tc>
          <w:tcPr>
            <w:tcW w:w="9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88"/>
              </w:rPr>
              <w:t>Unsecured</w:t>
            </w: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Structured</w:t>
            </w:r>
          </w:p>
        </w:tc>
        <w:tc>
          <w:tcPr>
            <w:tcW w:w="80" w:type="dxa"/>
            <w:vAlign w:val="bottom"/>
          </w:tcPr>
          <w:p>
            <w:pPr>
              <w:spacing w:after="0"/>
              <w:rPr>
                <w:sz w:val="14"/>
                <w:szCs w:val="14"/>
                <w:color w:val="auto"/>
              </w:rPr>
            </w:pPr>
          </w:p>
        </w:tc>
        <w:tc>
          <w:tcPr>
            <w:tcW w:w="10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Common</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secured</w:t>
            </w: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unsecured</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finance</w:t>
            </w: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term loans</w:t>
            </w:r>
          </w:p>
        </w:tc>
        <w:tc>
          <w:tcPr>
            <w:tcW w:w="100" w:type="dxa"/>
            <w:vAlign w:val="bottom"/>
          </w:tcPr>
          <w:p>
            <w:pPr>
              <w:spacing w:after="0"/>
              <w:rPr>
                <w:sz w:val="14"/>
                <w:szCs w:val="14"/>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0"/>
              </w:rPr>
              <w:t>term loans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notes</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notes</w:t>
            </w: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securities</w:t>
            </w: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stock/equities</w:t>
            </w: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29, 2012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36,196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25,846</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95,360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811</w:t>
            </w: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02"/>
        </w:trPr>
        <w:tc>
          <w:tcPr>
            <w:tcW w:w="2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Purchases and other adjustments to</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10,203</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713</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13,906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Sales and redemptions</w:t>
            </w:r>
          </w:p>
        </w:tc>
        <w:tc>
          <w:tcPr>
            <w:tcW w:w="1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(3,567)</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(856)</w:t>
            </w:r>
          </w:p>
        </w:tc>
        <w:tc>
          <w:tcPr>
            <w:tcW w:w="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invetments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60"/>
          </w:cols>
          <w:pgMar w:left="240" w:top="341" w:right="199" w:bottom="0" w:gutter="0" w:footer="0" w:header="0"/>
        </w:sectPr>
      </w:pPr>
    </w:p>
    <w:bookmarkStart w:id="13" w:name="page14"/>
    <w:bookmarkEnd w:id="13"/>
    <w:p>
      <w:pPr>
        <w:spacing w:after="0"/>
        <w:tabs>
          <w:tab w:leader="none" w:pos="2760" w:val="left"/>
          <w:tab w:leader="none" w:pos="3160" w:val="left"/>
          <w:tab w:leader="none" w:pos="3880" w:val="left"/>
          <w:tab w:leader="none" w:pos="4280" w:val="left"/>
          <w:tab w:leader="none" w:pos="5000" w:val="left"/>
          <w:tab w:leader="none" w:pos="5400" w:val="left"/>
          <w:tab w:leader="none" w:pos="6120" w:val="left"/>
          <w:tab w:leader="none" w:pos="6600" w:val="left"/>
          <w:tab w:leader="none" w:pos="7220" w:val="left"/>
          <w:tab w:leader="none" w:pos="7680" w:val="left"/>
          <w:tab w:leader="none" w:pos="8300" w:val="left"/>
          <w:tab w:leader="none" w:pos="8660" w:val="left"/>
          <w:tab w:leader="none" w:pos="9380" w:val="left"/>
          <w:tab w:leader="none" w:pos="10000" w:val="left"/>
          <w:tab w:leader="none" w:pos="10560" w:val="left"/>
        </w:tabs>
        <w:rPr>
          <w:sz w:val="20"/>
          <w:szCs w:val="20"/>
          <w:color w:val="auto"/>
        </w:rPr>
      </w:pPr>
      <w:r>
        <w:rPr>
          <w:rFonts w:ascii="Arial" w:cs="Arial" w:eastAsia="Arial" w:hAnsi="Arial"/>
          <w:sz w:val="18"/>
          <w:szCs w:val="18"/>
          <w:color w:val="auto"/>
        </w:rPr>
        <w:t>Balance as of May 31, 2012</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43,622</w:t>
        <w:tab/>
        <w:t>$</w:t>
      </w:r>
      <w:r>
        <w:rPr>
          <w:sz w:val="20"/>
          <w:szCs w:val="20"/>
          <w:color w:val="auto"/>
        </w:rPr>
        <w:tab/>
      </w:r>
      <w:r>
        <w:rPr>
          <w:rFonts w:ascii="Arial" w:cs="Arial" w:eastAsia="Arial" w:hAnsi="Arial"/>
          <w:sz w:val="18"/>
          <w:szCs w:val="18"/>
          <w:u w:val="single" w:color="auto"/>
          <w:color w:val="auto"/>
        </w:rPr>
        <w:t>11,774</w:t>
        <w:tab/>
        <w:t>$</w:t>
      </w:r>
      <w:r>
        <w:rPr>
          <w:sz w:val="20"/>
          <w:szCs w:val="20"/>
          <w:color w:val="auto"/>
        </w:rPr>
        <w:tab/>
      </w:r>
      <w:r>
        <w:rPr>
          <w:rFonts w:ascii="Arial" w:cs="Arial" w:eastAsia="Arial" w:hAnsi="Arial"/>
          <w:sz w:val="18"/>
          <w:szCs w:val="18"/>
          <w:u w:val="single" w:color="auto"/>
          <w:color w:val="auto"/>
        </w:rPr>
        <w:t>10,878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6,044</w:t>
        <w:tab/>
        <w:t>$</w:t>
      </w:r>
      <w:r>
        <w:rPr>
          <w:sz w:val="20"/>
          <w:szCs w:val="20"/>
          <w:color w:val="auto"/>
        </w:rPr>
        <w:tab/>
      </w:r>
      <w:r>
        <w:rPr>
          <w:rFonts w:ascii="Arial" w:cs="Arial" w:eastAsia="Arial" w:hAnsi="Arial"/>
          <w:sz w:val="18"/>
          <w:szCs w:val="18"/>
          <w:color w:val="auto"/>
        </w:rPr>
        <w:t>1,964</w:t>
      </w:r>
      <w:r>
        <w:rPr>
          <w:sz w:val="20"/>
          <w:szCs w:val="20"/>
          <w:color w:val="auto"/>
        </w:rPr>
        <w:tab/>
      </w:r>
      <w:r>
        <w:rPr>
          <w:rFonts w:ascii="Arial" w:cs="Arial" w:eastAsia="Arial" w:hAnsi="Arial"/>
          <w:sz w:val="18"/>
          <w:szCs w:val="18"/>
          <w:u w:val="single" w:color="auto"/>
          <w:color w:val="auto"/>
        </w:rPr>
        <w:t>$</w:t>
      </w:r>
      <w:r>
        <w:rPr>
          <w:sz w:val="20"/>
          <w:szCs w:val="20"/>
          <w:color w:val="auto"/>
        </w:rPr>
        <w:tab/>
      </w:r>
      <w:r>
        <w:rPr>
          <w:rFonts w:ascii="Arial" w:cs="Arial" w:eastAsia="Arial" w:hAnsi="Arial"/>
          <w:sz w:val="18"/>
          <w:szCs w:val="18"/>
          <w:u w:val="single" w:color="auto"/>
          <w:color w:val="auto"/>
        </w:rPr>
        <w:t>25,234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7,214</w:t>
      </w:r>
      <w:r>
        <w:rPr>
          <w:sz w:val="20"/>
          <w:szCs w:val="20"/>
          <w:color w:val="auto"/>
        </w:rPr>
        <w:tab/>
      </w:r>
      <w:r>
        <w:rPr>
          <w:rFonts w:ascii="Arial" w:cs="Arial" w:eastAsia="Arial" w:hAnsi="Arial"/>
          <w:sz w:val="17"/>
          <w:szCs w:val="17"/>
          <w:u w:val="single" w:color="auto"/>
          <w:color w:val="auto"/>
        </w:rPr>
        <w:t>$ 106,730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14605</wp:posOffset>
            </wp:positionV>
            <wp:extent cx="54368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36870" cy="26035"/>
                    </a:xfrm>
                    <a:prstGeom prst="rect">
                      <a:avLst/>
                    </a:prstGeom>
                    <a:noFill/>
                  </pic:spPr>
                </pic:pic>
              </a:graphicData>
            </a:graphic>
          </wp:anchor>
        </w:drawing>
      </w:r>
    </w:p>
    <w:p>
      <w:pPr>
        <w:spacing w:after="0" w:line="24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net change in unrealized gain/(loss) on investments held as of May 31, 2013 and 2012, was $1,230,338 and $1,714,104, respectively, and is included in net unrealized appreciation (depreciation) on investments in the consolidated statements of operations.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May 31, 2013 were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8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 Technique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 Input</w:t>
            </w:r>
          </w:p>
        </w:tc>
        <w:tc>
          <w:tcPr>
            <w:tcW w:w="17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Range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Average Yield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 lien term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95,625</w:t>
            </w:r>
          </w:p>
        </w:tc>
        <w:tc>
          <w:tcPr>
            <w:tcW w:w="1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Market Yield (%)</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w:t>
            </w:r>
          </w:p>
        </w:tc>
        <w:tc>
          <w:tcPr>
            <w:tcW w:w="8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- 23.0%</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9.2%</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2"/>
              </w:rPr>
              <w:t>3.0x - 8.3x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5.6x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- 102.0</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99.3</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6,766</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secured notes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24,730</w:t>
            </w:r>
          </w:p>
        </w:tc>
        <w:tc>
          <w:tcPr>
            <w:tcW w:w="1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Market Yield (%)</w:t>
            </w:r>
          </w:p>
        </w:tc>
        <w:tc>
          <w:tcPr>
            <w:tcW w:w="154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11.5% - 42.5%</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13.2%</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3"/>
              </w:rPr>
              <w:t>5.0x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5.0x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- 104.5</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102.2</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4,958</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- 23.7%</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23,585</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Discounted Cash Flow</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9,175</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3.0x – 8.9x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7.1x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1400" w:type="dxa"/>
            <w:vAlign w:val="bottom"/>
            <w:gridSpan w:val="15"/>
          </w:tcPr>
          <w:p>
            <w:pPr>
              <w:ind w:left="640"/>
              <w:spacing w:after="0"/>
              <w:rPr>
                <w:sz w:val="20"/>
                <w:szCs w:val="20"/>
                <w:color w:val="auto"/>
              </w:rPr>
            </w:pPr>
            <w:r>
              <w:rPr>
                <w:rFonts w:ascii="Arial" w:cs="Arial" w:eastAsia="Arial" w:hAnsi="Arial"/>
                <w:sz w:val="18"/>
                <w:szCs w:val="18"/>
                <w:color w:val="auto"/>
                <w:w w:val="92"/>
              </w:rPr>
              <w:t>The valuation techniques and significant unobservable inputs used in recurring Level 3 fair value measurements of assets as of February 28, 2013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20" w:type="dxa"/>
            <w:vAlign w:val="bottom"/>
            <w:gridSpan w:val="5"/>
          </w:tcPr>
          <w:p>
            <w:pPr>
              <w:spacing w:after="0"/>
              <w:rPr>
                <w:sz w:val="20"/>
                <w:szCs w:val="20"/>
                <w:color w:val="auto"/>
              </w:rPr>
            </w:pPr>
            <w:r>
              <w:rPr>
                <w:rFonts w:ascii="Arial" w:cs="Arial" w:eastAsia="Arial" w:hAnsi="Arial"/>
                <w:sz w:val="18"/>
                <w:szCs w:val="18"/>
                <w:color w:val="auto"/>
              </w:rPr>
              <w:t>were as follows (dollars in thousands):</w:t>
            </w: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18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 Technique</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6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Unobservable Input</w:t>
            </w:r>
          </w:p>
        </w:tc>
        <w:tc>
          <w:tcPr>
            <w:tcW w:w="1760" w:type="dxa"/>
            <w:vAlign w:val="bottom"/>
            <w:gridSpan w:val="3"/>
            <w:vMerge w:val="restart"/>
          </w:tcPr>
          <w:p>
            <w:pPr>
              <w:ind w:left="560"/>
              <w:spacing w:after="0"/>
              <w:rPr>
                <w:sz w:val="20"/>
                <w:szCs w:val="20"/>
                <w:color w:val="auto"/>
              </w:rPr>
            </w:pPr>
            <w:r>
              <w:rPr>
                <w:rFonts w:ascii="Arial" w:cs="Arial" w:eastAsia="Arial" w:hAnsi="Arial"/>
                <w:sz w:val="14"/>
                <w:szCs w:val="14"/>
                <w:b w:val="1"/>
                <w:bCs w:val="1"/>
                <w:color w:val="auto"/>
              </w:rPr>
              <w:t>Range</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60" w:type="dxa"/>
            <w:vAlign w:val="bottom"/>
            <w:gridSpan w:val="2"/>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Average Yield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First lien term loans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83,792</w:t>
            </w:r>
          </w:p>
        </w:tc>
        <w:tc>
          <w:tcPr>
            <w:tcW w:w="1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Market Yield (%)</w:t>
            </w:r>
          </w:p>
        </w:tc>
        <w:tc>
          <w:tcPr>
            <w:tcW w:w="6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5.8%</w:t>
            </w:r>
          </w:p>
        </w:tc>
        <w:tc>
          <w:tcPr>
            <w:tcW w:w="8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- 26.9%</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10.0%</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3"/>
              </w:rPr>
              <w:t>3.0x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3.0x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- 102.0</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100.1</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Second lien term loans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9,571</w:t>
            </w:r>
          </w:p>
        </w:tc>
        <w:tc>
          <w:tcPr>
            <w:tcW w:w="1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Market Yield (%)</w:t>
            </w:r>
          </w:p>
        </w:tc>
        <w:tc>
          <w:tcPr>
            <w:tcW w:w="154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11.5 %</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11.5%</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90.5</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90.5</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Senior secured notes</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20"/>
              <w:spacing w:after="0" w:line="201" w:lineRule="exact"/>
              <w:rPr>
                <w:sz w:val="20"/>
                <w:szCs w:val="20"/>
                <w:color w:val="auto"/>
              </w:rPr>
            </w:pPr>
            <w:r>
              <w:rPr>
                <w:rFonts w:ascii="Arial" w:cs="Arial" w:eastAsia="Arial" w:hAnsi="Arial"/>
                <w:sz w:val="18"/>
                <w:szCs w:val="18"/>
                <w:color w:val="auto"/>
              </w:rPr>
              <w:t>23,305</w:t>
            </w:r>
          </w:p>
        </w:tc>
        <w:tc>
          <w:tcPr>
            <w:tcW w:w="194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Market Yield (%)</w:t>
            </w:r>
          </w:p>
        </w:tc>
        <w:tc>
          <w:tcPr>
            <w:tcW w:w="1540" w:type="dxa"/>
            <w:vAlign w:val="bottom"/>
            <w:gridSpan w:val="2"/>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14.0% - 42.5%</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20.4%</w:t>
            </w: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3"/>
              </w:rPr>
              <w:t>5.5x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5.5x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76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89"/>
              </w:rPr>
              <w:t>89.0 – 101.0</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97.0</w:t>
            </w: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4,874</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13.6% - 23.8%</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154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25,517</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Discounted Cash Flow</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9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2"/>
          </w:tcPr>
          <w:p>
            <w:pPr>
              <w:spacing w:after="0"/>
              <w:rPr>
                <w:sz w:val="18"/>
                <w:szCs w:val="18"/>
                <w:color w:val="auto"/>
              </w:rPr>
            </w:pPr>
          </w:p>
        </w:tc>
        <w:tc>
          <w:tcPr>
            <w:tcW w:w="1760" w:type="dxa"/>
            <w:vAlign w:val="bottom"/>
            <w:gridSpan w:val="3"/>
          </w:tcPr>
          <w:p>
            <w:pPr>
              <w:spacing w:after="0"/>
              <w:rPr>
                <w:sz w:val="18"/>
                <w:szCs w:val="18"/>
                <w:color w:val="auto"/>
              </w:rPr>
            </w:pPr>
          </w:p>
        </w:tc>
        <w:tc>
          <w:tcPr>
            <w:tcW w:w="13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8,021</w:t>
            </w:r>
          </w:p>
        </w:tc>
        <w:tc>
          <w:tcPr>
            <w:tcW w:w="19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Market Comparables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760" w:type="dxa"/>
            <w:vAlign w:val="bottom"/>
            <w:gridSpan w:val="3"/>
            <w:shd w:val="clear" w:color="auto" w:fill="CCEEFF"/>
          </w:tcPr>
          <w:p>
            <w:pPr>
              <w:jc w:val="center"/>
              <w:ind w:right="240"/>
              <w:spacing w:after="0"/>
              <w:rPr>
                <w:sz w:val="20"/>
                <w:szCs w:val="20"/>
                <w:color w:val="auto"/>
              </w:rPr>
            </w:pPr>
            <w:r>
              <w:rPr>
                <w:rFonts w:ascii="Arial" w:cs="Arial" w:eastAsia="Arial" w:hAnsi="Arial"/>
                <w:sz w:val="18"/>
                <w:szCs w:val="18"/>
                <w:color w:val="auto"/>
                <w:w w:val="90"/>
              </w:rPr>
              <w:t>3.0x – 8.9x</w:t>
            </w:r>
          </w:p>
        </w:tc>
        <w:tc>
          <w:tcPr>
            <w:tcW w:w="13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6.6x</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8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investments as of May 31, 2013, at amortized cost and fair value were as follows (dollars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Investments at</w:t>
            </w:r>
          </w:p>
        </w:tc>
        <w:tc>
          <w:tcPr>
            <w:tcW w:w="16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Amortized Cost</w:t>
            </w:r>
          </w:p>
        </w:tc>
        <w:tc>
          <w:tcPr>
            <w:tcW w:w="160" w:type="dxa"/>
            <w:vAlign w:val="bottom"/>
          </w:tcPr>
          <w:p>
            <w:pPr>
              <w:spacing w:after="0"/>
              <w:rPr>
                <w:sz w:val="14"/>
                <w:szCs w:val="14"/>
                <w:color w:val="auto"/>
              </w:rPr>
            </w:pPr>
          </w:p>
        </w:tc>
        <w:tc>
          <w:tcPr>
            <w:tcW w:w="14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Investments at</w:t>
            </w:r>
          </w:p>
        </w:tc>
        <w:tc>
          <w:tcPr>
            <w:tcW w:w="15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Amortized Cost</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95,445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Second lien term loans</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6,849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6,766</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25,734</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24,730</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Unsecured notes</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6,804</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4,958</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17,657</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23,585</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Equity interest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5,879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9,175</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158,368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60"/>
          </w:cols>
          <w:pgMar w:left="240" w:top="125" w:right="199" w:bottom="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color w:val="auto"/>
        </w:rPr>
        <w:t>The composition of our investments as of February 28, 2013, at amortized cost and fair value were as follows (dollars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Investments at</w:t>
            </w:r>
          </w:p>
        </w:tc>
        <w:tc>
          <w:tcPr>
            <w:tcW w:w="16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Amortized Cost</w:t>
            </w:r>
          </w:p>
        </w:tc>
        <w:tc>
          <w:tcPr>
            <w:tcW w:w="160" w:type="dxa"/>
            <w:vAlign w:val="bottom"/>
          </w:tcPr>
          <w:p>
            <w:pPr>
              <w:spacing w:after="0"/>
              <w:rPr>
                <w:sz w:val="14"/>
                <w:szCs w:val="14"/>
                <w:color w:val="auto"/>
              </w:rPr>
            </w:pPr>
          </w:p>
        </w:tc>
        <w:tc>
          <w:tcPr>
            <w:tcW w:w="14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Investments at</w:t>
            </w:r>
          </w:p>
        </w:tc>
        <w:tc>
          <w:tcPr>
            <w:tcW w:w="15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5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26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6"/>
              </w:rPr>
              <w:t>Amortized Cost</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83,886</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Second lien term loans</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9,473</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9,571</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24,619</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16.5</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23,305</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Unsecured notes</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6,758</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4,874</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18,945</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25,517</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Equity interest</w:t>
            </w:r>
          </w:p>
        </w:tc>
        <w:tc>
          <w:tcPr>
            <w:tcW w:w="14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5,729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8,021</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2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149,410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For equity securities of portfolio companies,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78"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Our investment in GSC Investment Corp. CLO 2007,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reinvestment period for the Saratoga CLO ended on January 20, 2013, and, as a result, reinvestment assumptions are no longer applicable.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 at May 31, 2013. The significant inputs for the valuation model include:</w:t>
      </w:r>
    </w:p>
    <w:p>
      <w:pPr>
        <w:spacing w:after="0" w:line="178"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Default rates: 3.0%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Recovery rates: 35-70%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Prepayment rate: 20.0%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GSC Investment Corp. CLO 2007, Ltd. (“Saratoga CLO”)</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On January 22, 2008, we invested $30 million in all of the outstanding subordinated notes of Saratoga CLO, a collateralized loan obligation fund managed by us that invests primarily in senior secured loans. Additionally, we entered into a collateral management agreement with Saratoga CLO pursuant to which we act as collateral manager to it. In return for our collateral management services, we are entitled to a senior collateral management fee of 0.10% and a subordinate collateral management fee of 0.40% of the outstanding principal amount of Saratoga CLO’s assets, to be paid quarterly to the extent of available proceeds. We are also entitled to an incentive management fee equal to 20.0% of excess cash flow to the extent the Saratoga CLO subordinated notes receive an internal rate of return equal to or greater than 12.0%. For the three months ended May 31, 2013 and May 31, 2012, we accrued $0.5 million and $0.5 million in management fee income, respectively, and $1.1 million and $1.0 million in interest income, respectively, from Saratoga CLO. We did not accrue any amounts related to the incentive management fee as the 12.0% hurdle rate has not yet been achieved.</w:t>
      </w:r>
    </w:p>
    <w:p>
      <w:pPr>
        <w:spacing w:after="0" w:line="16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At May 31, 2013, the Company determined that the fair value of its investment in the subordinated notes of Saratoga CLO was $23.6 million. The Company determines the fair value of its investment in the subordinated notes of Saratoga CLO based on the present value of the projected future cash flows of the subordinated notes over the life of Saratoga CLO. At May 31, 2013, Saratoga CLO had investments with a principal balance of $354.1 million and a weighted average spread over LIBOR of 4.2%, and had debt with a principal balance of $333.9 million with a weighted average spread over LIBOR of 1.5%. As a result, Saratoga CLO earns a “spread” between the interest income it receives on its investments and the interest expense it pays on its debt and other operating expenses, which is distributed quarterly to the Company as the holder of its subordinated notes. At May 31, 2013, the total “spread”, or projected future cash flows of the subordinated notes, over the life of Saratoga CLO was $31.0 million, which had a present value of approximately $24.1 million, using a 13.0% discount rate.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Below is certain financial information from the separate unaudited financial statements of Saratoga CLO as of May 31, 2013 and February 28, 2013 and for the three months ended May 31, 2013 and May 31, 2012.</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GSC Investment Corp. CLO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As of</w:t>
            </w: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May 31, 2013</w:t>
            </w:r>
          </w:p>
        </w:tc>
        <w:tc>
          <w:tcPr>
            <w:tcW w:w="100" w:type="dxa"/>
            <w:vAlign w:val="bottom"/>
          </w:tcPr>
          <w:p>
            <w:pPr>
              <w:spacing w:after="0"/>
              <w:rPr>
                <w:sz w:val="12"/>
                <w:szCs w:val="12"/>
                <w:color w:val="auto"/>
              </w:rPr>
            </w:pPr>
          </w:p>
        </w:tc>
        <w:tc>
          <w:tcPr>
            <w:tcW w:w="126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Fair Value Loans (amortized cost of $336,651,902 and $366,099,395, respectively)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332,515,945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362,494,006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Fair Value Other/Structured finance securities (amortized cost of $13,828,141 and $13,743,946,</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respectively)</w:t>
            </w: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13,180,411</w:t>
            </w:r>
          </w:p>
        </w:tc>
        <w:tc>
          <w:tcPr>
            <w:tcW w:w="100" w:type="dxa"/>
            <w:vAlign w:val="bottom"/>
            <w:shd w:val="clear" w:color="auto" w:fill="CCEEFF"/>
          </w:tcPr>
          <w:p>
            <w:pPr>
              <w:spacing w:after="0"/>
              <w:rPr>
                <w:sz w:val="20"/>
                <w:szCs w:val="20"/>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11,925,973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Pr>
          <w:p>
            <w:pPr>
              <w:ind w:left="160"/>
              <w:spacing w:after="0"/>
              <w:rPr>
                <w:sz w:val="20"/>
                <w:szCs w:val="20"/>
                <w:color w:val="auto"/>
              </w:rPr>
            </w:pPr>
            <w:r>
              <w:rPr>
                <w:rFonts w:ascii="Arial" w:cs="Arial" w:eastAsia="Arial" w:hAnsi="Arial"/>
                <w:sz w:val="18"/>
                <w:szCs w:val="18"/>
                <w:color w:val="auto"/>
              </w:rPr>
              <w:t>Total investments at fair value</w:t>
            </w:r>
          </w:p>
        </w:tc>
        <w:tc>
          <w:tcPr>
            <w:tcW w:w="4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345,696,356</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374,419,979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18,130,668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28,804,871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Receivable from open trades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1,005,000</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5,131,538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1,662,498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1,584,985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10,911</w:t>
            </w:r>
          </w:p>
        </w:tc>
        <w:tc>
          <w:tcPr>
            <w:tcW w:w="10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Deferred bond issuance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1,911,204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2,092,787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368,416,637</w:t>
            </w:r>
          </w:p>
        </w:tc>
        <w:tc>
          <w:tcPr>
            <w:tcW w:w="2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412,034,160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LIABILITIES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Interest payable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654,455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666,121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Payable from open trades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4,029,906</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16,346,250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Accrued senior collateral monitoring fee</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43,164</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43,171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Accrued subordinate collateral monitoring fee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172,657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172,682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Class A notes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263,989,376</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296,000,000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Class B notes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22,000,000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Discount on class B notes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(401,769)</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(417,011)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Class C notes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14,000,000</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Class D notes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16,000,000</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16,000,000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D notes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(425,011)</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Class E notes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17,960,044</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17,960,044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E notes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(1,093,300)</w:t>
            </w:r>
          </w:p>
        </w:tc>
        <w:tc>
          <w:tcPr>
            <w:tcW w:w="1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(1,134,778)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Subordinated notes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30,000,000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366,929,522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411,195,343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Ordinary equity, par value $1.00, 250 ordinary shares authorized, 250 and 250 issued and outstanding,</w:t>
            </w: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Accumulated gain (loss)</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838,567</w:t>
            </w:r>
          </w:p>
        </w:tc>
        <w:tc>
          <w:tcPr>
            <w:tcW w:w="10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(5,963,092)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648,298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6,801,659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4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1,487,115</w:t>
            </w:r>
          </w:p>
        </w:tc>
        <w:tc>
          <w:tcPr>
            <w:tcW w:w="2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838,817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2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368,416,637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412,034,160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GSC Investment Corp. CLO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For the 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May 31, 2013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May 31, 2012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tcPr>
          <w:p>
            <w:pPr>
              <w:jc w:val="center"/>
              <w:ind w:right="96"/>
              <w:spacing w:after="0" w:line="142" w:lineRule="exact"/>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80" w:type="dxa"/>
            <w:vAlign w:val="bottom"/>
            <w:tcBorders>
              <w:top w:val="single" w:sz="8" w:color="auto"/>
            </w:tcBorders>
          </w:tcPr>
          <w:p>
            <w:pPr>
              <w:jc w:val="center"/>
              <w:ind w:right="116"/>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00" w:type="dxa"/>
            <w:vAlign w:val="bottom"/>
          </w:tcPr>
          <w:p>
            <w:pPr>
              <w:jc w:val="right"/>
              <w:spacing w:after="0"/>
              <w:rPr>
                <w:sz w:val="20"/>
                <w:szCs w:val="20"/>
                <w:color w:val="auto"/>
              </w:rPr>
            </w:pPr>
            <w:r>
              <w:rPr>
                <w:rFonts w:ascii="Arial" w:cs="Arial" w:eastAsia="Arial" w:hAnsi="Arial"/>
                <w:sz w:val="18"/>
                <w:szCs w:val="18"/>
                <w:color w:val="auto"/>
              </w:rPr>
              <w:t>4,406,280</w:t>
            </w:r>
          </w:p>
        </w:tc>
        <w:tc>
          <w:tcPr>
            <w:tcW w:w="14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4,917,725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Other income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351,637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211,540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investment income</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4,761,073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2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5,134,548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Interest expense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3,945,479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100"/>
              <w:spacing w:after="0"/>
              <w:rPr>
                <w:sz w:val="20"/>
                <w:szCs w:val="20"/>
                <w:color w:val="auto"/>
              </w:rPr>
            </w:pPr>
            <w:r>
              <w:rPr>
                <w:rFonts w:ascii="Arial" w:cs="Arial" w:eastAsia="Arial" w:hAnsi="Arial"/>
                <w:sz w:val="18"/>
                <w:szCs w:val="18"/>
                <w:color w:val="auto"/>
              </w:rPr>
              <w:t>3,692,954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116,352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196,374</w:t>
            </w: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0" w:gutter="0" w:footer="0" w:header="0"/>
        </w:sectPr>
      </w:pPr>
    </w:p>
    <w:bookmarkStart w:id="16" w:name="page17"/>
    <w:bookmarkEnd w:id="16"/>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Misc. Fee Expense</w:t>
            </w:r>
          </w:p>
        </w:tc>
        <w:tc>
          <w:tcPr>
            <w:tcW w:w="10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152,110</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33,759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Senior collateral monitoring fee</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99,618</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Subordinate collateral monitoring fee</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398,472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399,872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Trustee expenses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24,532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Amortization expense</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254,427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254,427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10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4,990,990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4,702,279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(229,917)</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238,542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1,089,054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appreciation/(depreciation) on investments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639,673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gain on investments</w:t>
            </w:r>
          </w:p>
        </w:tc>
        <w:tc>
          <w:tcPr>
            <w:tcW w:w="10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878,215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298,615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w w:val="96"/>
              </w:rPr>
              <w:t>NET INCREASE IN NET ASSETS RESULTING FROM OPERATIONS</w:t>
            </w:r>
          </w:p>
        </w:tc>
        <w:tc>
          <w:tcPr>
            <w:tcW w:w="18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648,298</w:t>
            </w:r>
          </w:p>
        </w:tc>
        <w:tc>
          <w:tcPr>
            <w:tcW w:w="180" w:type="dxa"/>
            <w:vAlign w:val="bottom"/>
          </w:tcPr>
          <w:p>
            <w:pPr>
              <w:spacing w:after="0"/>
              <w:rPr>
                <w:sz w:val="18"/>
                <w:szCs w:val="18"/>
                <w:color w:val="auto"/>
              </w:rPr>
            </w:pPr>
          </w:p>
        </w:tc>
        <w:tc>
          <w:tcPr>
            <w:tcW w:w="92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730,884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0" w:type="dxa"/>
            <w:vAlign w:val="bottom"/>
            <w:vMerge w:val="restart"/>
          </w:tcPr>
          <w:p>
            <w:pPr>
              <w:jc w:val="right"/>
              <w:ind w:right="590"/>
              <w:spacing w:after="0"/>
              <w:rPr>
                <w:sz w:val="20"/>
                <w:szCs w:val="20"/>
                <w:color w:val="auto"/>
              </w:rPr>
            </w:pPr>
            <w:r>
              <w:rPr>
                <w:rFonts w:ascii="Arial" w:cs="Arial" w:eastAsia="Arial" w:hAnsi="Arial"/>
                <w:sz w:val="18"/>
                <w:szCs w:val="18"/>
                <w:color w:val="auto"/>
              </w:rPr>
              <w:t>19</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10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4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4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GSC Investment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May 31,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tcPr>
          <w:p>
            <w:pPr>
              <w:jc w:val="right"/>
              <w:ind w:right="391"/>
              <w:spacing w:after="0"/>
              <w:rPr>
                <w:sz w:val="20"/>
                <w:szCs w:val="20"/>
                <w:color w:val="auto"/>
              </w:rPr>
            </w:pPr>
            <w:r>
              <w:rPr>
                <w:rFonts w:ascii="Arial" w:cs="Arial" w:eastAsia="Arial" w:hAnsi="Arial"/>
                <w:sz w:val="11"/>
                <w:szCs w:val="11"/>
                <w:b w:val="1"/>
                <w:bCs w:val="1"/>
                <w:color w:val="auto"/>
                <w:w w:val="92"/>
              </w:rPr>
              <w:t>Principal / Number of</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1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6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Industry</w:t>
            </w:r>
          </w:p>
        </w:tc>
        <w:tc>
          <w:tcPr>
            <w:tcW w:w="16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Asset Name</w:t>
            </w:r>
          </w:p>
        </w:tc>
        <w:tc>
          <w:tcPr>
            <w:tcW w:w="1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Asset Type</w:t>
            </w:r>
          </w:p>
        </w:tc>
        <w:tc>
          <w:tcPr>
            <w:tcW w:w="1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Current Rate</w:t>
            </w:r>
          </w:p>
        </w:tc>
        <w:tc>
          <w:tcPr>
            <w:tcW w:w="2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Maturity Date</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Cost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8"/>
              </w:rPr>
              <w:t>Fair Value</w:t>
            </w:r>
          </w:p>
        </w:tc>
        <w:tc>
          <w:tcPr>
            <w:tcW w:w="80" w:type="dxa"/>
            <w:vAlign w:val="bottom"/>
            <w:tcBorders>
              <w:bottom w:val="single" w:sz="8" w:color="CCEEFF"/>
            </w:tcBorders>
          </w:tcPr>
          <w:p>
            <w:pPr>
              <w:spacing w:after="0"/>
              <w:rPr>
                <w:sz w:val="11"/>
                <w:szCs w:val="11"/>
                <w:color w:val="auto"/>
              </w:rPr>
            </w:pPr>
          </w:p>
        </w:tc>
      </w:tr>
      <w:tr>
        <w:trPr>
          <w:trHeight w:val="115"/>
        </w:trPr>
        <w:tc>
          <w:tcPr>
            <w:tcW w:w="168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Elyria Foundry Company, LLC</w:t>
            </w:r>
          </w:p>
        </w:tc>
        <w:tc>
          <w:tcPr>
            <w:tcW w:w="16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Industrial Equipment</w:t>
            </w: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Preferred Warrants (2013)</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Equity</w:t>
            </w:r>
          </w:p>
        </w:tc>
        <w:tc>
          <w:tcPr>
            <w:tcW w:w="1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0.00%</w:t>
            </w: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ind w:left="520"/>
              <w:spacing w:after="0" w:line="115" w:lineRule="exact"/>
              <w:rPr>
                <w:sz w:val="20"/>
                <w:szCs w:val="20"/>
                <w:color w:val="auto"/>
              </w:rPr>
            </w:pPr>
            <w:r>
              <w:rPr>
                <w:rFonts w:ascii="Arial" w:cs="Arial" w:eastAsia="Arial" w:hAnsi="Arial"/>
                <w:sz w:val="11"/>
                <w:szCs w:val="11"/>
                <w:color w:val="auto"/>
                <w:w w:val="72"/>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Elyria Foundry Company,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Industrial Equipment</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Warrants</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Equity</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tcPr>
          <w:p>
            <w:pPr>
              <w:jc w:val="right"/>
              <w:ind w:right="291"/>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tcPr>
          <w:p>
            <w:pPr>
              <w:jc w:val="right"/>
              <w:ind w:right="231"/>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Network Communications,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Common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Equity</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169,143</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169,143</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OLD AII, Inc (fka Aleris International</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Conglomerate</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Common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Equity</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Inc.)</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0.00%</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224,656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224,656</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PATS Aircraft, LLC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Common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Equity</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282,326</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282,326</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Publishing</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Common Stock</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Equity</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28,784</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28,784</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5,411</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Academy, LTD.</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Initial Term Loan (2012)</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4.50%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8/3/2018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1,975,075</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1,961,725</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1,998,776</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Acosta,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D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4,183,659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4,123,941</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4,240,264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Aderant North America,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6.25%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12/20/2018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3,500,000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3,495,850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3,482,500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Aeroflex Incorporated</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Tranche B-1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4.50%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11/9/2019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3,345,517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3,328,811</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3,359,000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Alcatel-Lucent USA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Telecommunications/Cellular</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US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7.25%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1/30/2019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1,072,313</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1,067,170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1,087,732</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Alere Inc. (fka IM US Holdings,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Incremental B-1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6/30/2017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1,975,000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1,938,688</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2,002,156</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Aptalis Pharma, Inc. (fka Axcan</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Drugs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B-1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Intermediate Holdings 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2/10/2017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1,955,000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1,948,963</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1,966,398</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Aramark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LC-2 Facility</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3.69%</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79,187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79,187</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80,027</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LC-3 Facility</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3.69%</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43,961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43,961</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44,427</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Aramark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U.S. Term B Loan (Extending)</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3.69%</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1,204,093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1,204,093</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1,216,868</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U.S. Term C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3.75%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2,545,700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2,545,700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2,572,710</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Asurion, LLC (fka Asurion</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Insurance</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Amortizing Term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Corporation)</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4.75%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7/23/2017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937,500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929,723</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944,138</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Asurion, LLC (fka Asurion</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Insurance</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Incremental Tranche B-1 Term</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Corporation)</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Loan</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5/24/2019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5,644,943</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5,590,966</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5,689,933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Auction.Com,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 A-4</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4.20%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2/28/2017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1,018,699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1,017,567</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1,014,879</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Aurora Diagnostics, LLC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5/26/2016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3,188,889</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3,197,550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2,870,000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Autotrader.com,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Automotive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Tranche B-1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12/15/2016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3,821,020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3,821,020</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3,867,598</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Avantor Performance Materials</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Holdings, 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5.25%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6/24/2017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4,912,500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4,895,710</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4,912,500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AZ Chem US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12/22/2017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1,565,683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1,529,660</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1,582,639</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Biomet,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Dollar Term B-1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3.97%</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7/25/2017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1,985,025</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1,985,025</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2,002,394</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Bombardier Recreational Products</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Leisure Goods/Activities/Movies</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Term B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Inc.</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4.00%</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1/30/2019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754,286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747,137</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760,886</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Brock Holdings III,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Industrial Equipment</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6.01%</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3/16/2017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1,994,666</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2,016,204</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2,019,599</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Burlington Coat Factory Warehouse</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Term B-2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Corporation</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4.25%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2/23/2017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2,776,843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2,768,374</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2,798,807</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C.H.I. Overhead Doors, Inc. (CHI)</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Home Furnishings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5.50%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3/18/2019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2,976,290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2,918,802</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2,994,892</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w w:val="99"/>
              </w:rPr>
              <w:t>Camp International Holding Company</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Aerospace and Defense</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Refinanced Term Loan (First</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Lien)</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5.25%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5/31/2019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995,000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986,036</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1,005,885</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Capital Automotive L.P.</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Conglomerate</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Tranche B-1 Term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Facility</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4/10/2019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2,226,448</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2,231,882</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2,240,363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Capstone Logistics,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Note A</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6.50%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9/16/2016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2,709,428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2,681,642</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2,668,938</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Capsugel Holdings US,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Drugs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4.75%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8/1/2018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3,535,784</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3,527,160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3,568,490</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Celanese US Holdings LLC</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Dollar Term C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(Extended)</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3.03%</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10/31/2016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2,192,897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2,212,106</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2,215,659</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Charter Communications Operating,</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Cable and Satellite Television</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F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LLC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12/31/2020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2,696,188</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2,685,062</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2,687,992</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CHS/Community Health Systems,</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Healthcare</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Extended Term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Inc.</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3.77%</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1/25/2017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4,064,516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3,970,161</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4,102,194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Cinedigm Digital Funding I, LLC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3.75%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2/28/2018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1,010,281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1,004,136</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1,012,807</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Contec,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Second Lien Term Notes</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11/2/2016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401,202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2,263,803</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401,202</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Covanta Energy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Ecological Services and Equipment</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3.50%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3/28/2019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495,000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492,940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501,499</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CPI International Acquisition, Inc.</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Term B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(f/k/a Catalyst Holdings, Inc.)</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5.00%</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2/13/2017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4,805,833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4,790,974</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4,877,921</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Crown Castle Operating Company</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Telecommunications/Cellular</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Tranche B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3.25%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1/31/2019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1,975,000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1,955,652</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1,985,626</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Dollar Loan (First Lien)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12/19/2017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793,671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733,922</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732,662</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Dollar Loan (Second Lien)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9.50%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6/19/2018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783,162</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723,181</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622,614</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DaVita HealthCare Partners Inc. (fka</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Healthcare</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Tranche B Term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DaVita Inc.)</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4.50%</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10/20/2016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3,939,547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3,939,547</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3,978,942</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DCS Business Services,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Financial Intermediaries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7.25%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3/19/2018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3,860,829</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3,814,536</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3,831,873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Del Monte Foods Company</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3/8/2018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4,427,044</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4,462,007</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4,454,713</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Digitalglobe,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Ecological Services and Equipment</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3.75%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1/31/2020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250,000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250,000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251,500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DS Waters of America,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Beverage and Tobacco</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10.50%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8/29/2017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2,970,000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2,923,873</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3,029,400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Dunkin’ Brands,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Food Services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B-3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3.75%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2/14/2020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3,989,183</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3,979,502</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4,012,440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DynCorp International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7/7/2016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574,161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568,215</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578,468</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Education Management LLC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Leisure Goods/Activities/Movies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C-2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4.31%</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6/1/2016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3,914,293</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3,732,461</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3,522,863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eInstruction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7/2/2013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2,997,722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2,931,236</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899,317</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Evergreen Acqco 1 LP</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7/9/2019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496,256</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491,778</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499,670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Federal-Mogul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Automotive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2.14%</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12/29/2014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2,582,223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2,504,741</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2,490,399</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Federal-Mogul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Automotive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C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2.14%</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12/28/2015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1,317,461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1,265,975</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1,270,612</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First Data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Financial Intermediaries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2017 New Dollar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4.20%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3/24/2017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2,111,028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2,011,818</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2,109,846</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First Data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Financial Intermediaries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2018 Dollar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4.20%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3/23/2018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2,290,451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2,220,494</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2,287,015</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FTD Group,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6/11/2018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3,551,745</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3,521,685</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3,578,383</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Generac Power Systems,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Industrial Equipment</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B</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3.50%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5/31/2020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872,778</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855,329</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878,599</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General Nutrition Centers, Inc.</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Amended Tranche B Term</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Loan</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3.75%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3/2/2018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4,744,431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4,755,144</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4,787,131</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Global Tel*Link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5/23/2020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1,929,825</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1,925,017</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1,933,839</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Goodyear Tire &amp; Rubber Company,</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Loan (Second Lien)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The</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4.75%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4/30/2019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4,000,000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3,932,505</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4,028,000</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Grifols Inc.</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Drugs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New U.S. Tranche B Term</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Loan</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4.25%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6/1/2017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3,454,622</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3,446,551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3,488,097</w:t>
            </w:r>
          </w:p>
        </w:tc>
      </w:tr>
      <w:tr>
        <w:trPr>
          <w:trHeight w:val="136"/>
        </w:trPr>
        <w:tc>
          <w:tcPr>
            <w:tcW w:w="1840" w:type="dxa"/>
            <w:vAlign w:val="bottom"/>
            <w:gridSpan w:val="2"/>
          </w:tcPr>
          <w:p>
            <w:pPr>
              <w:spacing w:after="0"/>
              <w:rPr>
                <w:sz w:val="20"/>
                <w:szCs w:val="20"/>
                <w:color w:val="auto"/>
              </w:rPr>
            </w:pPr>
            <w:r>
              <w:rPr>
                <w:rFonts w:ascii="Arial" w:cs="Arial" w:eastAsia="Arial" w:hAnsi="Arial"/>
                <w:sz w:val="11"/>
                <w:szCs w:val="11"/>
                <w:color w:val="auto"/>
              </w:rPr>
              <w:t>Grosvenor Capital Management</w:t>
            </w:r>
          </w:p>
        </w:tc>
        <w:tc>
          <w:tcPr>
            <w:tcW w:w="1780" w:type="dxa"/>
            <w:vAlign w:val="bottom"/>
            <w:gridSpan w:val="2"/>
          </w:tcPr>
          <w:p>
            <w:pPr>
              <w:spacing w:after="0"/>
              <w:rPr>
                <w:sz w:val="20"/>
                <w:szCs w:val="20"/>
                <w:color w:val="auto"/>
              </w:rPr>
            </w:pPr>
            <w:r>
              <w:rPr>
                <w:rFonts w:ascii="Arial" w:cs="Arial" w:eastAsia="Arial" w:hAnsi="Arial"/>
                <w:sz w:val="11"/>
                <w:szCs w:val="11"/>
                <w:color w:val="auto"/>
                <w:w w:val="99"/>
              </w:rPr>
              <w:t>Brokers/Dealers/Investment Houses</w:t>
            </w:r>
          </w:p>
        </w:tc>
        <w:tc>
          <w:tcPr>
            <w:tcW w:w="1540" w:type="dxa"/>
            <w:vAlign w:val="bottom"/>
            <w:gridSpan w:val="2"/>
          </w:tcPr>
          <w:p>
            <w:pPr>
              <w:spacing w:after="0"/>
              <w:rPr>
                <w:sz w:val="20"/>
                <w:szCs w:val="20"/>
                <w:color w:val="auto"/>
              </w:rPr>
            </w:pPr>
            <w:r>
              <w:rPr>
                <w:rFonts w:ascii="Arial" w:cs="Arial" w:eastAsia="Arial" w:hAnsi="Arial"/>
                <w:sz w:val="11"/>
                <w:szCs w:val="11"/>
                <w:color w:val="auto"/>
              </w:rPr>
              <w:t>Tranche C Term Loan</w:t>
            </w:r>
          </w:p>
        </w:tc>
        <w:tc>
          <w:tcPr>
            <w:tcW w:w="960" w:type="dxa"/>
            <w:vAlign w:val="bottom"/>
            <w:gridSpan w:val="2"/>
          </w:tcPr>
          <w:p>
            <w:pPr>
              <w:spacing w:after="0"/>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4.25%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12/5/2016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3,321,248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3,243,236</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3,321,248</w:t>
            </w:r>
          </w:p>
        </w:tc>
      </w:tr>
    </w:tbl>
    <w:p>
      <w:pPr>
        <w:sectPr>
          <w:pgSz w:w="11900" w:h="16899" w:orient="portrait"/>
          <w:cols w:equalWidth="0" w:num="1">
            <w:col w:w="11460"/>
          </w:cols>
          <w:pgMar w:left="240" w:top="125" w:right="199" w:bottom="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760" w:type="dxa"/>
            <w:vAlign w:val="bottom"/>
          </w:tcPr>
          <w:p>
            <w:pPr>
              <w:ind w:left="180"/>
              <w:spacing w:after="0"/>
              <w:rPr>
                <w:sz w:val="20"/>
                <w:szCs w:val="20"/>
                <w:color w:val="auto"/>
              </w:rPr>
            </w:pPr>
            <w:r>
              <w:rPr>
                <w:rFonts w:ascii="Arial" w:cs="Arial" w:eastAsia="Arial" w:hAnsi="Arial"/>
                <w:sz w:val="11"/>
                <w:szCs w:val="11"/>
                <w:color w:val="auto"/>
              </w:rPr>
              <w:t>Holdings, LLLP</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Hanger Orthopedic Group, Inc.</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Term C Loan Retired</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06/17/2013</w:t>
            </w: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4.43%</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12/1/2016</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3,900,667</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3,909,610</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3,914,085</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HCA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Tranche B-4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2.94%</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5/1/2018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5,734,690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5,344,280</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5,758,374</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7"/>
              </w:rPr>
              <w:t>Health Management Associates,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Replacement Term B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11/16/2018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2,916,967</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2,893,840</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2,942,957</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Hertz Corporation, The</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Automotive</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Tranche B-1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3/11/2018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2,992,500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3,035,255</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3,018,684</w:t>
            </w:r>
          </w:p>
        </w:tc>
        <w:tc>
          <w:tcPr>
            <w:tcW w:w="40" w:type="dxa"/>
            <w:vAlign w:val="bottom"/>
          </w:tcPr>
          <w:p>
            <w:pPr>
              <w:spacing w:after="0"/>
              <w:rPr>
                <w:sz w:val="10"/>
                <w:szCs w:val="10"/>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HIBU PLC (fka Yell Group PLC)</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Facility B1 - YB (USA) LLC</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(11/2009)</w:t>
            </w: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3.94%</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7/31/2014</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3,030,606</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2,983,167</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697,039</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HMH Holdings (Delaware)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 (Exit Facility)</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5/22/2018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990,000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973,315</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991,653</w:t>
            </w:r>
          </w:p>
        </w:tc>
        <w:tc>
          <w:tcPr>
            <w:tcW w:w="40" w:type="dxa"/>
            <w:vAlign w:val="bottom"/>
          </w:tcPr>
          <w:p>
            <w:pPr>
              <w:spacing w:after="0"/>
              <w:rPr>
                <w:sz w:val="10"/>
                <w:szCs w:val="10"/>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Hologic, Inc.</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Refinancing Tranche A Term</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Loan</w:t>
            </w: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2.19%</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8/1/2017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2,406,250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2,400,510</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2,408,656</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Hunter Defense Technologies,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3.45%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8/22/2014</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3,630,609</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3,604,326</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3,521,691</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Huntsman International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Extended Term B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2.73%</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4/19/2017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3,920,000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3,885,902</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3,947,283</w:t>
            </w:r>
          </w:p>
        </w:tc>
        <w:tc>
          <w:tcPr>
            <w:tcW w:w="40" w:type="dxa"/>
            <w:vAlign w:val="bottom"/>
          </w:tcPr>
          <w:p>
            <w:pPr>
              <w:spacing w:after="0"/>
              <w:rPr>
                <w:sz w:val="10"/>
                <w:szCs w:val="10"/>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6"/>
              </w:rPr>
              <w:t>Infor (US), Inc. (fka Lawson Software</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600" w:type="dxa"/>
            <w:vAlign w:val="bottom"/>
          </w:tcPr>
          <w:p>
            <w:pPr>
              <w:ind w:left="140"/>
              <w:spacing w:after="0" w:line="112" w:lineRule="exact"/>
              <w:rPr>
                <w:sz w:val="20"/>
                <w:szCs w:val="20"/>
                <w:color w:val="auto"/>
              </w:rPr>
            </w:pPr>
            <w:r>
              <w:rPr>
                <w:rFonts w:ascii="Arial" w:cs="Arial" w:eastAsia="Arial" w:hAnsi="Arial"/>
                <w:sz w:val="11"/>
                <w:szCs w:val="11"/>
                <w:color w:val="auto"/>
              </w:rPr>
              <w:t>Tranche B-2 Term Loan</w:t>
            </w:r>
          </w:p>
        </w:tc>
        <w:tc>
          <w:tcPr>
            <w:tcW w:w="96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Inc.)</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5.34%</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4/5/2018</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1,985,025</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1,967,607</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2,009,222</w:t>
            </w:r>
          </w:p>
        </w:tc>
        <w:tc>
          <w:tcPr>
            <w:tcW w:w="40" w:type="dxa"/>
            <w:vAlign w:val="bottom"/>
          </w:tcPr>
          <w:p>
            <w:pPr>
              <w:spacing w:after="0"/>
              <w:rPr>
                <w:sz w:val="11"/>
                <w:szCs w:val="11"/>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Inventiv Health, Inc. (fka Ventive</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Consolidated Term Loan</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Health, Inc)</w:t>
            </w: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7.50%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8/4/2016</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492,090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492,090</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487,169</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J. Crew Group,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B-1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3/7/2018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980,000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980,000</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986,742</w:t>
            </w:r>
          </w:p>
        </w:tc>
        <w:tc>
          <w:tcPr>
            <w:tcW w:w="40" w:type="dxa"/>
            <w:vAlign w:val="bottom"/>
          </w:tcPr>
          <w:p>
            <w:pPr>
              <w:spacing w:after="0"/>
              <w:rPr>
                <w:sz w:val="10"/>
                <w:szCs w:val="10"/>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JFB Firth Rixson Inc.</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Industrial Equipment</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4"/>
              </w:rPr>
              <w:t>2013 Replacement Dollar Term</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Facility Loan</w:t>
            </w: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6/30/2017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2,583,737</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2,571,677</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2,622,493</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Kalispel Tribal Economic Authority</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w w:val="96"/>
              </w:rPr>
              <w:t>Term Loan Retired 06/19/2013</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2/25/2017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3,552,758</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3,508,462</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3,570,521</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Kinetic Concepts,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Dollar Term C-1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5/4/2018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493,759</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478,254</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500,470</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Kronos Worldwide,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6/13/2018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500,000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500,000</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501,665</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Michaels Stores,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1/28/2020</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500,000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500,000</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504,375</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Microsemi Corporation</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2/19/2020</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2,588,889</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2,583,391</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2,615,865</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National CineMedia,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Leisure Goods/Activities/Movies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 (2013)</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2.95%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11/26/2019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1,086,207</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1,050,006</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1,086,207</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Newsday,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Publishing</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3.69%</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10/12/2016</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3,000,000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2,996,573</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2,998,140</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Novelis,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3/10/2017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4,895,012</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4,908,618</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4,962,318</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NPC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Food Services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12/28/2018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490,833</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490,833</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498,196</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NRG Energy,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Utilities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3.25%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7/1/2018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3,930,000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3,902,245</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3,972,876</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NuSil Technology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4/7/2017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815,868</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815,868</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820,152</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OEP Pearl Dutch Acquisition B.V.</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Initial BV 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6.50%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3/30/2018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143,509</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141,178</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145,303</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On Assignment,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Initial Term B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5/15/2020</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2,000,000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1,985,922</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2,014,160</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Onex Carestream Finance LP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2/25/2017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4,647,343</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4,632,833</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4,644,461</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OpenLink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10/30/2017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987,500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972,963</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992,438</w:t>
            </w:r>
          </w:p>
        </w:tc>
        <w:tc>
          <w:tcPr>
            <w:tcW w:w="40" w:type="dxa"/>
            <w:vAlign w:val="bottom"/>
          </w:tcPr>
          <w:p>
            <w:pPr>
              <w:spacing w:after="0"/>
              <w:rPr>
                <w:sz w:val="10"/>
                <w:szCs w:val="10"/>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7"/>
              </w:rPr>
              <w:t>P.F. Chang’s China Bistro, Inc. (Wok</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Food/Drug Retailers</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Term Borrowing</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 Corp.)</w:t>
            </w: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6/22/2019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995,000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986,297</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1,011,169</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PATS Aircraft,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8.50%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10/6/2016</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285,865</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197,840</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221,545</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Penn National Gaming,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A Facility</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1.96%</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7/14/2016</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2,739,275</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2,687,447</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2,740,426</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Penn National Gaming,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B Facility</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7/16/2018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923,541</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921,852</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930,468</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PetCo Animal Supplies,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New Loans</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11/24/2017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1,496,173</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1,494,427</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1,513,574</w:t>
            </w:r>
          </w:p>
        </w:tc>
        <w:tc>
          <w:tcPr>
            <w:tcW w:w="40" w:type="dxa"/>
            <w:vAlign w:val="bottom"/>
          </w:tcPr>
          <w:p>
            <w:pPr>
              <w:spacing w:after="0"/>
              <w:rPr>
                <w:sz w:val="10"/>
                <w:szCs w:val="10"/>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2"/>
              </w:rPr>
              <w:t>Pharmaceutical Product Development,</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600" w:type="dxa"/>
            <w:vAlign w:val="bottom"/>
          </w:tcPr>
          <w:p>
            <w:pPr>
              <w:ind w:left="140"/>
              <w:spacing w:after="0" w:line="112" w:lineRule="exact"/>
              <w:rPr>
                <w:sz w:val="20"/>
                <w:szCs w:val="20"/>
                <w:color w:val="auto"/>
              </w:rPr>
            </w:pPr>
            <w:r>
              <w:rPr>
                <w:rFonts w:ascii="Arial" w:cs="Arial" w:eastAsia="Arial" w:hAnsi="Arial"/>
                <w:sz w:val="11"/>
                <w:szCs w:val="11"/>
                <w:color w:val="auto"/>
              </w:rPr>
              <w:t>2013 Term Loan</w:t>
            </w:r>
          </w:p>
        </w:tc>
        <w:tc>
          <w:tcPr>
            <w:tcW w:w="96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Inc. (Jaguar Holdings, LLC)</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4.25%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12/5/2018</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1,975,050</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1,947,104</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1,994,801</w:t>
            </w:r>
          </w:p>
        </w:tc>
        <w:tc>
          <w:tcPr>
            <w:tcW w:w="40" w:type="dxa"/>
            <w:vAlign w:val="bottom"/>
          </w:tcPr>
          <w:p>
            <w:pPr>
              <w:spacing w:after="0"/>
              <w:rPr>
                <w:sz w:val="11"/>
                <w:szCs w:val="11"/>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Physician Oncology Services, LP</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Delayed Draw Term Loan</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Retired 06/06/2013</w:t>
            </w: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8.00%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1/31/2017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51,020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50,704</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51,020</w:t>
            </w:r>
          </w:p>
        </w:tc>
        <w:tc>
          <w:tcPr>
            <w:tcW w:w="40" w:type="dxa"/>
            <w:vAlign w:val="bottom"/>
          </w:tcPr>
          <w:p>
            <w:pPr>
              <w:spacing w:after="0"/>
              <w:rPr>
                <w:sz w:val="11"/>
                <w:szCs w:val="11"/>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Physician Oncology Services, LP</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Healthcare</w:t>
            </w:r>
          </w:p>
        </w:tc>
        <w:tc>
          <w:tcPr>
            <w:tcW w:w="1600" w:type="dxa"/>
            <w:vAlign w:val="bottom"/>
          </w:tcPr>
          <w:p>
            <w:pPr>
              <w:ind w:left="140"/>
              <w:spacing w:after="0" w:line="112" w:lineRule="exact"/>
              <w:rPr>
                <w:sz w:val="20"/>
                <w:szCs w:val="20"/>
                <w:color w:val="auto"/>
              </w:rPr>
            </w:pPr>
            <w:r>
              <w:rPr>
                <w:rFonts w:ascii="Arial" w:cs="Arial" w:eastAsia="Arial" w:hAnsi="Arial"/>
                <w:sz w:val="11"/>
                <w:szCs w:val="11"/>
                <w:color w:val="auto"/>
              </w:rPr>
              <w:t>Effective Date Term Loan</w:t>
            </w:r>
          </w:p>
        </w:tc>
        <w:tc>
          <w:tcPr>
            <w:tcW w:w="96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600" w:type="dxa"/>
            <w:vAlign w:val="bottom"/>
          </w:tcPr>
          <w:p>
            <w:pPr>
              <w:ind w:left="140"/>
              <w:spacing w:after="0"/>
              <w:rPr>
                <w:sz w:val="20"/>
                <w:szCs w:val="20"/>
                <w:color w:val="auto"/>
              </w:rPr>
            </w:pPr>
            <w:r>
              <w:rPr>
                <w:rFonts w:ascii="Arial" w:cs="Arial" w:eastAsia="Arial" w:hAnsi="Arial"/>
                <w:sz w:val="11"/>
                <w:szCs w:val="11"/>
                <w:color w:val="auto"/>
              </w:rPr>
              <w:t>Retired 06/06/2013</w:t>
            </w:r>
          </w:p>
        </w:tc>
        <w:tc>
          <w:tcPr>
            <w:tcW w:w="96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8.00%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1/31/2017</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419,961</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417,356</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419,961</w:t>
            </w:r>
          </w:p>
        </w:tc>
        <w:tc>
          <w:tcPr>
            <w:tcW w:w="40" w:type="dxa"/>
            <w:vAlign w:val="bottom"/>
          </w:tcPr>
          <w:p>
            <w:pPr>
              <w:spacing w:after="0"/>
              <w:rPr>
                <w:sz w:val="11"/>
                <w:szCs w:val="11"/>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Pinnacle Foods Finance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New Term Loan G</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3.25%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4/29/2020</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5,000,000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4,987,589</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5,012,500</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Preferred Proppants,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9.00%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12/15/2016</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1,975,000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1,946,291</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1,900,938</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Prestige Brands,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Drugs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B-1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1/31/2019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674,242</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664,595</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683,304</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Pro Mach,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7/6/2017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1,956,155</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1,942,681</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1,970,826</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Quintiles Transnational Corp.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B-2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6/8/2018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3,681,541</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3,655,129</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3,726,014</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Rexnord LLC/RBS Global,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w w:val="94"/>
              </w:rPr>
              <w:t>2013 Term B Loan Refinancing</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4/1/2018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1,671,824</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1,671,824</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1,691,886</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Reynolds Group Holdings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U.S. 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9/28/2018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1,990,000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1,990,000</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2,016,208</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Rocket Software,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2/8/2018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1,975,006</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1,943,911</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1,984,881</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Roundy’s Supermarkets,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Food/Drug Retailers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2/13/2019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989,229</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977,089</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976,042</w:t>
            </w:r>
          </w:p>
        </w:tc>
        <w:tc>
          <w:tcPr>
            <w:tcW w:w="40" w:type="dxa"/>
            <w:vAlign w:val="bottom"/>
          </w:tcPr>
          <w:p>
            <w:pPr>
              <w:spacing w:after="0"/>
              <w:rPr>
                <w:sz w:val="10"/>
                <w:szCs w:val="10"/>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600" w:type="dxa"/>
            <w:vAlign w:val="bottom"/>
          </w:tcPr>
          <w:p>
            <w:pPr>
              <w:ind w:left="140"/>
              <w:spacing w:after="0" w:line="112" w:lineRule="exact"/>
              <w:rPr>
                <w:sz w:val="20"/>
                <w:szCs w:val="20"/>
                <w:color w:val="auto"/>
              </w:rPr>
            </w:pPr>
            <w:r>
              <w:rPr>
                <w:rFonts w:ascii="Arial" w:cs="Arial" w:eastAsia="Arial" w:hAnsi="Arial"/>
                <w:sz w:val="11"/>
                <w:szCs w:val="11"/>
                <w:color w:val="auto"/>
              </w:rPr>
              <w:t>Tranche A-2 Loan</w:t>
            </w:r>
          </w:p>
        </w:tc>
        <w:tc>
          <w:tcPr>
            <w:tcW w:w="96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Guides, Inc.</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2.45%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3/29/2017</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1,860,226</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1,844,758</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1,857,901</w:t>
            </w:r>
          </w:p>
        </w:tc>
        <w:tc>
          <w:tcPr>
            <w:tcW w:w="40" w:type="dxa"/>
            <w:vAlign w:val="bottom"/>
          </w:tcPr>
          <w:p>
            <w:pPr>
              <w:spacing w:after="0"/>
              <w:rPr>
                <w:sz w:val="11"/>
                <w:szCs w:val="11"/>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Tranche B-3 Term Loan</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Guides, Inc.</w:t>
            </w: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3/29/2019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1,384,706</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1,378,929</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1,384,706</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w w:val="99"/>
              </w:rPr>
              <w:t>Royal Adhesives and Sealants,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A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11/29/2015</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4,424,155</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4,389,530</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4,359,427</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RPI Finance Trust</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Drugs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6.75 Year Term Loan(2012)</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5/9/2018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5,348,742</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5,325,140</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5,398,913</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Scientific Games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Tranche B-1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3.45%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6/30/2015</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1,972,262</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1,961,467</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1,977,193</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Scitor Corporation</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2/15/2017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463,977</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462,542</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462,094</w:t>
            </w:r>
          </w:p>
        </w:tc>
        <w:tc>
          <w:tcPr>
            <w:tcW w:w="40" w:type="dxa"/>
            <w:vAlign w:val="bottom"/>
          </w:tcPr>
          <w:p>
            <w:pPr>
              <w:spacing w:after="0"/>
              <w:rPr>
                <w:sz w:val="10"/>
                <w:szCs w:val="10"/>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Sensata Technology BV/Sensata</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600" w:type="dxa"/>
            <w:vAlign w:val="bottom"/>
          </w:tcPr>
          <w:p>
            <w:pPr>
              <w:ind w:left="140"/>
              <w:spacing w:after="0" w:line="112" w:lineRule="exact"/>
              <w:rPr>
                <w:sz w:val="20"/>
                <w:szCs w:val="20"/>
                <w:color w:val="auto"/>
              </w:rPr>
            </w:pPr>
            <w:r>
              <w:rPr>
                <w:rFonts w:ascii="Arial" w:cs="Arial" w:eastAsia="Arial" w:hAnsi="Arial"/>
                <w:sz w:val="11"/>
                <w:szCs w:val="11"/>
                <w:color w:val="auto"/>
              </w:rPr>
              <w:t>Term Loan</w:t>
            </w:r>
          </w:p>
        </w:tc>
        <w:tc>
          <w:tcPr>
            <w:tcW w:w="96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1760" w:type="dxa"/>
            <w:vAlign w:val="bottom"/>
          </w:tcPr>
          <w:p>
            <w:pPr>
              <w:ind w:left="180"/>
              <w:spacing w:after="0" w:line="122" w:lineRule="exact"/>
              <w:rPr>
                <w:sz w:val="20"/>
                <w:szCs w:val="20"/>
                <w:color w:val="auto"/>
              </w:rPr>
            </w:pPr>
            <w:r>
              <w:rPr>
                <w:rFonts w:ascii="Arial" w:cs="Arial" w:eastAsia="Arial" w:hAnsi="Arial"/>
                <w:sz w:val="11"/>
                <w:szCs w:val="11"/>
                <w:color w:val="auto"/>
              </w:rPr>
              <w:t>Technology Finance Company,</w:t>
            </w:r>
          </w:p>
        </w:tc>
        <w:tc>
          <w:tcPr>
            <w:tcW w:w="1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LLC</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5/12/2018</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1,043,627</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1,043,627</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1,057,497</w:t>
            </w:r>
          </w:p>
        </w:tc>
        <w:tc>
          <w:tcPr>
            <w:tcW w:w="40" w:type="dxa"/>
            <w:vAlign w:val="bottom"/>
          </w:tcPr>
          <w:p>
            <w:pPr>
              <w:spacing w:after="0"/>
              <w:rPr>
                <w:sz w:val="11"/>
                <w:szCs w:val="11"/>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Sensus USA Inc. (fka Sensus</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Utilities</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Term Loan (First Lien)</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Metering Systems)</w:t>
            </w: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5/9/2017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1,960,000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1,953,542</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1,961,235</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ServiceMaster Company, The</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4.45%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1/31/2017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2,844,222</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2,853,583</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2,849,996</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SI Organization, Inc., The</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New Tranche B 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11/22/2016</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3,910,000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3,887,326</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3,885,563</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Sonneborn,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Initial US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6.50%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3/30/2018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813,220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800,006</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823,385</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Sophia, L.P.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7/19/2018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966,821</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953,150</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976,248</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SRA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6.50%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7/20/2018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3,268,571</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3,170,211</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3,268,571</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SRAM,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4.01%</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4/10/2020</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3,397,531</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3,367,919</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3,401,777</w:t>
            </w:r>
          </w:p>
        </w:tc>
        <w:tc>
          <w:tcPr>
            <w:tcW w:w="40" w:type="dxa"/>
            <w:vAlign w:val="bottom"/>
          </w:tcPr>
          <w:p>
            <w:pPr>
              <w:spacing w:after="0"/>
              <w:rPr>
                <w:sz w:val="10"/>
                <w:szCs w:val="10"/>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8"/>
              </w:rPr>
              <w:t>SS&amp;C Technologies, Inc., /Sunshine</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600" w:type="dxa"/>
            <w:vAlign w:val="bottom"/>
          </w:tcPr>
          <w:p>
            <w:pPr>
              <w:ind w:left="140"/>
              <w:spacing w:after="0" w:line="112" w:lineRule="exact"/>
              <w:rPr>
                <w:sz w:val="20"/>
                <w:szCs w:val="20"/>
                <w:color w:val="auto"/>
              </w:rPr>
            </w:pPr>
            <w:r>
              <w:rPr>
                <w:rFonts w:ascii="Arial" w:cs="Arial" w:eastAsia="Arial" w:hAnsi="Arial"/>
                <w:sz w:val="11"/>
                <w:szCs w:val="11"/>
                <w:color w:val="auto"/>
              </w:rPr>
              <w:t>Funded Term B-1 Loan</w:t>
            </w:r>
          </w:p>
        </w:tc>
        <w:tc>
          <w:tcPr>
            <w:tcW w:w="96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Acquisition II, Inc.</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5.00%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6/7/2019</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775,270</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768,596</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779,146</w:t>
            </w:r>
          </w:p>
        </w:tc>
        <w:tc>
          <w:tcPr>
            <w:tcW w:w="40" w:type="dxa"/>
            <w:vAlign w:val="bottom"/>
          </w:tcPr>
          <w:p>
            <w:pPr>
              <w:spacing w:after="0"/>
              <w:rPr>
                <w:sz w:val="11"/>
                <w:szCs w:val="11"/>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SS&amp;C Technologies, Inc., /Sunshine</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Funded Term B-2 Loan</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 II, Inc.</w:t>
            </w: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6/7/2019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80,200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79,510</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80,601</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SunCoke Energy,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7/26/2018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1,367,311</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1,357,823</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1,377,565</w:t>
            </w:r>
          </w:p>
        </w:tc>
        <w:tc>
          <w:tcPr>
            <w:tcW w:w="40" w:type="dxa"/>
            <w:vAlign w:val="bottom"/>
          </w:tcPr>
          <w:p>
            <w:pPr>
              <w:spacing w:after="0"/>
              <w:rPr>
                <w:sz w:val="10"/>
                <w:szCs w:val="10"/>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SunGard Data Systems Inc (Solar</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Tranche C Term Loan</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Capital Corp.)</w:t>
            </w: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3.95%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2/28/2017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304,311</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301,632</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306,085</w:t>
            </w:r>
          </w:p>
        </w:tc>
        <w:tc>
          <w:tcPr>
            <w:tcW w:w="40" w:type="dxa"/>
            <w:vAlign w:val="bottom"/>
          </w:tcPr>
          <w:p>
            <w:pPr>
              <w:spacing w:after="0"/>
              <w:rPr>
                <w:sz w:val="11"/>
                <w:szCs w:val="11"/>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SunGard Data Systems Inc (Solar</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600" w:type="dxa"/>
            <w:vAlign w:val="bottom"/>
          </w:tcPr>
          <w:p>
            <w:pPr>
              <w:ind w:left="140"/>
              <w:spacing w:after="0" w:line="112" w:lineRule="exact"/>
              <w:rPr>
                <w:sz w:val="20"/>
                <w:szCs w:val="20"/>
                <w:color w:val="auto"/>
              </w:rPr>
            </w:pPr>
            <w:r>
              <w:rPr>
                <w:rFonts w:ascii="Arial" w:cs="Arial" w:eastAsia="Arial" w:hAnsi="Arial"/>
                <w:sz w:val="11"/>
                <w:szCs w:val="11"/>
                <w:color w:val="auto"/>
              </w:rPr>
              <w:t>Tranche E Term Loan</w:t>
            </w:r>
          </w:p>
        </w:tc>
        <w:tc>
          <w:tcPr>
            <w:tcW w:w="96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Capital Corp.)</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4.00%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3/8/2020</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4,253,748</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4,112,271</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4,314,024</w:t>
            </w:r>
          </w:p>
        </w:tc>
        <w:tc>
          <w:tcPr>
            <w:tcW w:w="40" w:type="dxa"/>
            <w:vAlign w:val="bottom"/>
          </w:tcPr>
          <w:p>
            <w:pPr>
              <w:spacing w:after="0"/>
              <w:rPr>
                <w:sz w:val="11"/>
                <w:szCs w:val="11"/>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Publishing</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11.60%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12/30/2016</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282,576</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274,381</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238,305</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Syniverse Holdings,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4/23/2019</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496,250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492,055</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499,763</w:t>
            </w:r>
          </w:p>
        </w:tc>
        <w:tc>
          <w:tcPr>
            <w:tcW w:w="40" w:type="dxa"/>
            <w:vAlign w:val="bottom"/>
          </w:tcPr>
          <w:p>
            <w:pPr>
              <w:spacing w:after="0"/>
              <w:rPr>
                <w:sz w:val="10"/>
                <w:szCs w:val="10"/>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Taminco Global Chemical</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Chemicals/Plastics</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w w:val="96"/>
              </w:rPr>
              <w:t>Tranche B-2 Dollar Term Loan</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Corporation</w:t>
            </w: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2/15/2019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1,485,028</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1,475,705</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1,500,814</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Team Health,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6/29/2018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4,421,250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4,405,127</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4,443,356</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TECTUM HOLDINGS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7.50%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12/3/2015</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3,950,000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3,933,032</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3,930,250</w:t>
            </w:r>
          </w:p>
        </w:tc>
        <w:tc>
          <w:tcPr>
            <w:tcW w:w="40" w:type="dxa"/>
            <w:vAlign w:val="bottom"/>
          </w:tcPr>
          <w:p>
            <w:pPr>
              <w:spacing w:after="0"/>
              <w:rPr>
                <w:sz w:val="10"/>
                <w:szCs w:val="10"/>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8"/>
              </w:rPr>
              <w:t>Texas Competitive Electric Holdings</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Utilities</w:t>
            </w:r>
          </w:p>
        </w:tc>
        <w:tc>
          <w:tcPr>
            <w:tcW w:w="1600" w:type="dxa"/>
            <w:vAlign w:val="bottom"/>
          </w:tcPr>
          <w:p>
            <w:pPr>
              <w:ind w:left="140"/>
              <w:spacing w:after="0" w:line="112" w:lineRule="exact"/>
              <w:rPr>
                <w:sz w:val="20"/>
                <w:szCs w:val="20"/>
                <w:color w:val="auto"/>
              </w:rPr>
            </w:pPr>
            <w:r>
              <w:rPr>
                <w:rFonts w:ascii="Arial" w:cs="Arial" w:eastAsia="Arial" w:hAnsi="Arial"/>
                <w:sz w:val="11"/>
                <w:szCs w:val="11"/>
                <w:color w:val="auto"/>
              </w:rPr>
              <w:t>2014 Term Loan (Non-</w:t>
            </w:r>
          </w:p>
        </w:tc>
        <w:tc>
          <w:tcPr>
            <w:tcW w:w="96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Company, LLC (TXU)</w:t>
            </w:r>
          </w:p>
        </w:tc>
        <w:tc>
          <w:tcPr>
            <w:tcW w:w="1720" w:type="dxa"/>
            <w:vAlign w:val="bottom"/>
          </w:tcPr>
          <w:p>
            <w:pPr>
              <w:spacing w:after="0"/>
              <w:rPr>
                <w:sz w:val="11"/>
                <w:szCs w:val="11"/>
                <w:color w:val="auto"/>
              </w:rPr>
            </w:pPr>
          </w:p>
        </w:tc>
        <w:tc>
          <w:tcPr>
            <w:tcW w:w="1600" w:type="dxa"/>
            <w:vAlign w:val="bottom"/>
          </w:tcPr>
          <w:p>
            <w:pPr>
              <w:ind w:left="140"/>
              <w:spacing w:after="0"/>
              <w:rPr>
                <w:sz w:val="20"/>
                <w:szCs w:val="20"/>
                <w:color w:val="auto"/>
              </w:rPr>
            </w:pPr>
            <w:r>
              <w:rPr>
                <w:rFonts w:ascii="Arial" w:cs="Arial" w:eastAsia="Arial" w:hAnsi="Arial"/>
                <w:sz w:val="11"/>
                <w:szCs w:val="11"/>
                <w:color w:val="auto"/>
              </w:rPr>
              <w:t>Extending)</w:t>
            </w:r>
          </w:p>
        </w:tc>
        <w:tc>
          <w:tcPr>
            <w:tcW w:w="96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3.72%</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10/10/2014</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5,580,862</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5,535,879</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4,342,636</w:t>
            </w:r>
          </w:p>
        </w:tc>
        <w:tc>
          <w:tcPr>
            <w:tcW w:w="40" w:type="dxa"/>
            <w:vAlign w:val="bottom"/>
          </w:tcPr>
          <w:p>
            <w:pPr>
              <w:spacing w:after="0"/>
              <w:rPr>
                <w:sz w:val="11"/>
                <w:szCs w:val="11"/>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Tomkins, LLC / Tomkins, Inc. (f/k/a</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Term B-2 Loan</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Pinafore, LLC / Pinafore, Inc.)</w:t>
            </w: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9/29/2016</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2,410,176</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2,415,604</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2,440,303</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TransDigm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tcPr>
          <w:p>
            <w:pPr>
              <w:ind w:left="140"/>
              <w:spacing w:after="0" w:line="122" w:lineRule="exact"/>
              <w:rPr>
                <w:sz w:val="20"/>
                <w:szCs w:val="20"/>
                <w:color w:val="auto"/>
              </w:rPr>
            </w:pPr>
            <w:r>
              <w:rPr>
                <w:rFonts w:ascii="Arial" w:cs="Arial" w:eastAsia="Arial" w:hAnsi="Arial"/>
                <w:sz w:val="11"/>
                <w:szCs w:val="11"/>
                <w:color w:val="auto"/>
              </w:rPr>
              <w:t>Tranche C Term Loan</w:t>
            </w:r>
          </w:p>
        </w:tc>
        <w:tc>
          <w:tcPr>
            <w:tcW w:w="96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2/28/2020</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4,933,609</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4,943,047</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4,992,812</w:t>
            </w:r>
          </w:p>
        </w:tc>
        <w:tc>
          <w:tcPr>
            <w:tcW w:w="40" w:type="dxa"/>
            <w:vAlign w:val="bottom"/>
          </w:tcPr>
          <w:p>
            <w:pPr>
              <w:spacing w:after="0"/>
              <w:rPr>
                <w:sz w:val="10"/>
                <w:szCs w:val="10"/>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Tricorbraun Inc. (fka Kranson</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Containers/Glass Products</w:t>
            </w:r>
          </w:p>
        </w:tc>
        <w:tc>
          <w:tcPr>
            <w:tcW w:w="16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Term Loan</w:t>
            </w:r>
          </w:p>
        </w:tc>
        <w:tc>
          <w:tcPr>
            <w:tcW w:w="9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Industries, Inc.)</w:t>
            </w:r>
          </w:p>
        </w:tc>
        <w:tc>
          <w:tcPr>
            <w:tcW w:w="172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5/3/2018</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1,985,000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1,976,815</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1,994,091</w:t>
            </w:r>
          </w:p>
        </w:tc>
        <w:tc>
          <w:tcPr>
            <w:tcW w:w="40" w:type="dxa"/>
            <w:vAlign w:val="bottom"/>
          </w:tcPr>
          <w:p>
            <w:pPr>
              <w:spacing w:after="0"/>
              <w:rPr>
                <w:sz w:val="11"/>
                <w:szCs w:val="11"/>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Truven Health Analytics Inc. (fka</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Healthcare</w:t>
            </w:r>
          </w:p>
        </w:tc>
        <w:tc>
          <w:tcPr>
            <w:tcW w:w="1600" w:type="dxa"/>
            <w:vAlign w:val="bottom"/>
          </w:tcPr>
          <w:p>
            <w:pPr>
              <w:ind w:left="140"/>
              <w:spacing w:after="0" w:line="112" w:lineRule="exact"/>
              <w:rPr>
                <w:sz w:val="20"/>
                <w:szCs w:val="20"/>
                <w:color w:val="auto"/>
              </w:rPr>
            </w:pPr>
            <w:r>
              <w:rPr>
                <w:rFonts w:ascii="Arial" w:cs="Arial" w:eastAsia="Arial" w:hAnsi="Arial"/>
                <w:sz w:val="11"/>
                <w:szCs w:val="11"/>
                <w:color w:val="auto"/>
              </w:rPr>
              <w:t>New Tranche B Term Loan</w:t>
            </w:r>
          </w:p>
        </w:tc>
        <w:tc>
          <w:tcPr>
            <w:tcW w:w="960" w:type="dxa"/>
            <w:vAlign w:val="bottom"/>
          </w:tcPr>
          <w:p>
            <w:pPr>
              <w:ind w:left="8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2"/>
        </w:trPr>
        <w:tc>
          <w:tcPr>
            <w:tcW w:w="1760" w:type="dxa"/>
            <w:vAlign w:val="bottom"/>
          </w:tcPr>
          <w:p>
            <w:pPr>
              <w:ind w:left="180"/>
              <w:spacing w:after="0" w:line="122" w:lineRule="exact"/>
              <w:rPr>
                <w:sz w:val="20"/>
                <w:szCs w:val="20"/>
                <w:color w:val="auto"/>
              </w:rPr>
            </w:pPr>
            <w:r>
              <w:rPr>
                <w:rFonts w:ascii="Arial" w:cs="Arial" w:eastAsia="Arial" w:hAnsi="Arial"/>
                <w:sz w:val="11"/>
                <w:szCs w:val="11"/>
                <w:color w:val="auto"/>
              </w:rPr>
              <w:t>Thomson Reuters (Healthcare)</w:t>
            </w:r>
          </w:p>
        </w:tc>
        <w:tc>
          <w:tcPr>
            <w:tcW w:w="17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Inc.)</w:t>
            </w:r>
          </w:p>
        </w:tc>
        <w:tc>
          <w:tcPr>
            <w:tcW w:w="17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4.50%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6/6/2019</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496,250</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487,307</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497,491</w:t>
            </w:r>
          </w:p>
        </w:tc>
        <w:tc>
          <w:tcPr>
            <w:tcW w:w="40" w:type="dxa"/>
            <w:vAlign w:val="bottom"/>
          </w:tcPr>
          <w:p>
            <w:pPr>
              <w:spacing w:after="0"/>
              <w:rPr>
                <w:sz w:val="11"/>
                <w:szCs w:val="11"/>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Tube City IMS Corporation</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Steel</w:t>
            </w:r>
          </w:p>
        </w:tc>
        <w:tc>
          <w:tcPr>
            <w:tcW w:w="16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3/20/2019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990,019</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981,763</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1,001,156</w:t>
            </w:r>
          </w:p>
        </w:tc>
        <w:tc>
          <w:tcPr>
            <w:tcW w:w="40" w:type="dxa"/>
            <w:vAlign w:val="bottom"/>
          </w:tcPr>
          <w:p>
            <w:pPr>
              <w:spacing w:after="0"/>
              <w:rPr>
                <w:sz w:val="10"/>
                <w:szCs w:val="10"/>
                <w:color w:val="auto"/>
              </w:rPr>
            </w:pPr>
          </w:p>
        </w:tc>
      </w:tr>
      <w:tr>
        <w:trPr>
          <w:trHeight w:val="348"/>
        </w:trPr>
        <w:tc>
          <w:tcPr>
            <w:tcW w:w="176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60" w:type="dxa"/>
            <w:vAlign w:val="bottom"/>
            <w:shd w:val="clear" w:color="auto" w:fill="CCEEFF"/>
          </w:tcPr>
          <w:p>
            <w:pPr>
              <w:spacing w:after="0"/>
              <w:rPr>
                <w:sz w:val="20"/>
                <w:szCs w:val="20"/>
                <w:color w:val="auto"/>
              </w:rPr>
            </w:pPr>
            <w:r>
              <w:rPr>
                <w:rFonts w:ascii="Arial" w:cs="Arial" w:eastAsia="Arial" w:hAnsi="Arial"/>
                <w:sz w:val="11"/>
                <w:szCs w:val="11"/>
                <w:color w:val="auto"/>
              </w:rPr>
              <w:t>U.S. Security Associates Holdings,</w:t>
            </w:r>
          </w:p>
        </w:tc>
        <w:tc>
          <w:tcPr>
            <w:tcW w:w="1720" w:type="dxa"/>
            <w:vAlign w:val="bottom"/>
            <w:shd w:val="clear" w:color="auto" w:fill="CCEEFF"/>
          </w:tcPr>
          <w:p>
            <w:pPr>
              <w:ind w:left="80"/>
              <w:spacing w:after="0"/>
              <w:rPr>
                <w:sz w:val="20"/>
                <w:szCs w:val="20"/>
                <w:color w:val="auto"/>
              </w:rPr>
            </w:pPr>
            <w:r>
              <w:rPr>
                <w:rFonts w:ascii="Arial" w:cs="Arial" w:eastAsia="Arial" w:hAnsi="Arial"/>
                <w:sz w:val="11"/>
                <w:szCs w:val="11"/>
                <w:color w:val="auto"/>
                <w:w w:val="97"/>
              </w:rPr>
              <w:t>Business Equipment and Services</w:t>
            </w:r>
          </w:p>
        </w:tc>
        <w:tc>
          <w:tcPr>
            <w:tcW w:w="15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Delayed Draw Loan</w:t>
            </w:r>
          </w:p>
        </w:tc>
        <w:tc>
          <w:tcPr>
            <w:tcW w:w="10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7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6.00%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7/28/2017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161,370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160,249</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162,279</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U.S. Security Associates Holdings,</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540" w:type="dxa"/>
            <w:vAlign w:val="bottom"/>
          </w:tcPr>
          <w:p>
            <w:pPr>
              <w:ind w:left="140"/>
              <w:spacing w:after="0" w:line="112" w:lineRule="exact"/>
              <w:rPr>
                <w:sz w:val="20"/>
                <w:szCs w:val="20"/>
                <w:color w:val="auto"/>
              </w:rPr>
            </w:pPr>
            <w:r>
              <w:rPr>
                <w:rFonts w:ascii="Arial" w:cs="Arial" w:eastAsia="Arial" w:hAnsi="Arial"/>
                <w:sz w:val="11"/>
                <w:szCs w:val="11"/>
                <w:color w:val="auto"/>
              </w:rPr>
              <w:t>Term B Loan</w:t>
            </w:r>
          </w:p>
        </w:tc>
        <w:tc>
          <w:tcPr>
            <w:tcW w:w="1040" w:type="dxa"/>
            <w:vAlign w:val="bottom"/>
          </w:tcPr>
          <w:p>
            <w:pPr>
              <w:ind w:left="140"/>
              <w:spacing w:after="0" w:line="112" w:lineRule="exact"/>
              <w:rPr>
                <w:sz w:val="20"/>
                <w:szCs w:val="20"/>
                <w:color w:val="auto"/>
              </w:rPr>
            </w:pPr>
            <w:r>
              <w:rPr>
                <w:rFonts w:ascii="Arial" w:cs="Arial" w:eastAsia="Arial" w:hAnsi="Arial"/>
                <w:sz w:val="11"/>
                <w:szCs w:val="11"/>
                <w:color w:val="auto"/>
              </w:rPr>
              <w:t>Loan</w:t>
            </w: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Inc.</w:t>
            </w:r>
          </w:p>
        </w:tc>
        <w:tc>
          <w:tcPr>
            <w:tcW w:w="17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6.00%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7/28/2017</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824,448</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122,960</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829,090</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U.S. Security Associates Holdings,</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5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Term B Loan</w:t>
            </w:r>
          </w:p>
        </w:tc>
        <w:tc>
          <w:tcPr>
            <w:tcW w:w="104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72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6.00%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7/28/2017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123,434</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818,723</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124,129</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U.S. Silica Company</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540" w:type="dxa"/>
            <w:vAlign w:val="bottom"/>
          </w:tcPr>
          <w:p>
            <w:pPr>
              <w:ind w:left="14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6/8/2017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1,965,000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1,958,405</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1,973,607</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U.S. Xpress Enterprises,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5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Extended Term Loan</w:t>
            </w:r>
          </w:p>
        </w:tc>
        <w:tc>
          <w:tcPr>
            <w:tcW w:w="10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9.00%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11/13/2016</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2,913,628</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2,862,098</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2,906,344</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3"/>
              </w:rPr>
              <w:t>United Surgical Partners International,</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Healthcare</w:t>
            </w:r>
          </w:p>
        </w:tc>
        <w:tc>
          <w:tcPr>
            <w:tcW w:w="1540" w:type="dxa"/>
            <w:vAlign w:val="bottom"/>
          </w:tcPr>
          <w:p>
            <w:pPr>
              <w:ind w:left="140"/>
              <w:spacing w:after="0" w:line="112" w:lineRule="exact"/>
              <w:rPr>
                <w:sz w:val="20"/>
                <w:szCs w:val="20"/>
                <w:color w:val="auto"/>
              </w:rPr>
            </w:pPr>
            <w:r>
              <w:rPr>
                <w:rFonts w:ascii="Arial" w:cs="Arial" w:eastAsia="Arial" w:hAnsi="Arial"/>
                <w:sz w:val="11"/>
                <w:szCs w:val="11"/>
                <w:color w:val="auto"/>
              </w:rPr>
              <w:t>New Tranche B Term Loan</w:t>
            </w:r>
          </w:p>
        </w:tc>
        <w:tc>
          <w:tcPr>
            <w:tcW w:w="1040" w:type="dxa"/>
            <w:vAlign w:val="bottom"/>
          </w:tcPr>
          <w:p>
            <w:pPr>
              <w:ind w:left="140"/>
              <w:spacing w:after="0" w:line="112" w:lineRule="exact"/>
              <w:rPr>
                <w:sz w:val="20"/>
                <w:szCs w:val="20"/>
                <w:color w:val="auto"/>
              </w:rPr>
            </w:pPr>
            <w:r>
              <w:rPr>
                <w:rFonts w:ascii="Arial" w:cs="Arial" w:eastAsia="Arial" w:hAnsi="Arial"/>
                <w:sz w:val="11"/>
                <w:szCs w:val="11"/>
                <w:color w:val="auto"/>
              </w:rPr>
              <w:t>Loan</w:t>
            </w: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Inc.</w:t>
            </w:r>
          </w:p>
        </w:tc>
        <w:tc>
          <w:tcPr>
            <w:tcW w:w="17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4.75%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4/3/2019</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2,475,063</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2,444,010</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2,504,763</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Univar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5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 Loan</w:t>
            </w:r>
          </w:p>
        </w:tc>
        <w:tc>
          <w:tcPr>
            <w:tcW w:w="10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6/30/2017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3,914,929</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3,914,065</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3,903,654</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Univision Communications Inc.</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Telecommunications</w:t>
            </w:r>
          </w:p>
        </w:tc>
        <w:tc>
          <w:tcPr>
            <w:tcW w:w="1540" w:type="dxa"/>
            <w:vAlign w:val="bottom"/>
          </w:tcPr>
          <w:p>
            <w:pPr>
              <w:ind w:left="140"/>
              <w:spacing w:after="0" w:line="112" w:lineRule="exact"/>
              <w:rPr>
                <w:sz w:val="20"/>
                <w:szCs w:val="20"/>
                <w:color w:val="auto"/>
              </w:rPr>
            </w:pPr>
            <w:r>
              <w:rPr>
                <w:rFonts w:ascii="Arial" w:cs="Arial" w:eastAsia="Arial" w:hAnsi="Arial"/>
                <w:sz w:val="11"/>
                <w:szCs w:val="11"/>
                <w:color w:val="auto"/>
              </w:rPr>
              <w:t>2013 Converted Extended</w:t>
            </w:r>
          </w:p>
        </w:tc>
        <w:tc>
          <w:tcPr>
            <w:tcW w:w="1040" w:type="dxa"/>
            <w:vAlign w:val="bottom"/>
          </w:tcPr>
          <w:p>
            <w:pPr>
              <w:ind w:left="140"/>
              <w:spacing w:after="0" w:line="112" w:lineRule="exact"/>
              <w:rPr>
                <w:sz w:val="20"/>
                <w:szCs w:val="20"/>
                <w:color w:val="auto"/>
              </w:rPr>
            </w:pPr>
            <w:r>
              <w:rPr>
                <w:rFonts w:ascii="Arial" w:cs="Arial" w:eastAsia="Arial" w:hAnsi="Arial"/>
                <w:sz w:val="11"/>
                <w:szCs w:val="11"/>
                <w:color w:val="auto"/>
              </w:rPr>
              <w:t>Loan</w:t>
            </w: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1"/>
        </w:trPr>
        <w:tc>
          <w:tcPr>
            <w:tcW w:w="1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40" w:type="dxa"/>
            <w:vAlign w:val="bottom"/>
          </w:tcPr>
          <w:p>
            <w:pPr>
              <w:ind w:left="140"/>
              <w:spacing w:after="0"/>
              <w:rPr>
                <w:sz w:val="20"/>
                <w:szCs w:val="20"/>
                <w:color w:val="auto"/>
              </w:rPr>
            </w:pPr>
            <w:r>
              <w:rPr>
                <w:rFonts w:ascii="Arial" w:cs="Arial" w:eastAsia="Arial" w:hAnsi="Arial"/>
                <w:sz w:val="11"/>
                <w:szCs w:val="11"/>
                <w:color w:val="auto"/>
              </w:rPr>
              <w:t>First-Lien Term Loan</w:t>
            </w:r>
          </w:p>
        </w:tc>
        <w:tc>
          <w:tcPr>
            <w:tcW w:w="1040" w:type="dxa"/>
            <w:vAlign w:val="bottom"/>
          </w:tcPr>
          <w:p>
            <w:pPr>
              <w:spacing w:after="0"/>
              <w:rPr>
                <w:sz w:val="11"/>
                <w:szCs w:val="11"/>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4.50%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3/1/2020</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3,000,000</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2,981,932</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3,013,110</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UPC Financing Partnership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Broadcast Radio and Television</w:t>
            </w:r>
          </w:p>
        </w:tc>
        <w:tc>
          <w:tcPr>
            <w:tcW w:w="15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Facility AF</w:t>
            </w:r>
          </w:p>
        </w:tc>
        <w:tc>
          <w:tcPr>
            <w:tcW w:w="10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1/31/2021</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1,000,000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971,878</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1,009,380</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2"/>
              </w:rPr>
              <w:t>Valeant Pharmaceuticals International,</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Drugs</w:t>
            </w:r>
          </w:p>
        </w:tc>
        <w:tc>
          <w:tcPr>
            <w:tcW w:w="1540" w:type="dxa"/>
            <w:vAlign w:val="bottom"/>
          </w:tcPr>
          <w:p>
            <w:pPr>
              <w:ind w:left="140"/>
              <w:spacing w:after="0" w:line="112" w:lineRule="exact"/>
              <w:rPr>
                <w:sz w:val="20"/>
                <w:szCs w:val="20"/>
                <w:color w:val="auto"/>
              </w:rPr>
            </w:pPr>
            <w:r>
              <w:rPr>
                <w:rFonts w:ascii="Arial" w:cs="Arial" w:eastAsia="Arial" w:hAnsi="Arial"/>
                <w:sz w:val="11"/>
                <w:szCs w:val="11"/>
                <w:color w:val="auto"/>
              </w:rPr>
              <w:t>Series D-1 Tranche B Term</w:t>
            </w:r>
          </w:p>
        </w:tc>
        <w:tc>
          <w:tcPr>
            <w:tcW w:w="1040" w:type="dxa"/>
            <w:vAlign w:val="bottom"/>
          </w:tcPr>
          <w:p>
            <w:pPr>
              <w:ind w:left="140"/>
              <w:spacing w:after="0" w:line="112" w:lineRule="exact"/>
              <w:rPr>
                <w:sz w:val="20"/>
                <w:szCs w:val="20"/>
                <w:color w:val="auto"/>
              </w:rPr>
            </w:pPr>
            <w:r>
              <w:rPr>
                <w:rFonts w:ascii="Arial" w:cs="Arial" w:eastAsia="Arial" w:hAnsi="Arial"/>
                <w:sz w:val="11"/>
                <w:szCs w:val="11"/>
                <w:color w:val="auto"/>
              </w:rPr>
              <w:t>Loan</w:t>
            </w: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Inc.</w:t>
            </w:r>
          </w:p>
        </w:tc>
        <w:tc>
          <w:tcPr>
            <w:tcW w:w="1720" w:type="dxa"/>
            <w:vAlign w:val="bottom"/>
          </w:tcPr>
          <w:p>
            <w:pPr>
              <w:spacing w:after="0"/>
              <w:rPr>
                <w:sz w:val="11"/>
                <w:szCs w:val="11"/>
                <w:color w:val="auto"/>
              </w:rPr>
            </w:pPr>
          </w:p>
        </w:tc>
        <w:tc>
          <w:tcPr>
            <w:tcW w:w="1540" w:type="dxa"/>
            <w:vAlign w:val="bottom"/>
          </w:tcPr>
          <w:p>
            <w:pPr>
              <w:ind w:left="140"/>
              <w:spacing w:after="0"/>
              <w:rPr>
                <w:sz w:val="20"/>
                <w:szCs w:val="20"/>
                <w:color w:val="auto"/>
              </w:rPr>
            </w:pPr>
            <w:r>
              <w:rPr>
                <w:rFonts w:ascii="Arial" w:cs="Arial" w:eastAsia="Arial" w:hAnsi="Arial"/>
                <w:sz w:val="11"/>
                <w:szCs w:val="11"/>
                <w:color w:val="auto"/>
              </w:rPr>
              <w:t>Loan</w:t>
            </w:r>
          </w:p>
        </w:tc>
        <w:tc>
          <w:tcPr>
            <w:tcW w:w="1040" w:type="dxa"/>
            <w:vAlign w:val="bottom"/>
          </w:tcPr>
          <w:p>
            <w:pPr>
              <w:spacing w:after="0"/>
              <w:rPr>
                <w:sz w:val="11"/>
                <w:szCs w:val="11"/>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3.50%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2/13/2019</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2,977,538</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2,965,699</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3,001,209</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Verint Systems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10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9/6/2019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1,915,200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1,905,975</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1,936,746</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Vertafore,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40" w:type="dxa"/>
            <w:vAlign w:val="bottom"/>
          </w:tcPr>
          <w:p>
            <w:pPr>
              <w:ind w:left="140"/>
              <w:spacing w:after="0" w:line="122" w:lineRule="exact"/>
              <w:rPr>
                <w:sz w:val="20"/>
                <w:szCs w:val="20"/>
                <w:color w:val="auto"/>
              </w:rPr>
            </w:pPr>
            <w:r>
              <w:rPr>
                <w:rFonts w:ascii="Arial" w:cs="Arial" w:eastAsia="Arial" w:hAnsi="Arial"/>
                <w:sz w:val="11"/>
                <w:szCs w:val="11"/>
                <w:color w:val="auto"/>
              </w:rPr>
              <w:t>Term Loan (2013)</w:t>
            </w:r>
          </w:p>
        </w:tc>
        <w:tc>
          <w:tcPr>
            <w:tcW w:w="1040" w:type="dxa"/>
            <w:vAlign w:val="bottom"/>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10/3/2019</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2,977,171</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2,977,171</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3,005,454</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Visant Corporation (fka Jostens)</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Leisure Goods/Activities/Movies</w:t>
            </w:r>
          </w:p>
        </w:tc>
        <w:tc>
          <w:tcPr>
            <w:tcW w:w="15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w w:val="97"/>
              </w:rPr>
              <w:t>Tranche B Term Loan (2011)</w:t>
            </w:r>
          </w:p>
        </w:tc>
        <w:tc>
          <w:tcPr>
            <w:tcW w:w="10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12/22/2016</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3,658,446</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3,658,446</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3,576,131</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Washington Inventory Service</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40" w:type="dxa"/>
            <w:vAlign w:val="bottom"/>
          </w:tcPr>
          <w:p>
            <w:pPr>
              <w:ind w:left="140"/>
              <w:spacing w:after="0" w:line="122" w:lineRule="exact"/>
              <w:rPr>
                <w:sz w:val="20"/>
                <w:szCs w:val="20"/>
                <w:color w:val="auto"/>
              </w:rPr>
            </w:pPr>
            <w:r>
              <w:rPr>
                <w:rFonts w:ascii="Arial" w:cs="Arial" w:eastAsia="Arial" w:hAnsi="Arial"/>
                <w:sz w:val="11"/>
                <w:szCs w:val="11"/>
                <w:color w:val="auto"/>
              </w:rPr>
              <w:t>U.S. Term Loan (First Lien)</w:t>
            </w:r>
          </w:p>
        </w:tc>
        <w:tc>
          <w:tcPr>
            <w:tcW w:w="1040" w:type="dxa"/>
            <w:vAlign w:val="bottom"/>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12/20/2018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1,995,000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2,023,161</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2,006,232</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Wendy’s International,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Services</w:t>
            </w:r>
          </w:p>
        </w:tc>
        <w:tc>
          <w:tcPr>
            <w:tcW w:w="15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 Loan</w:t>
            </w:r>
          </w:p>
        </w:tc>
        <w:tc>
          <w:tcPr>
            <w:tcW w:w="10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3.25%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5/15/2019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683,889</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677,100</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688,635</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West Corporation</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540" w:type="dxa"/>
            <w:vAlign w:val="bottom"/>
          </w:tcPr>
          <w:p>
            <w:pPr>
              <w:ind w:left="140"/>
              <w:spacing w:after="0" w:line="122" w:lineRule="exact"/>
              <w:rPr>
                <w:sz w:val="20"/>
                <w:szCs w:val="20"/>
                <w:color w:val="auto"/>
              </w:rPr>
            </w:pPr>
            <w:r>
              <w:rPr>
                <w:rFonts w:ascii="Arial" w:cs="Arial" w:eastAsia="Arial" w:hAnsi="Arial"/>
                <w:sz w:val="11"/>
                <w:szCs w:val="11"/>
                <w:color w:val="auto"/>
              </w:rPr>
              <w:t>Term B-8 Loan</w:t>
            </w:r>
          </w:p>
        </w:tc>
        <w:tc>
          <w:tcPr>
            <w:tcW w:w="1040" w:type="dxa"/>
            <w:vAlign w:val="bottom"/>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6/30/2018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2,965,086</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3,014,296</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2,998,444</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Wolverine World Wide,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Clothing/Textiles</w:t>
            </w:r>
          </w:p>
        </w:tc>
        <w:tc>
          <w:tcPr>
            <w:tcW w:w="15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104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10/9/2019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852,679</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844,822</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860,779</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w w:val="99"/>
              </w:rPr>
              <w:t>Yankee Candle Company, Inc., The</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540" w:type="dxa"/>
            <w:vAlign w:val="bottom"/>
          </w:tcPr>
          <w:p>
            <w:pPr>
              <w:ind w:left="140"/>
              <w:spacing w:after="0" w:line="122" w:lineRule="exact"/>
              <w:rPr>
                <w:sz w:val="20"/>
                <w:szCs w:val="20"/>
                <w:color w:val="auto"/>
              </w:rPr>
            </w:pPr>
            <w:r>
              <w:rPr>
                <w:rFonts w:ascii="Arial" w:cs="Arial" w:eastAsia="Arial" w:hAnsi="Arial"/>
                <w:sz w:val="11"/>
                <w:szCs w:val="11"/>
                <w:color w:val="auto"/>
              </w:rPr>
              <w:t>Initial Term Loan</w:t>
            </w:r>
          </w:p>
        </w:tc>
        <w:tc>
          <w:tcPr>
            <w:tcW w:w="1040" w:type="dxa"/>
            <w:vAlign w:val="bottom"/>
          </w:tcPr>
          <w:p>
            <w:pPr>
              <w:ind w:left="14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4/2/2019</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2,256,466</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2,237,645</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2,268,966</w:t>
            </w:r>
          </w:p>
        </w:tc>
      </w:tr>
      <w:tr>
        <w:trPr>
          <w:trHeight w:val="136"/>
        </w:trPr>
        <w:tc>
          <w:tcPr>
            <w:tcW w:w="1760" w:type="dxa"/>
            <w:vAlign w:val="bottom"/>
            <w:shd w:val="clear" w:color="auto" w:fill="CCEEFF"/>
          </w:tcPr>
          <w:p>
            <w:pPr>
              <w:spacing w:after="0"/>
              <w:rPr>
                <w:sz w:val="20"/>
                <w:szCs w:val="20"/>
                <w:color w:val="auto"/>
              </w:rPr>
            </w:pPr>
            <w:r>
              <w:rPr>
                <w:rFonts w:ascii="Arial" w:cs="Arial" w:eastAsia="Arial" w:hAnsi="Arial"/>
                <w:sz w:val="11"/>
                <w:szCs w:val="11"/>
                <w:color w:val="auto"/>
              </w:rPr>
              <w:t>BABSN 2007-1A</w:t>
            </w:r>
          </w:p>
        </w:tc>
        <w:tc>
          <w:tcPr>
            <w:tcW w:w="1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Financial Intermediaries</w:t>
            </w:r>
          </w:p>
        </w:tc>
        <w:tc>
          <w:tcPr>
            <w:tcW w:w="15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Floating - 01/2021 - D1 -</w:t>
            </w:r>
          </w:p>
        </w:tc>
        <w:tc>
          <w:tcPr>
            <w:tcW w:w="10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ABS</w:t>
            </w:r>
          </w:p>
        </w:tc>
        <w:tc>
          <w:tcPr>
            <w:tcW w:w="12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3.55%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1/18/2021</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1,500,000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1,266,590</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1,275,000</w:t>
            </w:r>
          </w:p>
        </w:tc>
      </w:tr>
      <w:tr>
        <w:trPr>
          <w:trHeight w:val="82"/>
        </w:trPr>
        <w:tc>
          <w:tcPr>
            <w:tcW w:w="176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54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9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r>
    </w:tbl>
    <w:p>
      <w:pPr>
        <w:sectPr>
          <w:pgSz w:w="11900" w:h="16900" w:orient="portrait"/>
          <w:cols w:equalWidth="0" w:num="1">
            <w:col w:w="11460"/>
          </w:cols>
          <w:pgMar w:left="240" w:top="130" w:right="199" w:bottom="0" w:gutter="0" w:footer="0" w:header="0"/>
        </w:sectPr>
      </w:pPr>
    </w:p>
    <w:bookmarkStart w:id="18" w:name="page19"/>
    <w:bookmarkEnd w:id="18"/>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00" w:type="dxa"/>
            <w:vAlign w:val="bottom"/>
            <w:shd w:val="clear" w:color="auto" w:fill="CCEEFF"/>
          </w:tcPr>
          <w:p>
            <w:pPr>
              <w:spacing w:after="0"/>
              <w:rPr>
                <w:sz w:val="10"/>
                <w:szCs w:val="10"/>
                <w:color w:val="auto"/>
              </w:rPr>
            </w:pPr>
          </w:p>
        </w:tc>
        <w:tc>
          <w:tcPr>
            <w:tcW w:w="1960" w:type="dxa"/>
            <w:vAlign w:val="bottom"/>
            <w:shd w:val="clear" w:color="auto" w:fill="CCEEFF"/>
          </w:tcPr>
          <w:p>
            <w:pPr>
              <w:spacing w:after="0"/>
              <w:rPr>
                <w:sz w:val="10"/>
                <w:szCs w:val="10"/>
                <w:color w:val="auto"/>
              </w:rPr>
            </w:pPr>
          </w:p>
        </w:tc>
        <w:tc>
          <w:tcPr>
            <w:tcW w:w="1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05617AAA9</w:t>
            </w:r>
          </w:p>
        </w:tc>
        <w:tc>
          <w:tcPr>
            <w:tcW w:w="23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12"/>
        </w:trPr>
        <w:tc>
          <w:tcPr>
            <w:tcW w:w="1300" w:type="dxa"/>
            <w:vAlign w:val="bottom"/>
          </w:tcPr>
          <w:p>
            <w:pPr>
              <w:spacing w:after="0" w:line="112" w:lineRule="exact"/>
              <w:rPr>
                <w:sz w:val="20"/>
                <w:szCs w:val="20"/>
                <w:color w:val="auto"/>
              </w:rPr>
            </w:pPr>
            <w:r>
              <w:rPr>
                <w:rFonts w:ascii="Arial" w:cs="Arial" w:eastAsia="Arial" w:hAnsi="Arial"/>
                <w:sz w:val="11"/>
                <w:szCs w:val="11"/>
                <w:color w:val="auto"/>
              </w:rPr>
              <w:t>GALE 2007-3A</w:t>
            </w:r>
          </w:p>
        </w:tc>
        <w:tc>
          <w:tcPr>
            <w:tcW w:w="1960" w:type="dxa"/>
            <w:vAlign w:val="bottom"/>
          </w:tcPr>
          <w:p>
            <w:pPr>
              <w:ind w:left="540"/>
              <w:spacing w:after="0" w:line="112" w:lineRule="exact"/>
              <w:rPr>
                <w:sz w:val="20"/>
                <w:szCs w:val="20"/>
                <w:color w:val="auto"/>
              </w:rPr>
            </w:pPr>
            <w:r>
              <w:rPr>
                <w:rFonts w:ascii="Arial" w:cs="Arial" w:eastAsia="Arial" w:hAnsi="Arial"/>
                <w:sz w:val="11"/>
                <w:szCs w:val="11"/>
                <w:color w:val="auto"/>
              </w:rPr>
              <w:t>Financial Intermediaries</w:t>
            </w:r>
          </w:p>
        </w:tc>
        <w:tc>
          <w:tcPr>
            <w:tcW w:w="1700" w:type="dxa"/>
            <w:vAlign w:val="bottom"/>
          </w:tcPr>
          <w:p>
            <w:pPr>
              <w:ind w:left="360"/>
              <w:spacing w:after="0" w:line="112" w:lineRule="exact"/>
              <w:rPr>
                <w:sz w:val="20"/>
                <w:szCs w:val="20"/>
                <w:color w:val="auto"/>
              </w:rPr>
            </w:pPr>
            <w:r>
              <w:rPr>
                <w:rFonts w:ascii="Arial" w:cs="Arial" w:eastAsia="Arial" w:hAnsi="Arial"/>
                <w:sz w:val="11"/>
                <w:szCs w:val="11"/>
                <w:color w:val="auto"/>
              </w:rPr>
              <w:t>Floating - 04/2021 - E -</w:t>
            </w:r>
          </w:p>
        </w:tc>
        <w:tc>
          <w:tcPr>
            <w:tcW w:w="2340" w:type="dxa"/>
            <w:vAlign w:val="bottom"/>
          </w:tcPr>
          <w:p>
            <w:pPr>
              <w:jc w:val="right"/>
              <w:ind w:right="1886"/>
              <w:spacing w:after="0" w:line="112" w:lineRule="exact"/>
              <w:rPr>
                <w:sz w:val="20"/>
                <w:szCs w:val="20"/>
                <w:color w:val="auto"/>
              </w:rPr>
            </w:pPr>
            <w:r>
              <w:rPr>
                <w:rFonts w:ascii="Arial" w:cs="Arial" w:eastAsia="Arial" w:hAnsi="Arial"/>
                <w:sz w:val="11"/>
                <w:szCs w:val="11"/>
                <w:color w:val="auto"/>
              </w:rPr>
              <w:t>ABS</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00" w:type="dxa"/>
            <w:vAlign w:val="bottom"/>
          </w:tcPr>
          <w:p>
            <w:pPr>
              <w:ind w:left="360"/>
              <w:spacing w:after="0"/>
              <w:rPr>
                <w:sz w:val="20"/>
                <w:szCs w:val="20"/>
                <w:color w:val="auto"/>
              </w:rPr>
            </w:pPr>
            <w:r>
              <w:rPr>
                <w:rFonts w:ascii="Arial" w:cs="Arial" w:eastAsia="Arial" w:hAnsi="Arial"/>
                <w:sz w:val="11"/>
                <w:szCs w:val="11"/>
                <w:color w:val="auto"/>
              </w:rPr>
              <w:t>363205AA3</w:t>
            </w:r>
          </w:p>
        </w:tc>
        <w:tc>
          <w:tcPr>
            <w:tcW w:w="2340" w:type="dxa"/>
            <w:vAlign w:val="bottom"/>
          </w:tcPr>
          <w:p>
            <w:pPr>
              <w:jc w:val="right"/>
              <w:ind w:right="226"/>
              <w:spacing w:after="0"/>
              <w:rPr>
                <w:sz w:val="20"/>
                <w:szCs w:val="20"/>
                <w:color w:val="auto"/>
              </w:rPr>
            </w:pPr>
            <w:r>
              <w:rPr>
                <w:rFonts w:ascii="Arial" w:cs="Arial" w:eastAsia="Arial" w:hAnsi="Arial"/>
                <w:sz w:val="11"/>
                <w:szCs w:val="11"/>
                <w:color w:val="auto"/>
              </w:rPr>
              <w:t>3.78%</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4/19/2021</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4,000,000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3,405,566</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3,400,000</w:t>
            </w:r>
          </w:p>
        </w:tc>
      </w:tr>
      <w:tr>
        <w:trPr>
          <w:trHeight w:val="112"/>
        </w:trPr>
        <w:tc>
          <w:tcPr>
            <w:tcW w:w="13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KATO 2006-9A</w:t>
            </w:r>
          </w:p>
        </w:tc>
        <w:tc>
          <w:tcPr>
            <w:tcW w:w="1960" w:type="dxa"/>
            <w:vAlign w:val="bottom"/>
            <w:shd w:val="clear" w:color="auto" w:fill="CCEEFF"/>
          </w:tcPr>
          <w:p>
            <w:pPr>
              <w:ind w:left="540"/>
              <w:spacing w:after="0" w:line="112" w:lineRule="exact"/>
              <w:rPr>
                <w:sz w:val="20"/>
                <w:szCs w:val="20"/>
                <w:color w:val="auto"/>
              </w:rPr>
            </w:pPr>
            <w:r>
              <w:rPr>
                <w:rFonts w:ascii="Arial" w:cs="Arial" w:eastAsia="Arial" w:hAnsi="Arial"/>
                <w:sz w:val="11"/>
                <w:szCs w:val="11"/>
                <w:color w:val="auto"/>
              </w:rPr>
              <w:t>Financial Intermediaries</w:t>
            </w:r>
          </w:p>
        </w:tc>
        <w:tc>
          <w:tcPr>
            <w:tcW w:w="1700" w:type="dxa"/>
            <w:vAlign w:val="bottom"/>
            <w:shd w:val="clear" w:color="auto" w:fill="CCEEFF"/>
          </w:tcPr>
          <w:p>
            <w:pPr>
              <w:ind w:left="360"/>
              <w:spacing w:after="0" w:line="112" w:lineRule="exact"/>
              <w:rPr>
                <w:sz w:val="20"/>
                <w:szCs w:val="20"/>
                <w:color w:val="auto"/>
              </w:rPr>
            </w:pPr>
            <w:r>
              <w:rPr>
                <w:rFonts w:ascii="Arial" w:cs="Arial" w:eastAsia="Arial" w:hAnsi="Arial"/>
                <w:sz w:val="11"/>
                <w:szCs w:val="11"/>
                <w:color w:val="auto"/>
              </w:rPr>
              <w:t>Floating - 01/2019 - B2L -</w:t>
            </w:r>
          </w:p>
        </w:tc>
        <w:tc>
          <w:tcPr>
            <w:tcW w:w="2340" w:type="dxa"/>
            <w:vAlign w:val="bottom"/>
            <w:shd w:val="clear" w:color="auto" w:fill="CCEEFF"/>
          </w:tcPr>
          <w:p>
            <w:pPr>
              <w:jc w:val="right"/>
              <w:ind w:right="1886"/>
              <w:spacing w:after="0" w:line="112" w:lineRule="exact"/>
              <w:rPr>
                <w:sz w:val="20"/>
                <w:szCs w:val="20"/>
                <w:color w:val="auto"/>
              </w:rPr>
            </w:pPr>
            <w:r>
              <w:rPr>
                <w:rFonts w:ascii="Arial" w:cs="Arial" w:eastAsia="Arial" w:hAnsi="Arial"/>
                <w:sz w:val="11"/>
                <w:szCs w:val="11"/>
                <w:color w:val="auto"/>
              </w:rPr>
              <w:t>ABS</w:t>
            </w:r>
          </w:p>
        </w:tc>
        <w:tc>
          <w:tcPr>
            <w:tcW w:w="7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30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1700" w:type="dxa"/>
            <w:vAlign w:val="bottom"/>
            <w:shd w:val="clear" w:color="auto" w:fill="CCEEFF"/>
          </w:tcPr>
          <w:p>
            <w:pPr>
              <w:ind w:left="360"/>
              <w:spacing w:after="0"/>
              <w:rPr>
                <w:sz w:val="20"/>
                <w:szCs w:val="20"/>
                <w:color w:val="auto"/>
              </w:rPr>
            </w:pPr>
            <w:r>
              <w:rPr>
                <w:rFonts w:ascii="Arial" w:cs="Arial" w:eastAsia="Arial" w:hAnsi="Arial"/>
                <w:sz w:val="11"/>
                <w:szCs w:val="11"/>
                <w:color w:val="auto"/>
              </w:rPr>
              <w:t>486010AA9</w:t>
            </w:r>
          </w:p>
        </w:tc>
        <w:tc>
          <w:tcPr>
            <w:tcW w:w="234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3.78%</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1/25/2019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5,000,000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4,367,528</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4,250,000</w:t>
            </w:r>
          </w:p>
        </w:tc>
      </w:tr>
      <w:tr>
        <w:trPr>
          <w:trHeight w:val="112"/>
        </w:trPr>
        <w:tc>
          <w:tcPr>
            <w:tcW w:w="1300" w:type="dxa"/>
            <w:vAlign w:val="bottom"/>
          </w:tcPr>
          <w:p>
            <w:pPr>
              <w:spacing w:after="0" w:line="112" w:lineRule="exact"/>
              <w:rPr>
                <w:sz w:val="20"/>
                <w:szCs w:val="20"/>
                <w:color w:val="auto"/>
              </w:rPr>
            </w:pPr>
            <w:r>
              <w:rPr>
                <w:rFonts w:ascii="Arial" w:cs="Arial" w:eastAsia="Arial" w:hAnsi="Arial"/>
                <w:sz w:val="11"/>
                <w:szCs w:val="11"/>
                <w:color w:val="auto"/>
              </w:rPr>
              <w:t>STCLO 2007-6A</w:t>
            </w:r>
          </w:p>
        </w:tc>
        <w:tc>
          <w:tcPr>
            <w:tcW w:w="1960" w:type="dxa"/>
            <w:vAlign w:val="bottom"/>
          </w:tcPr>
          <w:p>
            <w:pPr>
              <w:ind w:left="540"/>
              <w:spacing w:after="0" w:line="112" w:lineRule="exact"/>
              <w:rPr>
                <w:sz w:val="20"/>
                <w:szCs w:val="20"/>
                <w:color w:val="auto"/>
              </w:rPr>
            </w:pPr>
            <w:r>
              <w:rPr>
                <w:rFonts w:ascii="Arial" w:cs="Arial" w:eastAsia="Arial" w:hAnsi="Arial"/>
                <w:sz w:val="11"/>
                <w:szCs w:val="11"/>
                <w:color w:val="auto"/>
              </w:rPr>
              <w:t>Financial Intermediaries</w:t>
            </w:r>
          </w:p>
        </w:tc>
        <w:tc>
          <w:tcPr>
            <w:tcW w:w="1700" w:type="dxa"/>
            <w:vAlign w:val="bottom"/>
          </w:tcPr>
          <w:p>
            <w:pPr>
              <w:ind w:left="360"/>
              <w:spacing w:after="0" w:line="112" w:lineRule="exact"/>
              <w:rPr>
                <w:sz w:val="20"/>
                <w:szCs w:val="20"/>
                <w:color w:val="auto"/>
              </w:rPr>
            </w:pPr>
            <w:r>
              <w:rPr>
                <w:rFonts w:ascii="Arial" w:cs="Arial" w:eastAsia="Arial" w:hAnsi="Arial"/>
                <w:sz w:val="11"/>
                <w:szCs w:val="11"/>
                <w:color w:val="auto"/>
              </w:rPr>
              <w:t>Floating - 04/2021 - D-</w:t>
            </w:r>
          </w:p>
        </w:tc>
        <w:tc>
          <w:tcPr>
            <w:tcW w:w="2340" w:type="dxa"/>
            <w:vAlign w:val="bottom"/>
          </w:tcPr>
          <w:p>
            <w:pPr>
              <w:jc w:val="right"/>
              <w:ind w:right="1886"/>
              <w:spacing w:after="0" w:line="112" w:lineRule="exact"/>
              <w:rPr>
                <w:sz w:val="20"/>
                <w:szCs w:val="20"/>
                <w:color w:val="auto"/>
              </w:rPr>
            </w:pPr>
            <w:r>
              <w:rPr>
                <w:rFonts w:ascii="Arial" w:cs="Arial" w:eastAsia="Arial" w:hAnsi="Arial"/>
                <w:sz w:val="11"/>
                <w:szCs w:val="11"/>
                <w:color w:val="auto"/>
              </w:rPr>
              <w:t>ABS</w:t>
            </w: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3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00" w:type="dxa"/>
            <w:vAlign w:val="bottom"/>
          </w:tcPr>
          <w:p>
            <w:pPr>
              <w:ind w:left="360"/>
              <w:spacing w:after="0"/>
              <w:rPr>
                <w:sz w:val="20"/>
                <w:szCs w:val="20"/>
                <w:color w:val="auto"/>
              </w:rPr>
            </w:pPr>
            <w:r>
              <w:rPr>
                <w:rFonts w:ascii="Arial" w:cs="Arial" w:eastAsia="Arial" w:hAnsi="Arial"/>
                <w:sz w:val="11"/>
                <w:szCs w:val="11"/>
                <w:color w:val="auto"/>
              </w:rPr>
              <w:t>86176YAG7</w:t>
            </w:r>
          </w:p>
        </w:tc>
        <w:tc>
          <w:tcPr>
            <w:tcW w:w="2340" w:type="dxa"/>
            <w:vAlign w:val="bottom"/>
          </w:tcPr>
          <w:p>
            <w:pPr>
              <w:jc w:val="right"/>
              <w:ind w:right="226"/>
              <w:spacing w:after="0"/>
              <w:rPr>
                <w:sz w:val="20"/>
                <w:szCs w:val="20"/>
                <w:color w:val="auto"/>
              </w:rPr>
            </w:pPr>
            <w:r>
              <w:rPr>
                <w:rFonts w:ascii="Arial" w:cs="Arial" w:eastAsia="Arial" w:hAnsi="Arial"/>
                <w:sz w:val="11"/>
                <w:szCs w:val="11"/>
                <w:color w:val="auto"/>
              </w:rPr>
              <w:t>3.88%</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4/17/2021</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5,000,000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4,083,547</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4,250,000</w:t>
            </w:r>
          </w:p>
        </w:tc>
      </w:tr>
      <w:tr>
        <w:trPr>
          <w:trHeight w:val="115"/>
        </w:trPr>
        <w:tc>
          <w:tcPr>
            <w:tcW w:w="1300" w:type="dxa"/>
            <w:vAlign w:val="bottom"/>
            <w:tcBorders>
              <w:top w:val="single" w:sz="8" w:color="CCEEFF"/>
              <w:bottom w:val="single" w:sz="8" w:color="CCEEFF"/>
            </w:tcBorders>
            <w:shd w:val="clear" w:color="auto" w:fill="CCEEFF"/>
          </w:tcPr>
          <w:p>
            <w:pPr>
              <w:spacing w:after="0"/>
              <w:rPr>
                <w:sz w:val="10"/>
                <w:szCs w:val="10"/>
                <w:color w:val="auto"/>
              </w:rPr>
            </w:pPr>
          </w:p>
        </w:tc>
        <w:tc>
          <w:tcPr>
            <w:tcW w:w="1960" w:type="dxa"/>
            <w:vAlign w:val="bottom"/>
            <w:tcBorders>
              <w:top w:val="single" w:sz="8" w:color="CCEEFF"/>
              <w:bottom w:val="single" w:sz="8" w:color="CCEEFF"/>
            </w:tcBorders>
            <w:shd w:val="clear" w:color="auto" w:fill="CCEEFF"/>
          </w:tcPr>
          <w:p>
            <w:pPr>
              <w:spacing w:after="0"/>
              <w:rPr>
                <w:sz w:val="10"/>
                <w:szCs w:val="10"/>
                <w:color w:val="auto"/>
              </w:rPr>
            </w:pPr>
          </w:p>
        </w:tc>
        <w:tc>
          <w:tcPr>
            <w:tcW w:w="1700" w:type="dxa"/>
            <w:vAlign w:val="bottom"/>
            <w:tcBorders>
              <w:top w:val="single" w:sz="8" w:color="CCEEFF"/>
              <w:bottom w:val="single" w:sz="8" w:color="CCEEFF"/>
            </w:tcBorders>
            <w:shd w:val="clear" w:color="auto" w:fill="CCEEFF"/>
          </w:tcPr>
          <w:p>
            <w:pPr>
              <w:spacing w:after="0"/>
              <w:rPr>
                <w:sz w:val="10"/>
                <w:szCs w:val="10"/>
                <w:color w:val="auto"/>
              </w:rPr>
            </w:pPr>
          </w:p>
        </w:tc>
        <w:tc>
          <w:tcPr>
            <w:tcW w:w="2340" w:type="dxa"/>
            <w:vAlign w:val="bottom"/>
            <w:tcBorders>
              <w:top w:val="single" w:sz="8" w:color="CCEEFF"/>
              <w:bottom w:val="single" w:sz="8" w:color="CCEEFF"/>
            </w:tcBorders>
            <w:shd w:val="clear" w:color="auto" w:fill="CCEEFF"/>
          </w:tcPr>
          <w:p>
            <w:pPr>
              <w:spacing w:after="0"/>
              <w:rPr>
                <w:sz w:val="10"/>
                <w:szCs w:val="10"/>
                <w:color w:val="auto"/>
              </w:rPr>
            </w:pPr>
          </w:p>
        </w:tc>
        <w:tc>
          <w:tcPr>
            <w:tcW w:w="78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9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350,480,043</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345,696,356</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GSC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3"/>
          </w:tcPr>
          <w:p>
            <w:pPr>
              <w:jc w:val="right"/>
              <w:ind w:right="391"/>
              <w:spacing w:after="0"/>
              <w:rPr>
                <w:sz w:val="20"/>
                <w:szCs w:val="20"/>
                <w:color w:val="auto"/>
              </w:rPr>
            </w:pPr>
            <w:r>
              <w:rPr>
                <w:rFonts w:ascii="Arial" w:cs="Arial" w:eastAsia="Arial" w:hAnsi="Arial"/>
                <w:sz w:val="11"/>
                <w:szCs w:val="11"/>
                <w:b w:val="1"/>
                <w:bCs w:val="1"/>
                <w:color w:val="auto"/>
                <w:w w:val="92"/>
              </w:rPr>
              <w:t>Principal / Number of</w:t>
            </w: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35"/>
        </w:trPr>
        <w:tc>
          <w:tcPr>
            <w:tcW w:w="168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Issuer Name</w:t>
            </w:r>
          </w:p>
        </w:tc>
        <w:tc>
          <w:tcPr>
            <w:tcW w:w="16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rPr>
              <w:t>Industry</w:t>
            </w:r>
          </w:p>
        </w:tc>
        <w:tc>
          <w:tcPr>
            <w:tcW w:w="16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Asset Name</w:t>
            </w:r>
          </w:p>
        </w:tc>
        <w:tc>
          <w:tcPr>
            <w:tcW w:w="16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Asset Type</w:t>
            </w:r>
          </w:p>
        </w:tc>
        <w:tc>
          <w:tcPr>
            <w:tcW w:w="16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Current Rate</w:t>
            </w:r>
          </w:p>
        </w:tc>
        <w:tc>
          <w:tcPr>
            <w:tcW w:w="20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1"/>
                <w:szCs w:val="11"/>
                <w:b w:val="1"/>
                <w:bCs w:val="1"/>
                <w:color w:val="auto"/>
              </w:rPr>
              <w:t>Maturity Date</w:t>
            </w:r>
          </w:p>
        </w:tc>
        <w:tc>
          <w:tcPr>
            <w:tcW w:w="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ind w:left="120"/>
              <w:spacing w:after="0"/>
              <w:rPr>
                <w:sz w:val="20"/>
                <w:szCs w:val="20"/>
                <w:color w:val="auto"/>
              </w:rPr>
            </w:pPr>
            <w:r>
              <w:rPr>
                <w:rFonts w:ascii="Arial" w:cs="Arial" w:eastAsia="Arial" w:hAnsi="Arial"/>
                <w:sz w:val="11"/>
                <w:szCs w:val="11"/>
                <w:b w:val="1"/>
                <w:bCs w:val="1"/>
                <w:color w:val="auto"/>
              </w:rPr>
              <w:t>Cost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98"/>
              </w:rPr>
              <w:t>Fair Value</w:t>
            </w:r>
          </w:p>
        </w:tc>
        <w:tc>
          <w:tcPr>
            <w:tcW w:w="80" w:type="dxa"/>
            <w:vAlign w:val="bottom"/>
            <w:tcBorders>
              <w:bottom w:val="single" w:sz="8" w:color="CCEEFF"/>
            </w:tcBorders>
          </w:tcPr>
          <w:p>
            <w:pPr>
              <w:spacing w:after="0"/>
              <w:rPr>
                <w:sz w:val="11"/>
                <w:szCs w:val="11"/>
                <w:color w:val="auto"/>
              </w:rPr>
            </w:pPr>
          </w:p>
        </w:tc>
      </w:tr>
      <w:tr>
        <w:trPr>
          <w:trHeight w:val="115"/>
        </w:trPr>
        <w:tc>
          <w:tcPr>
            <w:tcW w:w="168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Elyria Foundry Company, LLC</w:t>
            </w:r>
          </w:p>
        </w:tc>
        <w:tc>
          <w:tcPr>
            <w:tcW w:w="160" w:type="dxa"/>
            <w:vAlign w:val="bottom"/>
            <w:shd w:val="clear" w:color="auto" w:fill="CCEEFF"/>
          </w:tcPr>
          <w:p>
            <w:pPr>
              <w:spacing w:after="0"/>
              <w:rPr>
                <w:sz w:val="10"/>
                <w:szCs w:val="10"/>
                <w:color w:val="auto"/>
              </w:rPr>
            </w:pPr>
          </w:p>
        </w:tc>
        <w:tc>
          <w:tcPr>
            <w:tcW w:w="16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Industrial Equipment</w:t>
            </w:r>
          </w:p>
        </w:tc>
        <w:tc>
          <w:tcPr>
            <w:tcW w:w="16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Warrants</w:t>
            </w:r>
          </w:p>
        </w:tc>
        <w:tc>
          <w:tcPr>
            <w:tcW w:w="16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Equity</w:t>
            </w:r>
          </w:p>
        </w:tc>
        <w:tc>
          <w:tcPr>
            <w:tcW w:w="160" w:type="dxa"/>
            <w:vAlign w:val="bottom"/>
            <w:shd w:val="clear" w:color="auto" w:fill="CCEEFF"/>
          </w:tcPr>
          <w:p>
            <w:pPr>
              <w:spacing w:after="0"/>
              <w:rPr>
                <w:sz w:val="10"/>
                <w:szCs w:val="10"/>
                <w:color w:val="auto"/>
              </w:rPr>
            </w:pPr>
          </w:p>
        </w:tc>
        <w:tc>
          <w:tcPr>
            <w:tcW w:w="1020" w:type="dxa"/>
            <w:vAlign w:val="bottom"/>
            <w:gridSpan w:val="2"/>
            <w:shd w:val="clear" w:color="auto" w:fill="CCEEFF"/>
          </w:tcPr>
          <w:p>
            <w:pPr>
              <w:jc w:val="right"/>
              <w:ind w:right="120"/>
              <w:spacing w:after="0" w:line="115" w:lineRule="exact"/>
              <w:rPr>
                <w:sz w:val="20"/>
                <w:szCs w:val="20"/>
                <w:color w:val="auto"/>
              </w:rPr>
            </w:pPr>
            <w:r>
              <w:rPr>
                <w:rFonts w:ascii="Arial" w:cs="Arial" w:eastAsia="Arial" w:hAnsi="Arial"/>
                <w:sz w:val="11"/>
                <w:szCs w:val="11"/>
                <w:color w:val="auto"/>
              </w:rPr>
              <w:t>0.00%</w:t>
            </w: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ind w:left="520"/>
              <w:spacing w:after="0" w:line="115" w:lineRule="exact"/>
              <w:rPr>
                <w:sz w:val="20"/>
                <w:szCs w:val="20"/>
                <w:color w:val="auto"/>
              </w:rPr>
            </w:pPr>
            <w:r>
              <w:rPr>
                <w:rFonts w:ascii="Arial" w:cs="Arial" w:eastAsia="Arial" w:hAnsi="Arial"/>
                <w:sz w:val="11"/>
                <w:szCs w:val="11"/>
                <w:color w:val="auto"/>
                <w:w w:val="72"/>
              </w:rPr>
              <w:t>—</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0"/>
                <w:szCs w:val="10"/>
                <w:color w:val="auto"/>
              </w:rPr>
            </w:pP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Network Communications,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Common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Equity</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169,143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169,143</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659,658</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OLD AII, Inc (fka Aleris International</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Conglomerate</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Common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Equity</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0.00%</w:t>
            </w: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2,624</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224,656</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128,576</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PATS Aircraft,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Common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Equity</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51,813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282,326</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282,329</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Publishing</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Common Stock</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Equity</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10,821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28,784</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5,411</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Academy, LTD.</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Initial Term Loan (2012)</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8/3/2018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1,980,037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1,966,002</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2,000,927</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ACCO Brands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4.25%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5/1/2019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351,944</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348,847</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354,584</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Acosta,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D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4,183,659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4,120,774</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4,216,082</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Aderant North America,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6.25%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12/20/2018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3,500,000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3,495,662</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3,552,500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Aeroflex Incorporated</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5.75%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5/9/2018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3,345,517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3,333,081</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3,369,204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Alcatel-Lucent USA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Telecommunications/Cellular</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US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1/30/2019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1,075,000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1,069,625</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1,087,008</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Alere Inc. (fka IM US Holdings,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Incremental B-1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6/30/2017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1,980,000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1,941,348</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1,999,444</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Aptalis Pharma, Inc. (fka Axcan</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Drugs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B-1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Intermediate Holdings 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2/10/2017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1,960,000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1,953,535</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1,963,920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Aramark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LC-2 Facility</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3.45%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79,187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79,187</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79,600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LC-3 Facility</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3.45%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43,961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43,961</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44,190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Aramark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U.S. Term B Loan (Extending)</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3.45%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1,204,093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1,204,093</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1,210,366</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U.S. Term C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3.52%</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2,545,700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2,545,700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2,558,963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Armstrong World Industries,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Building and Development</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 B-1</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3/10/2018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2,122,931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2,109,740</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2,124,268</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Asurion, LLC (fka Asurion</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Insurance</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Amortizing Term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Corporation)</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7/23/2017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968,750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960,226</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973,594</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Asurion, LLC (fka Asurion</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Insurance</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Incremental Tranche B-1 Term</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Corporation)</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Loan</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4.50%</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5/24/2019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5,659,091</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5,602,698</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5,674,144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Auction.Com, LLC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A-4</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4.96%</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8/30/2016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1,018,699</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1,017,479</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1,013,606</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Aurora Diagnostics,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5/26/2016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3,188,889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3,198,281</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3,077,278</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Autotrader.com,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Automotive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B-1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12/15/2016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3,830,768</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3,830,768</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3,853,522</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Avantor Performance Materials</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Term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Holdings, Inc.</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5.25%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6/24/2017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4,925,000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4,907,124</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4,925,000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AZ Chem US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5.25%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12/22/2017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1,570,579</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1,532,447</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1,585,170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Biomet,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Dollar Term B-1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7/25/2017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1,990,013</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1,990,013</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2,003,445</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Bombardier Recreational Products</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Leisure Goods/Activities/Movies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B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1/30/2019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1,000,000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990,101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1,007,500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Brock Holdings III,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Industrial Equipment</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3/16/2017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2,000,000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2,022,500</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2,013,340</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Burlington Coat Factory Warehouse</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B-1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Corporation</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2/23/2017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2,776,843</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2,767,803</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2,802,306</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C.H.I. Overhead Doors, Inc. (CHI)</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Home Furnishings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8/17/2017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2,976,290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2,931,556</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2,983,730</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9"/>
              </w:rPr>
              <w:t>Camp International Holding Company</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Aerospace and Defense</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Refinanced Term Loan (First</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Lien)</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5.25%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5/31/2019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997,500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988,136</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1,005,400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Capital Automotive L.P.</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3/11/2017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2,811,086</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2,817,777</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2,823,961</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Capstone Logistics, LLC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Note A</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7.50%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9/16/2016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2,699,305</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2,669,394</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2,658,816</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Capsugel Holdings US,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Drugs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Initial Term Loan (New)</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8/1/2018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3,605,198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3,595,976</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3,641,214</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Celanese US Holdings LLC</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Dollar Term C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(Extended)</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3.06%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10/31/2016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2,198,534</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2,219,212</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2,208,911</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Cenveo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Publishing</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B Facility</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12/21/2016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2,437,399</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2,421,925</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2,444,516</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Charter Communications Operating,</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Cable and Satellite Television</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C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LLC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3.46%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9/6/2016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2,047,547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2,044,048</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2,057,785</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Charter Communications Operating,</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Cable and Satellite Television</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Term D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LLC</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4.00%</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5/15/2019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1,985,000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1,976,313</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2,000,503</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CHS/ Community Health Systems,</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Healthcare</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Extended Term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3.79%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1/25/2017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4,064,516</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3,963,653</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4,090,935</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Cinedigm Digital Funding I,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5.75%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2/28/2018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1,066,260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1,059,429</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1,068,925</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Contec, LLC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Second Lien Term Notes</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10.00%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11/2/2016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401,202</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2,400,891</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2,578,210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Covanta Energy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Ecological Services and Equipment</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3/28/2019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496,250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494,095</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501,833</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CPI International Acquisition, Inc.</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B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(f/k/a Catalyst Holdings, 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5.00%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2/13/2017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4,805,833</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4,789,964</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4,829,862</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Crown Castle Operating Company</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Telecommunications/Cellular</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1/31/2019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1,980,000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1,963,120</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1,989,484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Dollar Loan (First Lien)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6.25%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12/19/2017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795,675</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732,459</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729,372</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Dollar Loan (Second Lien)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9.50%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6/19/2018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783,162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720,189</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604,343</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DaVita HealthCare Partners Inc. (fka</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Healthcare</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Tranche B Term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DaVita 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10/20/2016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3,949,622</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3,949,622</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3,977,822</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DCS Business Services,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Financial Intermediaries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3/19/2018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3,970,010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3,919,904</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3,910,460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Del Monte Foods Company</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Food Products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3/8/2018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4,438,139</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4,473,061</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4,443,687</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Delphi Corporation</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Tranche A Term Loan Retired</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20"/>
                <w:szCs w:val="20"/>
                <w:color w:val="auto"/>
              </w:rPr>
            </w:pPr>
            <w:r>
              <w:rPr>
                <w:rFonts w:ascii="Arial" w:cs="Arial" w:eastAsia="Arial" w:hAnsi="Arial"/>
                <w:sz w:val="11"/>
                <w:szCs w:val="11"/>
                <w:color w:val="auto"/>
              </w:rPr>
              <w:t>03/01/2013</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4.25%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3/31/2016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1,683,357</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1,685,403</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1,682,650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Digitalglobe,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Ecological Services and Equipment</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1/31/2020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250,000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250,000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250,783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DS Waters of America,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Beverage and Tobacco</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 (First Lien)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10.50%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8/29/2017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2,977,500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2,928,511</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3,037,050</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Dunkin’ Brands,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Food Services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B-3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2/14/2020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4,000,000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3,990,000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3,990,000</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DynCorp International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7/7/2016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574,161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567,732</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577,606</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Education Management LLC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Leisure Goods/Activities/Movies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C-2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4.31%</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6/1/2016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3,925,006</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3,727,372</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3,263,878</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eInstruction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7/2/2013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2,997,722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2,931,236</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899,317</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Electrical Components International,</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Synthetic Revolving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6.75%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2/4/2016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117,647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116,611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117,647</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Electrical Components International,</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Term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Inc.</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6.75%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2/4/2017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1,786,475</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1,768,892</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1,786,475</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Evergreen Acqco 1 LP</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5.00%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7/9/2019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497,503</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492,828</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501,702</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Federal-Mogul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Automotive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Tranche B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2.14%</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12/29/2014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2,589,036</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2,498,894</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2,467,351</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Federal-Mogul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Automotive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C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2.14%</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12/28/2015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1,320,937</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1,264,234</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1,258,853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First Data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Financial Intermediaries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2017 Dollar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5.20%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3/24/2017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2,111,028</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2,027,434</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2,111,914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First Data Corporation</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Financial Intermediaries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2018 Dollar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4.20%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3/23/2018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2,290,451</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2,216,829</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2,261,591</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Freescale Semiconductor, Inc.</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Electronics/Electric</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Tranche B-1 Term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Retired 03/01/2013</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4.45%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12/1/2016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2,534,348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2,450,139</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2,535,945</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FTD Group,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4.75%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6/11/2018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3,715,723</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3,683,533</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3,715,723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Generac Power Systems,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Industrial Equipment</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6.25%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5/30/2018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906,111</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890,154</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923,590</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General Nutrition Centers, Inc.</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Amended Tranche B Term</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5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Loan</w:t>
            </w: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3.75%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3/2/2018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4,746,591</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4,757,841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4,774,548</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Global Tel*Link Corporation</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Replacement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12/14/2017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1,964,912</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1,960,077</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1,967,368</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Goodyear Tire &amp; Rubber Company,</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 (Second Lien)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The</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4.75%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4/30/2019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4,000,000</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3,929,629</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4,015,000</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Grifols Inc.</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Drugs</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New U.S. Tranche B Term</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Loan</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4.25%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6/1/2017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3,465,982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3,457,357</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3,481,371</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Grosvenor Capital Management</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9"/>
              </w:rPr>
              <w:t>Brokers/Dealers/Investment Houses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Tranche C Term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Holdings, LLLP</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4.25%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12/5/2016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3,336,378</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3,252,391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3,311,355</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Hanger Orthopedic Group,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C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12/1/2016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3,910,667</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3,920,277</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3,925,332</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HCA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B-3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3.45%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5/1/2018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5,734,690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5,440,293</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5,764,912</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Health Management Associates,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Term B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4.50%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11/16/2018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2,970,000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2,945,366</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2,993,344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Hertz Corporation, The</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Automotive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B-1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0.00%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3/11/2018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3,000,000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3,045,000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3,045,000</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HIBU PLC (fka Yell Group PLC)</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Facility B1 - YB (USA) LLC</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20"/>
                <w:szCs w:val="20"/>
                <w:color w:val="auto"/>
              </w:rPr>
            </w:pPr>
            <w:r>
              <w:rPr>
                <w:rFonts w:ascii="Arial" w:cs="Arial" w:eastAsia="Arial" w:hAnsi="Arial"/>
                <w:sz w:val="11"/>
                <w:szCs w:val="11"/>
                <w:color w:val="auto"/>
              </w:rPr>
              <w:t>(11/2009)</w:t>
            </w: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3.95%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7/31/2014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3,030,606</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2,983,167</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530,356</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HMH Holdings (Delaware)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Conglomerate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(Exit Facility)</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7.25%</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5/22/2018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992,500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974,925</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997,463</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Hologic,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Tranche A Term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8/1/2017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2,437,500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2,432,069</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2,439,328</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Hunter Defense Technologies,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Aerospace and Defense</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3.54%</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8/22/2014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3,679,939</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3,647,610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3,385,544</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Huntsman International LLC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Extended Term B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2.75%</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4/19/2017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3,920,000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3,883,690</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3,920,000</w:t>
            </w:r>
          </w:p>
        </w:tc>
      </w:tr>
      <w:tr>
        <w:trPr>
          <w:trHeight w:val="112"/>
        </w:trPr>
        <w:tc>
          <w:tcPr>
            <w:tcW w:w="18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Infor (US), Inc. ((fka Lawson</w:t>
            </w:r>
          </w:p>
        </w:tc>
        <w:tc>
          <w:tcPr>
            <w:tcW w:w="17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Business Equipment and Services</w:t>
            </w:r>
          </w:p>
        </w:tc>
        <w:tc>
          <w:tcPr>
            <w:tcW w:w="15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Tranche B-2 Term Loan</w:t>
            </w:r>
          </w:p>
        </w:tc>
        <w:tc>
          <w:tcPr>
            <w:tcW w:w="9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8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Software Inc.)</w:t>
            </w:r>
          </w:p>
        </w:tc>
        <w:tc>
          <w:tcPr>
            <w:tcW w:w="1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5.25%</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4/5/2018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1,990,013</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1,971,642</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2,011,166</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Inventiv Health, Inc. (fka Ventive</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Conglomerate</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rPr>
              <w:t>Consolidated Term Loan</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840" w:type="dxa"/>
            <w:vAlign w:val="bottom"/>
            <w:gridSpan w:val="2"/>
          </w:tcPr>
          <w:p>
            <w:pPr>
              <w:ind w:left="180"/>
              <w:spacing w:after="0"/>
              <w:rPr>
                <w:sz w:val="20"/>
                <w:szCs w:val="20"/>
                <w:color w:val="auto"/>
              </w:rPr>
            </w:pPr>
            <w:r>
              <w:rPr>
                <w:rFonts w:ascii="Arial" w:cs="Arial" w:eastAsia="Arial" w:hAnsi="Arial"/>
                <w:sz w:val="11"/>
                <w:szCs w:val="11"/>
                <w:color w:val="auto"/>
              </w:rPr>
              <w:t>Health, Inc)</w:t>
            </w: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7.50%</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8/4/2016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492,090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492,090</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484,093</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J. Crew Group,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Retailers (Except Food and Drugs)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B-1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4.00%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3/7/2018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982,500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982,500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982,726</w:t>
            </w:r>
          </w:p>
        </w:tc>
      </w:tr>
      <w:tr>
        <w:trPr>
          <w:trHeight w:val="112"/>
        </w:trPr>
        <w:tc>
          <w:tcPr>
            <w:tcW w:w="1840" w:type="dxa"/>
            <w:vAlign w:val="bottom"/>
            <w:gridSpan w:val="2"/>
          </w:tcPr>
          <w:p>
            <w:pPr>
              <w:spacing w:after="0" w:line="112" w:lineRule="exact"/>
              <w:rPr>
                <w:sz w:val="20"/>
                <w:szCs w:val="20"/>
                <w:color w:val="auto"/>
              </w:rPr>
            </w:pPr>
            <w:r>
              <w:rPr>
                <w:rFonts w:ascii="Arial" w:cs="Arial" w:eastAsia="Arial" w:hAnsi="Arial"/>
                <w:sz w:val="11"/>
                <w:szCs w:val="11"/>
                <w:color w:val="auto"/>
              </w:rPr>
              <w:t>JFB Firth Rixson Inc.</w:t>
            </w:r>
          </w:p>
        </w:tc>
        <w:tc>
          <w:tcPr>
            <w:tcW w:w="1780" w:type="dxa"/>
            <w:vAlign w:val="bottom"/>
            <w:gridSpan w:val="2"/>
          </w:tcPr>
          <w:p>
            <w:pPr>
              <w:spacing w:after="0" w:line="112" w:lineRule="exact"/>
              <w:rPr>
                <w:sz w:val="20"/>
                <w:szCs w:val="20"/>
                <w:color w:val="auto"/>
              </w:rPr>
            </w:pPr>
            <w:r>
              <w:rPr>
                <w:rFonts w:ascii="Arial" w:cs="Arial" w:eastAsia="Arial" w:hAnsi="Arial"/>
                <w:sz w:val="11"/>
                <w:szCs w:val="11"/>
                <w:color w:val="auto"/>
              </w:rPr>
              <w:t>Industrial Equipment</w:t>
            </w:r>
          </w:p>
        </w:tc>
        <w:tc>
          <w:tcPr>
            <w:tcW w:w="1540" w:type="dxa"/>
            <w:vAlign w:val="bottom"/>
            <w:gridSpan w:val="2"/>
          </w:tcPr>
          <w:p>
            <w:pPr>
              <w:spacing w:after="0" w:line="112" w:lineRule="exact"/>
              <w:rPr>
                <w:sz w:val="20"/>
                <w:szCs w:val="20"/>
                <w:color w:val="auto"/>
              </w:rPr>
            </w:pPr>
            <w:r>
              <w:rPr>
                <w:rFonts w:ascii="Arial" w:cs="Arial" w:eastAsia="Arial" w:hAnsi="Arial"/>
                <w:sz w:val="11"/>
                <w:szCs w:val="11"/>
                <w:color w:val="auto"/>
                <w:w w:val="99"/>
              </w:rPr>
              <w:t>2013 Replacement Dollar Term</w:t>
            </w:r>
          </w:p>
        </w:tc>
        <w:tc>
          <w:tcPr>
            <w:tcW w:w="960" w:type="dxa"/>
            <w:vAlign w:val="bottom"/>
            <w:gridSpan w:val="2"/>
          </w:tcPr>
          <w:p>
            <w:pPr>
              <w:spacing w:after="0" w:line="112" w:lineRule="exact"/>
              <w:rPr>
                <w:sz w:val="20"/>
                <w:szCs w:val="20"/>
                <w:color w:val="auto"/>
              </w:rPr>
            </w:pPr>
            <w:r>
              <w:rPr>
                <w:rFonts w:ascii="Arial" w:cs="Arial" w:eastAsia="Arial" w:hAnsi="Arial"/>
                <w:sz w:val="11"/>
                <w:szCs w:val="11"/>
                <w:color w:val="auto"/>
              </w:rPr>
              <w:t>Loan</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40" w:type="dxa"/>
            <w:vAlign w:val="bottom"/>
            <w:gridSpan w:val="2"/>
          </w:tcPr>
          <w:p>
            <w:pPr>
              <w:spacing w:after="0"/>
              <w:rPr>
                <w:sz w:val="20"/>
                <w:szCs w:val="20"/>
                <w:color w:val="auto"/>
              </w:rPr>
            </w:pPr>
            <w:r>
              <w:rPr>
                <w:rFonts w:ascii="Arial" w:cs="Arial" w:eastAsia="Arial" w:hAnsi="Arial"/>
                <w:sz w:val="11"/>
                <w:szCs w:val="11"/>
                <w:color w:val="auto"/>
              </w:rPr>
              <w:t>Facility Loan</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1"/>
                <w:szCs w:val="11"/>
                <w:color w:val="auto"/>
              </w:rPr>
              <w:t>4.25%</w:t>
            </w:r>
          </w:p>
        </w:tc>
        <w:tc>
          <w:tcPr>
            <w:tcW w:w="1020" w:type="dxa"/>
            <w:vAlign w:val="bottom"/>
            <w:gridSpan w:val="2"/>
          </w:tcPr>
          <w:p>
            <w:pPr>
              <w:jc w:val="right"/>
              <w:ind w:right="160"/>
              <w:spacing w:after="0"/>
              <w:rPr>
                <w:sz w:val="20"/>
                <w:szCs w:val="20"/>
                <w:color w:val="auto"/>
              </w:rPr>
            </w:pPr>
            <w:r>
              <w:rPr>
                <w:rFonts w:ascii="Arial" w:cs="Arial" w:eastAsia="Arial" w:hAnsi="Arial"/>
                <w:sz w:val="11"/>
                <w:szCs w:val="11"/>
                <w:color w:val="auto"/>
              </w:rPr>
              <w:t>6/30/2017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2,590,213</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1"/>
                <w:szCs w:val="11"/>
                <w:color w:val="auto"/>
              </w:rPr>
              <w:t>2,577,375</w:t>
            </w:r>
          </w:p>
        </w:tc>
        <w:tc>
          <w:tcPr>
            <w:tcW w:w="120" w:type="dxa"/>
            <w:vAlign w:val="bottom"/>
          </w:tcPr>
          <w:p>
            <w:pPr>
              <w:spacing w:after="0"/>
              <w:rPr>
                <w:sz w:val="11"/>
                <w:szCs w:val="1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2,598,838</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Kalispel Tribal Economic Authority</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Lodging and Casinos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7.50%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2/24/2017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3,625,323</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3,577,074</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3,634,387</w:t>
            </w:r>
          </w:p>
        </w:tc>
      </w:tr>
      <w:tr>
        <w:trPr>
          <w:trHeight w:val="122"/>
        </w:trPr>
        <w:tc>
          <w:tcPr>
            <w:tcW w:w="1840" w:type="dxa"/>
            <w:vAlign w:val="bottom"/>
            <w:gridSpan w:val="2"/>
          </w:tcPr>
          <w:p>
            <w:pPr>
              <w:spacing w:after="0" w:line="122" w:lineRule="exact"/>
              <w:rPr>
                <w:sz w:val="20"/>
                <w:szCs w:val="20"/>
                <w:color w:val="auto"/>
              </w:rPr>
            </w:pPr>
            <w:r>
              <w:rPr>
                <w:rFonts w:ascii="Arial" w:cs="Arial" w:eastAsia="Arial" w:hAnsi="Arial"/>
                <w:sz w:val="11"/>
                <w:szCs w:val="11"/>
                <w:color w:val="auto"/>
              </w:rPr>
              <w:t>Kinetic Concepts, Inc.</w:t>
            </w:r>
          </w:p>
        </w:tc>
        <w:tc>
          <w:tcPr>
            <w:tcW w:w="1780" w:type="dxa"/>
            <w:vAlign w:val="bottom"/>
            <w:gridSpan w:val="2"/>
          </w:tcPr>
          <w:p>
            <w:pPr>
              <w:spacing w:after="0" w:line="122" w:lineRule="exact"/>
              <w:rPr>
                <w:sz w:val="20"/>
                <w:szCs w:val="20"/>
                <w:color w:val="auto"/>
              </w:rPr>
            </w:pPr>
            <w:r>
              <w:rPr>
                <w:rFonts w:ascii="Arial" w:cs="Arial" w:eastAsia="Arial" w:hAnsi="Arial"/>
                <w:sz w:val="11"/>
                <w:szCs w:val="11"/>
                <w:color w:val="auto"/>
              </w:rPr>
              <w:t>Healthcare</w:t>
            </w:r>
          </w:p>
        </w:tc>
        <w:tc>
          <w:tcPr>
            <w:tcW w:w="1540" w:type="dxa"/>
            <w:vAlign w:val="bottom"/>
            <w:gridSpan w:val="2"/>
          </w:tcPr>
          <w:p>
            <w:pPr>
              <w:spacing w:after="0" w:line="122" w:lineRule="exact"/>
              <w:rPr>
                <w:sz w:val="20"/>
                <w:szCs w:val="20"/>
                <w:color w:val="auto"/>
              </w:rPr>
            </w:pPr>
            <w:r>
              <w:rPr>
                <w:rFonts w:ascii="Arial" w:cs="Arial" w:eastAsia="Arial" w:hAnsi="Arial"/>
                <w:sz w:val="11"/>
                <w:szCs w:val="11"/>
                <w:color w:val="auto"/>
              </w:rPr>
              <w:t>Dollar Term C-1 Loan</w:t>
            </w:r>
          </w:p>
        </w:tc>
        <w:tc>
          <w:tcPr>
            <w:tcW w:w="96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5.50%</w:t>
            </w:r>
          </w:p>
        </w:tc>
        <w:tc>
          <w:tcPr>
            <w:tcW w:w="10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5/4/2018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22" w:lineRule="exact"/>
              <w:rPr>
                <w:sz w:val="20"/>
                <w:szCs w:val="20"/>
                <w:color w:val="auto"/>
              </w:rPr>
            </w:pPr>
            <w:r>
              <w:rPr>
                <w:rFonts w:ascii="Arial" w:cs="Arial" w:eastAsia="Arial" w:hAnsi="Arial"/>
                <w:sz w:val="11"/>
                <w:szCs w:val="11"/>
                <w:color w:val="auto"/>
              </w:rPr>
              <w:t>495,000</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478,661</w:t>
            </w:r>
          </w:p>
        </w:tc>
        <w:tc>
          <w:tcPr>
            <w:tcW w:w="120" w:type="dxa"/>
            <w:vAlign w:val="bottom"/>
          </w:tcPr>
          <w:p>
            <w:pPr>
              <w:spacing w:after="0"/>
              <w:rPr>
                <w:sz w:val="10"/>
                <w:szCs w:val="10"/>
                <w:color w:val="auto"/>
              </w:rPr>
            </w:pP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501,034</w:t>
            </w:r>
          </w:p>
        </w:tc>
      </w:tr>
      <w:tr>
        <w:trPr>
          <w:trHeight w:val="122"/>
        </w:trPr>
        <w:tc>
          <w:tcPr>
            <w:tcW w:w="18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Kronos Worldwide, Inc.</w:t>
            </w:r>
          </w:p>
        </w:tc>
        <w:tc>
          <w:tcPr>
            <w:tcW w:w="17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Chemicals/Plastics</w:t>
            </w:r>
          </w:p>
        </w:tc>
        <w:tc>
          <w:tcPr>
            <w:tcW w:w="15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Initial Term Loan</w:t>
            </w:r>
          </w:p>
        </w:tc>
        <w:tc>
          <w:tcPr>
            <w:tcW w:w="9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1"/>
                <w:szCs w:val="11"/>
                <w:color w:val="auto"/>
              </w:rPr>
              <w:t>7.00%</w:t>
            </w:r>
          </w:p>
        </w:tc>
        <w:tc>
          <w:tcPr>
            <w:tcW w:w="102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6/13/2018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500,000</w:t>
            </w: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500,000</w:t>
            </w:r>
          </w:p>
        </w:tc>
        <w:tc>
          <w:tcPr>
            <w:tcW w:w="12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504,065</w:t>
            </w:r>
          </w:p>
        </w:tc>
      </w:tr>
    </w:tbl>
    <w:p>
      <w:pPr>
        <w:sectPr>
          <w:pgSz w:w="11900" w:h="16870" w:orient="portrait"/>
          <w:cols w:equalWidth="0" w:num="1">
            <w:col w:w="11420"/>
          </w:cols>
          <w:pgMar w:left="240" w:top="13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760" w:type="dxa"/>
            <w:vAlign w:val="bottom"/>
          </w:tcPr>
          <w:p>
            <w:pPr>
              <w:spacing w:after="0"/>
              <w:rPr>
                <w:sz w:val="20"/>
                <w:szCs w:val="20"/>
                <w:color w:val="auto"/>
              </w:rPr>
            </w:pPr>
            <w:r>
              <w:rPr>
                <w:rFonts w:ascii="Arial" w:cs="Arial" w:eastAsia="Arial" w:hAnsi="Arial"/>
                <w:sz w:val="11"/>
                <w:szCs w:val="11"/>
                <w:color w:val="auto"/>
              </w:rPr>
              <w:t>MetroPCS Wireless, Inc.</w:t>
            </w:r>
          </w:p>
        </w:tc>
        <w:tc>
          <w:tcPr>
            <w:tcW w:w="1720" w:type="dxa"/>
            <w:vAlign w:val="bottom"/>
          </w:tcPr>
          <w:p>
            <w:pPr>
              <w:ind w:left="80"/>
              <w:spacing w:after="0"/>
              <w:rPr>
                <w:sz w:val="20"/>
                <w:szCs w:val="20"/>
                <w:color w:val="auto"/>
              </w:rPr>
            </w:pPr>
            <w:r>
              <w:rPr>
                <w:rFonts w:ascii="Arial" w:cs="Arial" w:eastAsia="Arial" w:hAnsi="Arial"/>
                <w:sz w:val="11"/>
                <w:szCs w:val="11"/>
                <w:color w:val="auto"/>
              </w:rPr>
              <w:t>Telecommunications</w:t>
            </w:r>
          </w:p>
        </w:tc>
        <w:tc>
          <w:tcPr>
            <w:tcW w:w="1500" w:type="dxa"/>
            <w:vAlign w:val="bottom"/>
          </w:tcPr>
          <w:p>
            <w:pPr>
              <w:ind w:left="140"/>
              <w:spacing w:after="0"/>
              <w:rPr>
                <w:sz w:val="20"/>
                <w:szCs w:val="20"/>
                <w:color w:val="auto"/>
              </w:rPr>
            </w:pPr>
            <w:r>
              <w:rPr>
                <w:rFonts w:ascii="Arial" w:cs="Arial" w:eastAsia="Arial" w:hAnsi="Arial"/>
                <w:sz w:val="11"/>
                <w:szCs w:val="11"/>
                <w:color w:val="auto"/>
              </w:rPr>
              <w:t>Tranche B-2 Term Loan</w:t>
            </w:r>
          </w:p>
        </w:tc>
        <w:tc>
          <w:tcPr>
            <w:tcW w:w="1080" w:type="dxa"/>
            <w:vAlign w:val="bottom"/>
          </w:tcPr>
          <w:p>
            <w:pPr>
              <w:ind w:left="180"/>
              <w:spacing w:after="0"/>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4.07%</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11/3/2016</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2,489,192</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2,491,685</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2,495,938</w:t>
            </w:r>
          </w:p>
        </w:tc>
        <w:tc>
          <w:tcPr>
            <w:tcW w:w="40" w:type="dxa"/>
            <w:vAlign w:val="bottom"/>
          </w:tcPr>
          <w:p>
            <w:pPr>
              <w:spacing w:after="0"/>
              <w:rPr>
                <w:sz w:val="11"/>
                <w:szCs w:val="11"/>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Michaels Stores,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1/28/2020</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500,000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500,000</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501,110</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Microsemi Corporation</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2/20/2020</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2,688,796</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2,682,872</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2,697,212</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National CineMedia,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Leisure Goods/Activities/Movies</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3.46%</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11/26/2019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1,086,207</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1,050,910</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1,089,607</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Newsday,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Publishing</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10/12/2016</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3,000,000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2,996,317</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2,992,500</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Novelis,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B-2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3/10/2017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987,500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968,539</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988,734</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Novelis,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3/10/2017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3,920,009</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3,946,297</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3,924,909</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NPC International,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Services</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12/28/2018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490,833</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490,833</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495,128</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NRG Energy,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Utilities</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7/1/2018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3,940,000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3,910,795</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3,958,557</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NuSil Technology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4/7/2017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820,339</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820,339</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824,695</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OEP Pearl Dutch Acquisition B.V.</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Initial BV Term Loan</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6.50%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3/30/2018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148,875</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146,330</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149,992</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On Assignment,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Initial Term B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5/15/2019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2,413,048</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2,399,166</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2,434,114</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Onex Carestream Finance LP</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2/25/2017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4,909,816</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4,893,453</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4,916,739</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OpenLink International,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Initial Term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7.75%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10/30/2017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990,000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974,594</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988,763</w:t>
            </w:r>
          </w:p>
        </w:tc>
        <w:tc>
          <w:tcPr>
            <w:tcW w:w="40" w:type="dxa"/>
            <w:vAlign w:val="bottom"/>
          </w:tcPr>
          <w:p>
            <w:pPr>
              <w:spacing w:after="0"/>
              <w:rPr>
                <w:sz w:val="10"/>
                <w:szCs w:val="10"/>
                <w:color w:val="auto"/>
              </w:rPr>
            </w:pP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7"/>
              </w:rPr>
              <w:t>P.F. Chang’s China Bistro, Inc. (Wok</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Food/Drug Retailers</w:t>
            </w:r>
          </w:p>
        </w:tc>
        <w:tc>
          <w:tcPr>
            <w:tcW w:w="1500" w:type="dxa"/>
            <w:vAlign w:val="bottom"/>
          </w:tcPr>
          <w:p>
            <w:pPr>
              <w:ind w:left="140"/>
              <w:spacing w:after="0" w:line="112" w:lineRule="exact"/>
              <w:rPr>
                <w:sz w:val="20"/>
                <w:szCs w:val="20"/>
                <w:color w:val="auto"/>
              </w:rPr>
            </w:pPr>
            <w:r>
              <w:rPr>
                <w:rFonts w:ascii="Arial" w:cs="Arial" w:eastAsia="Arial" w:hAnsi="Arial"/>
                <w:sz w:val="11"/>
                <w:szCs w:val="11"/>
                <w:color w:val="auto"/>
              </w:rPr>
              <w:t>Term Borrowing</w:t>
            </w:r>
          </w:p>
        </w:tc>
        <w:tc>
          <w:tcPr>
            <w:tcW w:w="1080" w:type="dxa"/>
            <w:vAlign w:val="bottom"/>
          </w:tcPr>
          <w:p>
            <w:pPr>
              <w:ind w:left="180"/>
              <w:spacing w:after="0" w:line="112" w:lineRule="exact"/>
              <w:rPr>
                <w:sz w:val="20"/>
                <w:szCs w:val="20"/>
                <w:color w:val="auto"/>
              </w:rPr>
            </w:pPr>
            <w:r>
              <w:rPr>
                <w:rFonts w:ascii="Arial" w:cs="Arial" w:eastAsia="Arial" w:hAnsi="Arial"/>
                <w:sz w:val="11"/>
                <w:szCs w:val="11"/>
                <w:color w:val="auto"/>
              </w:rPr>
              <w:t>Loan</w:t>
            </w: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Acquisition Corp.)</w:t>
            </w:r>
          </w:p>
        </w:tc>
        <w:tc>
          <w:tcPr>
            <w:tcW w:w="17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5.25%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6/22/2019</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997,500</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988,412</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1,007,475</w:t>
            </w:r>
          </w:p>
        </w:tc>
        <w:tc>
          <w:tcPr>
            <w:tcW w:w="40" w:type="dxa"/>
            <w:vAlign w:val="bottom"/>
          </w:tcPr>
          <w:p>
            <w:pPr>
              <w:spacing w:after="0"/>
              <w:rPr>
                <w:sz w:val="11"/>
                <w:szCs w:val="11"/>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PATS Aircraft,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8.50%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10/6/2016</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357,331</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239,023</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276,932</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Penn National Gaming,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Term A Facility</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1.72%</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7/14/2016</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2,775,888</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2,719,125</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2,776,748</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Penn National Gaming,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 Facility</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7/16/2018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985,013</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983,123</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988,431</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PetCo Animal Supplies,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New Loans</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11/24/2017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1,496,173</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1,494,329</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1,501,784</w:t>
            </w:r>
          </w:p>
        </w:tc>
        <w:tc>
          <w:tcPr>
            <w:tcW w:w="40" w:type="dxa"/>
            <w:vAlign w:val="bottom"/>
          </w:tcPr>
          <w:p>
            <w:pPr>
              <w:spacing w:after="0"/>
              <w:rPr>
                <w:sz w:val="10"/>
                <w:szCs w:val="10"/>
                <w:color w:val="auto"/>
              </w:rPr>
            </w:pP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2"/>
              </w:rPr>
              <w:t>Pharmaceutical Product Development,</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50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2013 Term Loan</w:t>
            </w:r>
          </w:p>
        </w:tc>
        <w:tc>
          <w:tcPr>
            <w:tcW w:w="1080" w:type="dxa"/>
            <w:vAlign w:val="bottom"/>
            <w:shd w:val="clear" w:color="auto" w:fill="CCEEFF"/>
          </w:tcPr>
          <w:p>
            <w:pPr>
              <w:ind w:left="180"/>
              <w:spacing w:after="0" w:line="11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 (Jaguar Holdings, LLC)</w:t>
            </w:r>
          </w:p>
        </w:tc>
        <w:tc>
          <w:tcPr>
            <w:tcW w:w="17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12/5/2018</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1,980,000</w:t>
            </w:r>
          </w:p>
        </w:tc>
        <w:tc>
          <w:tcPr>
            <w:tcW w:w="960" w:type="dxa"/>
            <w:vAlign w:val="bottom"/>
            <w:shd w:val="clear" w:color="auto" w:fill="CCEEFF"/>
          </w:tcPr>
          <w:p>
            <w:pPr>
              <w:jc w:val="right"/>
              <w:ind w:right="226"/>
              <w:spacing w:after="0"/>
              <w:rPr>
                <w:sz w:val="20"/>
                <w:szCs w:val="20"/>
                <w:color w:val="auto"/>
              </w:rPr>
            </w:pPr>
            <w:r>
              <w:rPr>
                <w:rFonts w:ascii="Arial" w:cs="Arial" w:eastAsia="Arial" w:hAnsi="Arial"/>
                <w:sz w:val="11"/>
                <w:szCs w:val="11"/>
                <w:color w:val="auto"/>
              </w:rPr>
              <w:t>1,950,704</w:t>
            </w:r>
          </w:p>
        </w:tc>
        <w:tc>
          <w:tcPr>
            <w:tcW w:w="7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1,989,583</w:t>
            </w:r>
          </w:p>
        </w:tc>
        <w:tc>
          <w:tcPr>
            <w:tcW w:w="40" w:type="dxa"/>
            <w:vAlign w:val="bottom"/>
          </w:tcPr>
          <w:p>
            <w:pPr>
              <w:spacing w:after="0"/>
              <w:rPr>
                <w:sz w:val="11"/>
                <w:szCs w:val="11"/>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Physician Oncology Services, LP</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Delayed Draw Term Loan</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1/31/2017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51,020</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50,682</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50,765</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Physician Oncology Services, LP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Effective Date Term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7.75%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1/31/2017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419,961</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417,178</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417,861</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Pinnacle Foods Finance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Food Products</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Extended Initial Term Loan</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10/2/2016</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5,726,579</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5,491,534</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5,761,168</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Preferred Proppants,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7.50%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12/15/2016</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1,980,000</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1,949,170</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1,841,400</w:t>
            </w:r>
          </w:p>
        </w:tc>
        <w:tc>
          <w:tcPr>
            <w:tcW w:w="40" w:type="dxa"/>
            <w:vAlign w:val="bottom"/>
          </w:tcPr>
          <w:p>
            <w:pPr>
              <w:spacing w:after="0"/>
              <w:rPr>
                <w:sz w:val="10"/>
                <w:szCs w:val="10"/>
                <w:color w:val="auto"/>
              </w:rPr>
            </w:pP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Prestige Brands,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Drugs</w:t>
            </w:r>
          </w:p>
        </w:tc>
        <w:tc>
          <w:tcPr>
            <w:tcW w:w="1500" w:type="dxa"/>
            <w:vAlign w:val="bottom"/>
          </w:tcPr>
          <w:p>
            <w:pPr>
              <w:ind w:left="140"/>
              <w:spacing w:after="0" w:line="122" w:lineRule="exact"/>
              <w:rPr>
                <w:sz w:val="20"/>
                <w:szCs w:val="20"/>
                <w:color w:val="auto"/>
              </w:rPr>
            </w:pPr>
            <w:r>
              <w:rPr>
                <w:rFonts w:ascii="Arial" w:cs="Arial" w:eastAsia="Arial" w:hAnsi="Arial"/>
                <w:sz w:val="11"/>
                <w:szCs w:val="11"/>
                <w:color w:val="auto"/>
              </w:rPr>
              <w:t>Term B-1 Loan</w:t>
            </w:r>
          </w:p>
        </w:tc>
        <w:tc>
          <w:tcPr>
            <w:tcW w:w="1080" w:type="dxa"/>
            <w:vAlign w:val="bottom"/>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3.76%</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1/31/2019</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679,545</w:t>
            </w:r>
          </w:p>
        </w:tc>
        <w:tc>
          <w:tcPr>
            <w:tcW w:w="96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669,390</w:t>
            </w: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683,507</w:t>
            </w:r>
          </w:p>
        </w:tc>
        <w:tc>
          <w:tcPr>
            <w:tcW w:w="40" w:type="dxa"/>
            <w:vAlign w:val="bottom"/>
          </w:tcPr>
          <w:p>
            <w:pPr>
              <w:spacing w:after="0"/>
              <w:rPr>
                <w:sz w:val="10"/>
                <w:szCs w:val="10"/>
                <w:color w:val="auto"/>
              </w:rPr>
            </w:pP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Pro Mach,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50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108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Loan</w:t>
            </w:r>
          </w:p>
        </w:tc>
        <w:tc>
          <w:tcPr>
            <w:tcW w:w="120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7/6/2017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1,956,155</w:t>
            </w:r>
          </w:p>
        </w:tc>
        <w:tc>
          <w:tcPr>
            <w:tcW w:w="960" w:type="dxa"/>
            <w:vAlign w:val="bottom"/>
            <w:shd w:val="clear" w:color="auto" w:fill="CCEEFF"/>
          </w:tcPr>
          <w:p>
            <w:pPr>
              <w:jc w:val="right"/>
              <w:ind w:right="226"/>
              <w:spacing w:after="0" w:line="122" w:lineRule="exact"/>
              <w:rPr>
                <w:sz w:val="20"/>
                <w:szCs w:val="20"/>
                <w:color w:val="auto"/>
              </w:rPr>
            </w:pPr>
            <w:r>
              <w:rPr>
                <w:rFonts w:ascii="Arial" w:cs="Arial" w:eastAsia="Arial" w:hAnsi="Arial"/>
                <w:sz w:val="11"/>
                <w:szCs w:val="11"/>
                <w:color w:val="auto"/>
              </w:rPr>
              <w:t>1,941,853</w:t>
            </w:r>
          </w:p>
        </w:tc>
        <w:tc>
          <w:tcPr>
            <w:tcW w:w="78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1,961,045</w:t>
            </w:r>
          </w:p>
        </w:tc>
        <w:tc>
          <w:tcPr>
            <w:tcW w:w="40" w:type="dxa"/>
            <w:vAlign w:val="bottom"/>
          </w:tcPr>
          <w:p>
            <w:pPr>
              <w:spacing w:after="0"/>
              <w:rPr>
                <w:sz w:val="10"/>
                <w:szCs w:val="10"/>
                <w:color w:val="auto"/>
              </w:rPr>
            </w:pPr>
          </w:p>
        </w:tc>
      </w:tr>
      <w:tr>
        <w:trPr>
          <w:trHeight w:val="136"/>
        </w:trPr>
        <w:tc>
          <w:tcPr>
            <w:tcW w:w="1760" w:type="dxa"/>
            <w:vAlign w:val="bottom"/>
          </w:tcPr>
          <w:p>
            <w:pPr>
              <w:spacing w:after="0"/>
              <w:rPr>
                <w:sz w:val="20"/>
                <w:szCs w:val="20"/>
                <w:color w:val="auto"/>
              </w:rPr>
            </w:pPr>
            <w:r>
              <w:rPr>
                <w:rFonts w:ascii="Arial" w:cs="Arial" w:eastAsia="Arial" w:hAnsi="Arial"/>
                <w:sz w:val="11"/>
                <w:szCs w:val="11"/>
                <w:color w:val="auto"/>
              </w:rPr>
              <w:t>Quintiles Transnational Corp.</w:t>
            </w:r>
          </w:p>
        </w:tc>
        <w:tc>
          <w:tcPr>
            <w:tcW w:w="1720" w:type="dxa"/>
            <w:vAlign w:val="bottom"/>
          </w:tcPr>
          <w:p>
            <w:pPr>
              <w:ind w:left="80"/>
              <w:spacing w:after="0"/>
              <w:rPr>
                <w:sz w:val="20"/>
                <w:szCs w:val="20"/>
                <w:color w:val="auto"/>
              </w:rPr>
            </w:pPr>
            <w:r>
              <w:rPr>
                <w:rFonts w:ascii="Arial" w:cs="Arial" w:eastAsia="Arial" w:hAnsi="Arial"/>
                <w:sz w:val="11"/>
                <w:szCs w:val="11"/>
                <w:color w:val="auto"/>
              </w:rPr>
              <w:t>Conglomerate</w:t>
            </w:r>
          </w:p>
        </w:tc>
        <w:tc>
          <w:tcPr>
            <w:tcW w:w="1500" w:type="dxa"/>
            <w:vAlign w:val="bottom"/>
          </w:tcPr>
          <w:p>
            <w:pPr>
              <w:ind w:left="140"/>
              <w:spacing w:after="0"/>
              <w:rPr>
                <w:sz w:val="20"/>
                <w:szCs w:val="20"/>
                <w:color w:val="auto"/>
              </w:rPr>
            </w:pPr>
            <w:r>
              <w:rPr>
                <w:rFonts w:ascii="Arial" w:cs="Arial" w:eastAsia="Arial" w:hAnsi="Arial"/>
                <w:sz w:val="11"/>
                <w:szCs w:val="11"/>
                <w:color w:val="auto"/>
              </w:rPr>
              <w:t>Term B-2 Loan</w:t>
            </w:r>
          </w:p>
        </w:tc>
        <w:tc>
          <w:tcPr>
            <w:tcW w:w="1080" w:type="dxa"/>
            <w:vAlign w:val="bottom"/>
          </w:tcPr>
          <w:p>
            <w:pPr>
              <w:ind w:left="180"/>
              <w:spacing w:after="0"/>
              <w:rPr>
                <w:sz w:val="20"/>
                <w:szCs w:val="20"/>
                <w:color w:val="auto"/>
              </w:rPr>
            </w:pPr>
            <w:r>
              <w:rPr>
                <w:rFonts w:ascii="Arial" w:cs="Arial" w:eastAsia="Arial" w:hAnsi="Arial"/>
                <w:sz w:val="11"/>
                <w:szCs w:val="11"/>
                <w:color w:val="auto"/>
              </w:rPr>
              <w:t>Loan</w:t>
            </w:r>
          </w:p>
        </w:tc>
        <w:tc>
          <w:tcPr>
            <w:tcW w:w="1200" w:type="dxa"/>
            <w:vAlign w:val="bottom"/>
          </w:tcPr>
          <w:p>
            <w:pPr>
              <w:jc w:val="right"/>
              <w:ind w:right="186"/>
              <w:spacing w:after="0"/>
              <w:rPr>
                <w:sz w:val="20"/>
                <w:szCs w:val="20"/>
                <w:color w:val="auto"/>
              </w:rPr>
            </w:pPr>
            <w:r>
              <w:rPr>
                <w:rFonts w:ascii="Arial" w:cs="Arial" w:eastAsia="Arial" w:hAnsi="Arial"/>
                <w:sz w:val="11"/>
                <w:szCs w:val="11"/>
                <w:color w:val="auto"/>
              </w:rPr>
              <w:t>4.50%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6/8/2018</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26"/>
              <w:spacing w:after="0"/>
              <w:rPr>
                <w:sz w:val="20"/>
                <w:szCs w:val="20"/>
                <w:color w:val="auto"/>
              </w:rPr>
            </w:pPr>
            <w:r>
              <w:rPr>
                <w:rFonts w:ascii="Arial" w:cs="Arial" w:eastAsia="Arial" w:hAnsi="Arial"/>
                <w:sz w:val="11"/>
                <w:szCs w:val="11"/>
                <w:color w:val="auto"/>
              </w:rPr>
              <w:t>3,681,541</w:t>
            </w:r>
          </w:p>
        </w:tc>
        <w:tc>
          <w:tcPr>
            <w:tcW w:w="960" w:type="dxa"/>
            <w:vAlign w:val="bottom"/>
          </w:tcPr>
          <w:p>
            <w:pPr>
              <w:jc w:val="right"/>
              <w:ind w:right="226"/>
              <w:spacing w:after="0"/>
              <w:rPr>
                <w:sz w:val="20"/>
                <w:szCs w:val="20"/>
                <w:color w:val="auto"/>
              </w:rPr>
            </w:pPr>
            <w:r>
              <w:rPr>
                <w:rFonts w:ascii="Arial" w:cs="Arial" w:eastAsia="Arial" w:hAnsi="Arial"/>
                <w:sz w:val="11"/>
                <w:szCs w:val="11"/>
                <w:color w:val="auto"/>
              </w:rPr>
              <w:t>3,653,803</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3,716,810</w:t>
            </w:r>
          </w:p>
        </w:tc>
        <w:tc>
          <w:tcPr>
            <w:tcW w:w="40" w:type="dxa"/>
            <w:vAlign w:val="bottom"/>
          </w:tcPr>
          <w:p>
            <w:pPr>
              <w:spacing w:after="0"/>
              <w:rPr>
                <w:sz w:val="11"/>
                <w:szCs w:val="11"/>
                <w:color w:val="auto"/>
              </w:rPr>
            </w:pPr>
          </w:p>
        </w:tc>
      </w:tr>
      <w:tr>
        <w:trPr>
          <w:trHeight w:val="333"/>
        </w:trPr>
        <w:tc>
          <w:tcPr>
            <w:tcW w:w="1760" w:type="dxa"/>
            <w:vAlign w:val="bottom"/>
            <w:tcBorders>
              <w:bottom w:val="single" w:sz="8" w:color="010101"/>
            </w:tcBorders>
          </w:tcPr>
          <w:p>
            <w:pPr>
              <w:spacing w:after="0"/>
              <w:rPr>
                <w:sz w:val="24"/>
                <w:szCs w:val="24"/>
                <w:color w:val="auto"/>
              </w:rPr>
            </w:pPr>
          </w:p>
        </w:tc>
        <w:tc>
          <w:tcPr>
            <w:tcW w:w="1720" w:type="dxa"/>
            <w:vAlign w:val="bottom"/>
            <w:tcBorders>
              <w:bottom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82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960" w:type="dxa"/>
            <w:vAlign w:val="bottom"/>
            <w:tcBorders>
              <w:bottom w:val="single" w:sz="8" w:color="010101"/>
            </w:tcBorders>
          </w:tcPr>
          <w:p>
            <w:pPr>
              <w:spacing w:after="0"/>
              <w:rPr>
                <w:sz w:val="24"/>
                <w:szCs w:val="24"/>
                <w:color w:val="auto"/>
              </w:rPr>
            </w:pPr>
          </w:p>
        </w:tc>
        <w:tc>
          <w:tcPr>
            <w:tcW w:w="7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760" w:type="dxa"/>
            <w:vAlign w:val="bottom"/>
            <w:shd w:val="clear" w:color="auto" w:fill="CCEEFF"/>
          </w:tcPr>
          <w:p>
            <w:pPr>
              <w:spacing w:after="0"/>
              <w:rPr>
                <w:sz w:val="20"/>
                <w:szCs w:val="20"/>
                <w:color w:val="auto"/>
              </w:rPr>
            </w:pPr>
            <w:r>
              <w:rPr>
                <w:rFonts w:ascii="Arial" w:cs="Arial" w:eastAsia="Arial" w:hAnsi="Arial"/>
                <w:sz w:val="11"/>
                <w:szCs w:val="11"/>
                <w:color w:val="auto"/>
              </w:rPr>
              <w:t>Ranpak Corp.</w:t>
            </w:r>
          </w:p>
        </w:tc>
        <w:tc>
          <w:tcPr>
            <w:tcW w:w="1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Food/Drug Retailers</w:t>
            </w:r>
          </w:p>
        </w:tc>
        <w:tc>
          <w:tcPr>
            <w:tcW w:w="1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USD Term Loan (First Lien)</w:t>
            </w:r>
          </w:p>
        </w:tc>
        <w:tc>
          <w:tcPr>
            <w:tcW w:w="98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4/20/2017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2,396,012</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2,387,700</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2,384,032</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Rexnord LLC/RBS Global,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B Loan Refinancing</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4/1/2018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1,995,000</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1,995,000</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2,005,454</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Reynolds Group Holdings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U.S.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9/28/2018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1,995,000</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1,995,000</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2,017,244</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Rocket Software,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Loan (First Lien)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2/8/2018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1,980,000</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1,947,152</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1,986,197</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Roundy’s Supermarkets,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Food/Drug Retailers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2/13/2019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992,500</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979,782</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937,297</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Tranche A-2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Guides, Inc.</w:t>
            </w: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2.46%</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3/29/2017</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1,860,226</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1,843,739</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1,855,576</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Tranche B-2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Guides, Inc.</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3/29/2019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1,384,706</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1,378,679</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1,389,899</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w w:val="99"/>
              </w:rPr>
              <w:t>Royal Adhesives and Sealants,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A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11/29/2015</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4,498,210</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4,459,450</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4,432,399</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RPI Finance Trust</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Drugs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6.75 Year Term Loan(2012)</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5/9/2018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5,398,833</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5,373,794</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5,449,474</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Scientific Games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Tranche B-1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3.21%</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6/30/2015</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1,977,810</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1,965,672</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1,985,226</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Scitor Corporation</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2/15/2017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463,977</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462,444</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460,692</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9"/>
              </w:rPr>
              <w:t>Securus Technologies Holdings, Inc</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Telecommunications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Tranche 2 Term Loan (First</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w w:val="98"/>
              </w:rPr>
              <w:t>(fka Securus Technologies, Inc.)</w:t>
            </w:r>
          </w:p>
        </w:tc>
        <w:tc>
          <w:tcPr>
            <w:tcW w:w="1720" w:type="dxa"/>
            <w:vAlign w:val="bottom"/>
          </w:tcPr>
          <w:p>
            <w:pPr>
              <w:spacing w:after="0"/>
              <w:rPr>
                <w:sz w:val="11"/>
                <w:szCs w:val="11"/>
                <w:color w:val="auto"/>
              </w:rPr>
            </w:pPr>
          </w:p>
        </w:tc>
        <w:tc>
          <w:tcPr>
            <w:tcW w:w="1580" w:type="dxa"/>
            <w:vAlign w:val="bottom"/>
          </w:tcPr>
          <w:p>
            <w:pPr>
              <w:ind w:left="140"/>
              <w:spacing w:after="0"/>
              <w:rPr>
                <w:sz w:val="20"/>
                <w:szCs w:val="20"/>
                <w:color w:val="auto"/>
              </w:rPr>
            </w:pPr>
            <w:r>
              <w:rPr>
                <w:rFonts w:ascii="Arial" w:cs="Arial" w:eastAsia="Arial" w:hAnsi="Arial"/>
                <w:sz w:val="11"/>
                <w:szCs w:val="11"/>
                <w:color w:val="auto"/>
              </w:rPr>
              <w:t>Lien)</w:t>
            </w: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6.50%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5/31/2017</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1,985,000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1,967,961</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1,975,075</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Sensata Technology BV/Sensata</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2"/>
        </w:trPr>
        <w:tc>
          <w:tcPr>
            <w:tcW w:w="17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Technology Finance Company,</w:t>
            </w:r>
          </w:p>
        </w:tc>
        <w:tc>
          <w:tcPr>
            <w:tcW w:w="17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LLC</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5/12/2018</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2,969,849</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2,969,849</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2,986,540</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Sensus USA Inc. (fka Sensus</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Utilities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Term Loan (First Lien)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Metering Systems)</w:t>
            </w: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4.75%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5/9/2017</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1,965,000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1,958,111</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1,961,070</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ServiceMaster Company, The</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4.45%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1/31/2017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2,851,387</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2,861,398</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2,857,089</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SI Organization, Inc., The</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New Tranche B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11/22/2016</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3,920,000</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3,895,621</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3,906,946</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Sonneborn,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Initial US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6.50%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3/30/2018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843,625</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829,202</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849,952</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Sophia, L.P.</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B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7/19/2018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969,244</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954,866</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976,310</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SRA International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6.50%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7/20/2018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3,268,571</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3,165,384</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3,154,171</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SRAM,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Loan (First Lien)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4.77%</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6/7/2018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3,441,181</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3,411,986</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3,458,386</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SS&amp;C Technologies, Inc., /Sunshine</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Funded Term B-1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Acquisition II, Inc.</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6/7/2019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811,071</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803,796</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817,138</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8"/>
              </w:rPr>
              <w:t>SS&amp;C Technologies, Inc., /Sunshine</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Funded Term B-2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Acquisition II, Inc.</w:t>
            </w: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5.00%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6/7/2019</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83,904</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83,151</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84,531</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SunCoke Energy,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7/26/2018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1,367,311</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1,357,359</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1,370,729</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SunGard Data Systems Inc (Solar</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Tranche B U.S. 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Capital Corp.)</w:t>
            </w: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3.85%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2/28/2016</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4,253,748</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4,184,167</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4,260,086</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SunGard Data Systems Inc (Solar</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Tranche C 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Capital Corp.)</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3.95%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2/28/2017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497,687</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493,012</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500,544</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Publishing</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11.00%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12/31/2015</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289,811</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281,918</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214,875</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Syniverse Holdings,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Initial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4/23/2019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497,500</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493,115</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500,609</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Taminco Global Chemical</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Chemicals/Plastics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w w:val="95"/>
              </w:rPr>
              <w:t>Tranche B-2 Dollar 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Corporation</w:t>
            </w: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4.25%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2/15/2019</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1,488,750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1,478,991</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1,498,859</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Team Health,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6/29/2018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4,432,500</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4,415,534</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4,432,500</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TECTUM HOLDINGS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7.50%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12/3/2015</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4,000,000</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3,981,089</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3,980,000</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w w:val="98"/>
              </w:rPr>
              <w:t>Texas Competitive Electric Holdings</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Utilities</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2014 Term Loan (Non-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Company, LLC (TXU)</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Extending)</w:t>
            </w: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3.73%</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10/10/2014</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5,580,862</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5,527,535</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4,012,249</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Tomkins, LLC / Tomkins, Inc. (f/k/a</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Term B-2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Pinafore, LLC / Pinafore, Inc.)</w:t>
            </w: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3.75%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9/29/2016</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2,431,854</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2,437,744</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2,450,093</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TransDigm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Tranche C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2/28/2020</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4,945,974</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4,955,789</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4,955,587</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Tricorbraun Inc. (fka Kranson</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Containers/Glass Products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Industries, Inc.)</w:t>
            </w: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5.50%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5/3/2018</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1,990,000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1,981,374</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2,008,666</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Truven Health Analytics Inc. (fka</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Healthcare</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New Tranche B 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22"/>
        </w:trPr>
        <w:tc>
          <w:tcPr>
            <w:tcW w:w="1760" w:type="dxa"/>
            <w:vAlign w:val="bottom"/>
            <w:shd w:val="clear" w:color="auto" w:fill="CCEEFF"/>
          </w:tcPr>
          <w:p>
            <w:pPr>
              <w:ind w:left="180"/>
              <w:spacing w:after="0" w:line="122" w:lineRule="exact"/>
              <w:rPr>
                <w:sz w:val="20"/>
                <w:szCs w:val="20"/>
                <w:color w:val="auto"/>
              </w:rPr>
            </w:pPr>
            <w:r>
              <w:rPr>
                <w:rFonts w:ascii="Arial" w:cs="Arial" w:eastAsia="Arial" w:hAnsi="Arial"/>
                <w:sz w:val="11"/>
                <w:szCs w:val="11"/>
                <w:color w:val="auto"/>
              </w:rPr>
              <w:t>Thomson Reuters (Healthcare)</w:t>
            </w:r>
          </w:p>
        </w:tc>
        <w:tc>
          <w:tcPr>
            <w:tcW w:w="1720" w:type="dxa"/>
            <w:vAlign w:val="bottom"/>
            <w:shd w:val="clear" w:color="auto" w:fill="CCEEFF"/>
          </w:tcPr>
          <w:p>
            <w:pPr>
              <w:spacing w:after="0"/>
              <w:rPr>
                <w:sz w:val="10"/>
                <w:szCs w:val="10"/>
                <w:color w:val="auto"/>
              </w:rPr>
            </w:pPr>
          </w:p>
        </w:tc>
        <w:tc>
          <w:tcPr>
            <w:tcW w:w="158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5.75%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6/6/2019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497,500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488,158</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501,853</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Tube City IMS Corporation</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Steel</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3/20/2019</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992,500</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983,864</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1,001,184</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U.S. Security Associates Holdings,</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Delayed Draw 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6.00%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7/28/2017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161,778</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160,586</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162,688</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U.S. Security Associates Holdings,</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Term Loan B</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Inc.</w:t>
            </w: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6.00%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7/28/2017</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123,747</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123,243</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124,444</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U.S. Security Associates Holdings,</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Term Loan B</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Inc.</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6.00%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7/28/2017</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826,540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820,452</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831,193</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U.S. Silica Company</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4.75%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6/8/2017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1,970,000</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1,962,974</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1,974,925</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U.S. Xpress Enterprises,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Extended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9.00%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11/13/2016</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2,913,628</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2,858,339</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2,906,344</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3"/>
              </w:rPr>
              <w:t>United Surgical Partners International,</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Healthcare</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New Tranche B Term Loan</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Inc.</w:t>
            </w:r>
          </w:p>
        </w:tc>
        <w:tc>
          <w:tcPr>
            <w:tcW w:w="17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6.00%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4/3/2019</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2,481,281</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2,448,808</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2,486,715</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Univar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B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6/30/2017</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3,924,924</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3,924,007</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3,902,670</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Univision Communications Inc.</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Telecommunications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2013 Converted Extended</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80" w:type="dxa"/>
            <w:vAlign w:val="bottom"/>
          </w:tcPr>
          <w:p>
            <w:pPr>
              <w:ind w:left="140"/>
              <w:spacing w:after="0"/>
              <w:rPr>
                <w:sz w:val="20"/>
                <w:szCs w:val="20"/>
                <w:color w:val="auto"/>
              </w:rPr>
            </w:pPr>
            <w:r>
              <w:rPr>
                <w:rFonts w:ascii="Arial" w:cs="Arial" w:eastAsia="Arial" w:hAnsi="Arial"/>
                <w:sz w:val="11"/>
                <w:szCs w:val="11"/>
                <w:color w:val="auto"/>
              </w:rPr>
              <w:t>First-Lien Term Loan</w:t>
            </w: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4.75%</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3/1/2020</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3,000,000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2,981,257</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3,000,870</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UPC Financing Partnership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Broadcast Radio and Television</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Facility AF</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1/31/2021</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1,000,000</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970,954</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1,010,000</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w w:val="92"/>
              </w:rPr>
              <w:t>Valeant Pharmaceuticals International,</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Drugs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Series D-1 Tranche B Term</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ind w:left="180"/>
              <w:spacing w:after="0"/>
              <w:rPr>
                <w:sz w:val="20"/>
                <w:szCs w:val="20"/>
                <w:color w:val="auto"/>
              </w:rPr>
            </w:pPr>
            <w:r>
              <w:rPr>
                <w:rFonts w:ascii="Arial" w:cs="Arial" w:eastAsia="Arial" w:hAnsi="Arial"/>
                <w:sz w:val="11"/>
                <w:szCs w:val="11"/>
                <w:color w:val="auto"/>
              </w:rPr>
              <w:t>Inc.</w:t>
            </w:r>
          </w:p>
        </w:tc>
        <w:tc>
          <w:tcPr>
            <w:tcW w:w="1720" w:type="dxa"/>
            <w:vAlign w:val="bottom"/>
          </w:tcPr>
          <w:p>
            <w:pPr>
              <w:spacing w:after="0"/>
              <w:rPr>
                <w:sz w:val="11"/>
                <w:szCs w:val="11"/>
                <w:color w:val="auto"/>
              </w:rPr>
            </w:pPr>
          </w:p>
        </w:tc>
        <w:tc>
          <w:tcPr>
            <w:tcW w:w="1580" w:type="dxa"/>
            <w:vAlign w:val="bottom"/>
          </w:tcPr>
          <w:p>
            <w:pPr>
              <w:ind w:left="140"/>
              <w:spacing w:after="0"/>
              <w:rPr>
                <w:sz w:val="20"/>
                <w:szCs w:val="20"/>
                <w:color w:val="auto"/>
              </w:rPr>
            </w:pPr>
            <w:r>
              <w:rPr>
                <w:rFonts w:ascii="Arial" w:cs="Arial" w:eastAsia="Arial" w:hAnsi="Arial"/>
                <w:sz w:val="11"/>
                <w:szCs w:val="11"/>
                <w:color w:val="auto"/>
              </w:rPr>
              <w:t>Loan</w:t>
            </w: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3.50%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2/13/2019</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2,985,000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2,972,608</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3,006,462</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Vantiv, LLC (fka Fifth Third</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Tranche B Term Loan</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Processing Solutions, LLC)</w:t>
            </w: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3/27/2019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1,063,393</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1,058,765</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1,065,520</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Verint Systems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Loan 2011</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4.50%</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10/27/2017</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1,920,000</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1,913,087</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1,921,920</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Vertafore,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 (First Lien)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7/29/2016</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2,984,781</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2,984,781</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3,018,360</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Visant Corporation (fka Jostens)</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Leisure Goods/Activities/Movies</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Tranche B Term Loan (2011)</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12/22/2016</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3,696,942</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3,696,942</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3,518,269</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Washington Inventory Service</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U.S. Term Loan (First Lien)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5.75%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12/20/2018</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2,000,000</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2,029,513</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2,007,500</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Weight Watchers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Food Products</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D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2.56%</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6/30/2016</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2,700,529</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2,667,383</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2,701,879</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Wendy’s International,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Services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5/15/2019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997,500</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988,532</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1,006,098</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rPr>
              <w:t>West Corporation</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Term B-8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6/30/2018</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2,971,535</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3,023,298</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2,978,964</w:t>
            </w:r>
          </w:p>
        </w:tc>
      </w:tr>
      <w:tr>
        <w:trPr>
          <w:trHeight w:val="122"/>
        </w:trPr>
        <w:tc>
          <w:tcPr>
            <w:tcW w:w="176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Wolverine World Wide,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Clothing/Textiles</w:t>
            </w:r>
          </w:p>
        </w:tc>
        <w:tc>
          <w:tcPr>
            <w:tcW w:w="1580" w:type="dxa"/>
            <w:vAlign w:val="bottom"/>
            <w:shd w:val="clear" w:color="auto" w:fill="CCEEFF"/>
          </w:tcPr>
          <w:p>
            <w:pPr>
              <w:ind w:left="140"/>
              <w:spacing w:after="0" w:line="122" w:lineRule="exact"/>
              <w:rPr>
                <w:sz w:val="20"/>
                <w:szCs w:val="20"/>
                <w:color w:val="auto"/>
              </w:rPr>
            </w:pPr>
            <w:r>
              <w:rPr>
                <w:rFonts w:ascii="Arial" w:cs="Arial" w:eastAsia="Arial" w:hAnsi="Arial"/>
                <w:sz w:val="11"/>
                <w:szCs w:val="11"/>
                <w:color w:val="auto"/>
              </w:rPr>
              <w:t>Tranche B Term Loan</w:t>
            </w:r>
          </w:p>
        </w:tc>
        <w:tc>
          <w:tcPr>
            <w:tcW w:w="9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10/9/2019</w:t>
            </w:r>
          </w:p>
        </w:tc>
        <w:tc>
          <w:tcPr>
            <w:tcW w:w="52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line="122" w:lineRule="exact"/>
              <w:rPr>
                <w:sz w:val="20"/>
                <w:szCs w:val="20"/>
                <w:color w:val="auto"/>
              </w:rPr>
            </w:pPr>
            <w:r>
              <w:rPr>
                <w:rFonts w:ascii="Arial" w:cs="Arial" w:eastAsia="Arial" w:hAnsi="Arial"/>
                <w:sz w:val="11"/>
                <w:szCs w:val="11"/>
                <w:color w:val="auto"/>
              </w:rPr>
              <w:t>854,821</w:t>
            </w:r>
          </w:p>
        </w:tc>
        <w:tc>
          <w:tcPr>
            <w:tcW w:w="16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846,633</w:t>
            </w:r>
          </w:p>
        </w:tc>
        <w:tc>
          <w:tcPr>
            <w:tcW w:w="180" w:type="dxa"/>
            <w:vAlign w:val="bottom"/>
            <w:shd w:val="clear" w:color="auto" w:fill="CCEEFF"/>
          </w:tcPr>
          <w:p>
            <w:pPr>
              <w:spacing w:after="0"/>
              <w:rPr>
                <w:sz w:val="10"/>
                <w:szCs w:val="10"/>
                <w:color w:val="auto"/>
              </w:rPr>
            </w:pPr>
          </w:p>
        </w:tc>
        <w:tc>
          <w:tcPr>
            <w:tcW w:w="72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861,233</w:t>
            </w:r>
          </w:p>
        </w:tc>
      </w:tr>
      <w:tr>
        <w:trPr>
          <w:trHeight w:val="122"/>
        </w:trPr>
        <w:tc>
          <w:tcPr>
            <w:tcW w:w="1760" w:type="dxa"/>
            <w:vAlign w:val="bottom"/>
          </w:tcPr>
          <w:p>
            <w:pPr>
              <w:spacing w:after="0" w:line="122" w:lineRule="exact"/>
              <w:rPr>
                <w:sz w:val="20"/>
                <w:szCs w:val="20"/>
                <w:color w:val="auto"/>
              </w:rPr>
            </w:pPr>
            <w:r>
              <w:rPr>
                <w:rFonts w:ascii="Arial" w:cs="Arial" w:eastAsia="Arial" w:hAnsi="Arial"/>
                <w:sz w:val="11"/>
                <w:szCs w:val="11"/>
                <w:color w:val="auto"/>
                <w:w w:val="99"/>
              </w:rPr>
              <w:t>Yankee Candle Company, Inc., The</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580" w:type="dxa"/>
            <w:vAlign w:val="bottom"/>
          </w:tcPr>
          <w:p>
            <w:pPr>
              <w:ind w:left="140"/>
              <w:spacing w:after="0" w:line="122" w:lineRule="exact"/>
              <w:rPr>
                <w:sz w:val="20"/>
                <w:szCs w:val="20"/>
                <w:color w:val="auto"/>
              </w:rPr>
            </w:pPr>
            <w:r>
              <w:rPr>
                <w:rFonts w:ascii="Arial" w:cs="Arial" w:eastAsia="Arial" w:hAnsi="Arial"/>
                <w:sz w:val="11"/>
                <w:szCs w:val="11"/>
                <w:color w:val="auto"/>
              </w:rPr>
              <w:t>Initial Term Loan</w:t>
            </w:r>
          </w:p>
        </w:tc>
        <w:tc>
          <w:tcPr>
            <w:tcW w:w="9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2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5.25%</w:t>
            </w:r>
          </w:p>
        </w:tc>
        <w:tc>
          <w:tcPr>
            <w:tcW w:w="82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4/2/2019</w:t>
            </w:r>
          </w:p>
        </w:tc>
        <w:tc>
          <w:tcPr>
            <w:tcW w:w="52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2,256,466</w:t>
            </w:r>
          </w:p>
        </w:tc>
        <w:tc>
          <w:tcPr>
            <w:tcW w:w="160" w:type="dxa"/>
            <w:vAlign w:val="bottom"/>
          </w:tcPr>
          <w:p>
            <w:pPr>
              <w:spacing w:after="0"/>
              <w:rPr>
                <w:sz w:val="10"/>
                <w:szCs w:val="10"/>
                <w:color w:val="auto"/>
              </w:rPr>
            </w:pP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2,236,833</w:t>
            </w:r>
          </w:p>
        </w:tc>
        <w:tc>
          <w:tcPr>
            <w:tcW w:w="18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2,268,876</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BABSN 2007-1A</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Floating - 01/2021 - D1 -</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ABS</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05617AAA9</w:t>
            </w: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3.55%</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1/18/2021</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1,500,000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1,258,888</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1,050,000</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GALE 2007-3A</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Floating - 04/2021 - E -</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ABS</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80" w:type="dxa"/>
            <w:vAlign w:val="bottom"/>
          </w:tcPr>
          <w:p>
            <w:pPr>
              <w:ind w:left="140"/>
              <w:spacing w:after="0"/>
              <w:rPr>
                <w:sz w:val="20"/>
                <w:szCs w:val="20"/>
                <w:color w:val="auto"/>
              </w:rPr>
            </w:pPr>
            <w:r>
              <w:rPr>
                <w:rFonts w:ascii="Arial" w:cs="Arial" w:eastAsia="Arial" w:hAnsi="Arial"/>
                <w:sz w:val="11"/>
                <w:szCs w:val="11"/>
                <w:color w:val="auto"/>
              </w:rPr>
              <w:t>363205AA3</w:t>
            </w: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3.80%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4/19/2021</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4,000,000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3,386,571</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2,800,000</w:t>
            </w:r>
          </w:p>
        </w:tc>
      </w:tr>
      <w:tr>
        <w:trPr>
          <w:trHeight w:val="112"/>
        </w:trPr>
        <w:tc>
          <w:tcPr>
            <w:tcW w:w="176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KATO 2006-9A</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580" w:type="dxa"/>
            <w:vAlign w:val="bottom"/>
            <w:shd w:val="clear" w:color="auto" w:fill="CCEEFF"/>
          </w:tcPr>
          <w:p>
            <w:pPr>
              <w:ind w:left="140"/>
              <w:spacing w:after="0" w:line="112" w:lineRule="exact"/>
              <w:rPr>
                <w:sz w:val="20"/>
                <w:szCs w:val="20"/>
                <w:color w:val="auto"/>
              </w:rPr>
            </w:pPr>
            <w:r>
              <w:rPr>
                <w:rFonts w:ascii="Arial" w:cs="Arial" w:eastAsia="Arial" w:hAnsi="Arial"/>
                <w:sz w:val="11"/>
                <w:szCs w:val="11"/>
                <w:color w:val="auto"/>
              </w:rPr>
              <w:t>Floating - 01/2019 - B2L -</w:t>
            </w:r>
          </w:p>
        </w:tc>
        <w:tc>
          <w:tcPr>
            <w:tcW w:w="9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ABS</w:t>
            </w:r>
          </w:p>
        </w:tc>
        <w:tc>
          <w:tcPr>
            <w:tcW w:w="12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31"/>
        </w:trPr>
        <w:tc>
          <w:tcPr>
            <w:tcW w:w="176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5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486010AA9</w:t>
            </w:r>
          </w:p>
        </w:tc>
        <w:tc>
          <w:tcPr>
            <w:tcW w:w="98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3.80%</w:t>
            </w:r>
          </w:p>
        </w:tc>
        <w:tc>
          <w:tcPr>
            <w:tcW w:w="82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1/25/2019</w:t>
            </w:r>
          </w:p>
        </w:tc>
        <w:tc>
          <w:tcPr>
            <w:tcW w:w="52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5,000,000</w:t>
            </w:r>
          </w:p>
        </w:tc>
        <w:tc>
          <w:tcPr>
            <w:tcW w:w="1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4,339,337</w:t>
            </w: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3,500,000</w:t>
            </w:r>
          </w:p>
        </w:tc>
      </w:tr>
      <w:tr>
        <w:trPr>
          <w:trHeight w:val="112"/>
        </w:trPr>
        <w:tc>
          <w:tcPr>
            <w:tcW w:w="1760" w:type="dxa"/>
            <w:vAlign w:val="bottom"/>
          </w:tcPr>
          <w:p>
            <w:pPr>
              <w:spacing w:after="0" w:line="112" w:lineRule="exact"/>
              <w:rPr>
                <w:sz w:val="20"/>
                <w:szCs w:val="20"/>
                <w:color w:val="auto"/>
              </w:rPr>
            </w:pPr>
            <w:r>
              <w:rPr>
                <w:rFonts w:ascii="Arial" w:cs="Arial" w:eastAsia="Arial" w:hAnsi="Arial"/>
                <w:sz w:val="11"/>
                <w:szCs w:val="11"/>
                <w:color w:val="auto"/>
              </w:rPr>
              <w:t>STCLO 2007-6A</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580" w:type="dxa"/>
            <w:vAlign w:val="bottom"/>
          </w:tcPr>
          <w:p>
            <w:pPr>
              <w:ind w:left="140"/>
              <w:spacing w:after="0" w:line="112" w:lineRule="exact"/>
              <w:rPr>
                <w:sz w:val="20"/>
                <w:szCs w:val="20"/>
                <w:color w:val="auto"/>
              </w:rPr>
            </w:pPr>
            <w:r>
              <w:rPr>
                <w:rFonts w:ascii="Arial" w:cs="Arial" w:eastAsia="Arial" w:hAnsi="Arial"/>
                <w:sz w:val="11"/>
                <w:szCs w:val="11"/>
                <w:color w:val="auto"/>
              </w:rPr>
              <w:t>Floating - 04/2021 - D-</w:t>
            </w:r>
          </w:p>
        </w:tc>
        <w:tc>
          <w:tcPr>
            <w:tcW w:w="980" w:type="dxa"/>
            <w:vAlign w:val="bottom"/>
          </w:tcPr>
          <w:p>
            <w:pPr>
              <w:ind w:left="100"/>
              <w:spacing w:after="0" w:line="112" w:lineRule="exact"/>
              <w:rPr>
                <w:sz w:val="20"/>
                <w:szCs w:val="20"/>
                <w:color w:val="auto"/>
              </w:rPr>
            </w:pPr>
            <w:r>
              <w:rPr>
                <w:rFonts w:ascii="Arial" w:cs="Arial" w:eastAsia="Arial" w:hAnsi="Arial"/>
                <w:sz w:val="11"/>
                <w:szCs w:val="11"/>
                <w:color w:val="auto"/>
              </w:rPr>
              <w:t>ABS</w:t>
            </w: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31"/>
        </w:trPr>
        <w:tc>
          <w:tcPr>
            <w:tcW w:w="17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580" w:type="dxa"/>
            <w:vAlign w:val="bottom"/>
          </w:tcPr>
          <w:p>
            <w:pPr>
              <w:ind w:left="140"/>
              <w:spacing w:after="0"/>
              <w:rPr>
                <w:sz w:val="20"/>
                <w:szCs w:val="20"/>
                <w:color w:val="auto"/>
              </w:rPr>
            </w:pPr>
            <w:r>
              <w:rPr>
                <w:rFonts w:ascii="Arial" w:cs="Arial" w:eastAsia="Arial" w:hAnsi="Arial"/>
                <w:sz w:val="11"/>
                <w:szCs w:val="11"/>
                <w:color w:val="auto"/>
              </w:rPr>
              <w:t>86176YAG7</w:t>
            </w:r>
          </w:p>
        </w:tc>
        <w:tc>
          <w:tcPr>
            <w:tcW w:w="980" w:type="dxa"/>
            <w:vAlign w:val="bottom"/>
          </w:tcPr>
          <w:p>
            <w:pPr>
              <w:spacing w:after="0"/>
              <w:rPr>
                <w:sz w:val="11"/>
                <w:szCs w:val="11"/>
                <w:color w:val="auto"/>
              </w:rPr>
            </w:pPr>
          </w:p>
        </w:tc>
        <w:tc>
          <w:tcPr>
            <w:tcW w:w="1220" w:type="dxa"/>
            <w:vAlign w:val="bottom"/>
          </w:tcPr>
          <w:p>
            <w:pPr>
              <w:jc w:val="right"/>
              <w:ind w:right="186"/>
              <w:spacing w:after="0"/>
              <w:rPr>
                <w:sz w:val="20"/>
                <w:szCs w:val="20"/>
                <w:color w:val="auto"/>
              </w:rPr>
            </w:pPr>
            <w:r>
              <w:rPr>
                <w:rFonts w:ascii="Arial" w:cs="Arial" w:eastAsia="Arial" w:hAnsi="Arial"/>
                <w:sz w:val="11"/>
                <w:szCs w:val="11"/>
                <w:color w:val="auto"/>
              </w:rPr>
              <w:t>3.90%</w:t>
            </w:r>
          </w:p>
        </w:tc>
        <w:tc>
          <w:tcPr>
            <w:tcW w:w="820" w:type="dxa"/>
            <w:vAlign w:val="bottom"/>
          </w:tcPr>
          <w:p>
            <w:pPr>
              <w:jc w:val="right"/>
              <w:ind w:right="26"/>
              <w:spacing w:after="0"/>
              <w:rPr>
                <w:sz w:val="20"/>
                <w:szCs w:val="20"/>
                <w:color w:val="auto"/>
              </w:rPr>
            </w:pPr>
            <w:r>
              <w:rPr>
                <w:rFonts w:ascii="Arial" w:cs="Arial" w:eastAsia="Arial" w:hAnsi="Arial"/>
                <w:sz w:val="11"/>
                <w:szCs w:val="11"/>
                <w:color w:val="auto"/>
              </w:rPr>
              <w:t>4/17/2021</w:t>
            </w:r>
          </w:p>
        </w:tc>
        <w:tc>
          <w:tcPr>
            <w:tcW w:w="52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06"/>
              <w:spacing w:after="0"/>
              <w:rPr>
                <w:sz w:val="20"/>
                <w:szCs w:val="20"/>
                <w:color w:val="auto"/>
              </w:rPr>
            </w:pPr>
            <w:r>
              <w:rPr>
                <w:rFonts w:ascii="Arial" w:cs="Arial" w:eastAsia="Arial" w:hAnsi="Arial"/>
                <w:sz w:val="11"/>
                <w:szCs w:val="11"/>
                <w:color w:val="auto"/>
              </w:rPr>
              <w:t>5,000,000</w:t>
            </w:r>
          </w:p>
        </w:tc>
        <w:tc>
          <w:tcPr>
            <w:tcW w:w="160" w:type="dxa"/>
            <w:vAlign w:val="bottom"/>
          </w:tcPr>
          <w:p>
            <w:pPr>
              <w:spacing w:after="0"/>
              <w:rPr>
                <w:sz w:val="11"/>
                <w:szCs w:val="11"/>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1"/>
                <w:szCs w:val="11"/>
                <w:color w:val="auto"/>
              </w:rPr>
              <w:t>4,054,241</w:t>
            </w:r>
          </w:p>
        </w:tc>
        <w:tc>
          <w:tcPr>
            <w:tcW w:w="180" w:type="dxa"/>
            <w:vAlign w:val="bottom"/>
          </w:tcPr>
          <w:p>
            <w:pPr>
              <w:spacing w:after="0"/>
              <w:rPr>
                <w:sz w:val="11"/>
                <w:szCs w:val="11"/>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1"/>
                <w:szCs w:val="11"/>
                <w:color w:val="auto"/>
              </w:rPr>
              <w:t>3,500,000</w:t>
            </w:r>
          </w:p>
        </w:tc>
      </w:tr>
      <w:tr>
        <w:trPr>
          <w:trHeight w:val="115"/>
        </w:trPr>
        <w:tc>
          <w:tcPr>
            <w:tcW w:w="1760" w:type="dxa"/>
            <w:vAlign w:val="bottom"/>
            <w:tcBorders>
              <w:top w:val="single" w:sz="8" w:color="CCEEFF"/>
              <w:bottom w:val="single" w:sz="8" w:color="CCEEFF"/>
            </w:tcBorders>
            <w:shd w:val="clear" w:color="auto" w:fill="CCEEFF"/>
          </w:tcPr>
          <w:p>
            <w:pPr>
              <w:spacing w:after="0"/>
              <w:rPr>
                <w:sz w:val="10"/>
                <w:szCs w:val="10"/>
                <w:color w:val="auto"/>
              </w:rPr>
            </w:pPr>
          </w:p>
        </w:tc>
        <w:tc>
          <w:tcPr>
            <w:tcW w:w="1720" w:type="dxa"/>
            <w:vAlign w:val="bottom"/>
            <w:tcBorders>
              <w:top w:val="single" w:sz="8" w:color="CCEEFF"/>
              <w:bottom w:val="single" w:sz="8" w:color="CCEEFF"/>
            </w:tcBorders>
            <w:shd w:val="clear" w:color="auto" w:fill="CCEEFF"/>
          </w:tcPr>
          <w:p>
            <w:pPr>
              <w:spacing w:after="0"/>
              <w:rPr>
                <w:sz w:val="10"/>
                <w:szCs w:val="10"/>
                <w:color w:val="auto"/>
              </w:rPr>
            </w:pPr>
          </w:p>
        </w:tc>
        <w:tc>
          <w:tcPr>
            <w:tcW w:w="158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CCEEFF"/>
              <w:bottom w:val="single" w:sz="8" w:color="CCEEFF"/>
            </w:tcBorders>
            <w:shd w:val="clear" w:color="auto" w:fill="CCEEFF"/>
          </w:tcPr>
          <w:p>
            <w:pPr>
              <w:spacing w:after="0"/>
              <w:rPr>
                <w:sz w:val="10"/>
                <w:szCs w:val="10"/>
                <w:color w:val="auto"/>
              </w:rPr>
            </w:pPr>
          </w:p>
        </w:tc>
        <w:tc>
          <w:tcPr>
            <w:tcW w:w="1220" w:type="dxa"/>
            <w:vAlign w:val="bottom"/>
            <w:tcBorders>
              <w:top w:val="single" w:sz="8" w:color="CCEEFF"/>
              <w:bottom w:val="single" w:sz="8" w:color="CCEEFF"/>
            </w:tcBorders>
            <w:shd w:val="clear" w:color="auto" w:fill="CCEEFF"/>
          </w:tcPr>
          <w:p>
            <w:pPr>
              <w:spacing w:after="0"/>
              <w:rPr>
                <w:sz w:val="10"/>
                <w:szCs w:val="10"/>
                <w:color w:val="auto"/>
              </w:rPr>
            </w:pPr>
          </w:p>
        </w:tc>
        <w:tc>
          <w:tcPr>
            <w:tcW w:w="820" w:type="dxa"/>
            <w:vAlign w:val="bottom"/>
            <w:tcBorders>
              <w:top w:val="single" w:sz="8" w:color="CCEEFF"/>
              <w:bottom w:val="single" w:sz="8" w:color="CCEEFF"/>
            </w:tcBorders>
            <w:shd w:val="clear" w:color="auto" w:fill="CCEEFF"/>
          </w:tcPr>
          <w:p>
            <w:pPr>
              <w:spacing w:after="0"/>
              <w:rPr>
                <w:sz w:val="10"/>
                <w:szCs w:val="10"/>
                <w:color w:val="auto"/>
              </w:rPr>
            </w:pPr>
          </w:p>
        </w:tc>
        <w:tc>
          <w:tcPr>
            <w:tcW w:w="520" w:type="dxa"/>
            <w:vAlign w:val="bottom"/>
            <w:tcBorders>
              <w:top w:val="single" w:sz="8" w:color="CCEEFF"/>
              <w:bottom w:val="single" w:sz="8" w:color="CCEEFF"/>
            </w:tcBorders>
            <w:shd w:val="clear" w:color="auto" w:fill="CCEEFF"/>
          </w:tcPr>
          <w:p>
            <w:pPr>
              <w:spacing w:after="0"/>
              <w:rPr>
                <w:sz w:val="10"/>
                <w:szCs w:val="10"/>
                <w:color w:val="auto"/>
              </w:rPr>
            </w:pPr>
          </w:p>
        </w:tc>
        <w:tc>
          <w:tcPr>
            <w:tcW w:w="96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379,843,341</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374,419,979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20"/>
        </w:trPr>
        <w:tc>
          <w:tcPr>
            <w:tcW w:w="17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30" w:right="199" w:bottom="302" w:gutter="0" w:footer="0" w:header="0"/>
        </w:sectPr>
      </w:pPr>
    </w:p>
    <w:bookmarkStart w:id="20" w:name="page21"/>
    <w:bookmarkEnd w:id="20"/>
    <w:p>
      <w:pPr>
        <w:spacing w:after="0" w:line="3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July 30, 2010, the Company entered into an investment advisory and management agreement (the “Management Agreement”) with our Manager. The initial term of the Management Agreement was two years, with automatic, one-year renewals at the end of each year subject to certain approvals by our board of directors and/or our stockholders. On July 15, 2013,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 and appropriately adjusted for any share issuances or repurchases during the applicable fiscal quarter.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For the three months ended May 31, 2013 and 2012 we incurred $0.7 million and $0.5 million in base management fees, respectively. For the three months ended May 31, 2013 and 2012, we accrued $0.6 million, and $0.0 million in incentive fees related to pre-incentive fee net investment income. For the three months ended May 31, 2013 and 2012, we accrued $0.2 million and $0.4 million in incentive management fees related to capital gains, respectively. The accrual is calculated using both realized and unrealized capital gains for the period. The actual incentive fee related to capital gains will be determined and payable in arrears at the end of the fiscal year and will include only realized capital gains for the period. As of May 31, 2013, $1.4 million of base management fees and $4.7 million of incentive fees were accrued and included in management and incentive fees payable in the accompanying consolidated statements of assets and liabilities. As of February 28, 2013, $0.6 million of base management fees and $3.9 million of incentive fees were accrued and included in management and incentive fees payable in the accompanying consolidated statements of assets and liabilities.</w:t>
      </w:r>
    </w:p>
    <w:p>
      <w:pPr>
        <w:spacing w:after="0" w:line="16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On July 15, 2013, our board of directors approved the renewal of the Administration Agreement for an additional one-year term and determined to maintain the cap on the payment or reimbursement of expenses by the Company thereunder to $1.0 million for the additional one-year term.</w:t>
      </w:r>
    </w:p>
    <w:p>
      <w:pPr>
        <w:spacing w:after="0" w:line="192"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For the three months ended May 31, 2013 and 2012, we recognized $0.3 million and $0.3 million in administrator expenses for the periods, pertaining to bookkeeping, record keeping and other administrative services provided to us in addition to our allocable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portion of rent and other overhead related expenses, respectively. As of May 31, 2013, $0.3 million of administrator expenses were accrued and included in due to manager in the accompanying consolidated statements of assets and liabilities.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w:t>
      </w:r>
    </w:p>
    <w:p>
      <w:pPr>
        <w:sectPr>
          <w:pgSz w:w="11900" w:h="16874" w:orient="portrait"/>
          <w:cols w:equalWidth="0" w:num="1">
            <w:col w:w="11420"/>
          </w:cols>
          <w:pgMar w:left="240" w:top="125" w:right="239" w:bottom="0" w:gutter="0" w:footer="0" w:header="0"/>
        </w:sectPr>
      </w:pPr>
    </w:p>
    <w:bookmarkStart w:id="21" w:name="page22"/>
    <w:bookmarkEnd w:id="21"/>
    <w:p>
      <w:pPr>
        <w:spacing w:after="0" w:line="3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$45.0 million senior secured revolving credit facility (the “Replacement Facility”) with Madison Capital Funding LLC, in each case, described in “Note 13. Recapitalization Transaction” below,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Replacement Facility to secure our obligations thereunder.</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225"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225" w:lineRule="exact"/>
        <w:rPr>
          <w:rFonts w:ascii="Arial" w:cs="Arial" w:eastAsia="Arial" w:hAnsi="Arial"/>
          <w:sz w:val="18"/>
          <w:szCs w:val="18"/>
          <w:color w:val="auto"/>
        </w:rPr>
      </w:pPr>
    </w:p>
    <w:p>
      <w:pPr>
        <w:ind w:left="980" w:right="160" w:hanging="324"/>
        <w:spacing w:after="0" w:line="259"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be terminated at an earlier time upon the occurrence of an event of default by action of the lenders or automatically. All borrowings and other amounts payable under the credit facility are due and payable five years after the end of the Revolving Period; and</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As of May 31, 2013, there were no outstanding borrowings under the Replacement Facility and the Company was in compliance with all of the limitations and requirements of the Replacement Facility. The carrying amount of the amount outstanding of the Replacement Facility approximates its fair value. $2.3 million of financing costs related to the Replacement Facility have been capitalized and are being amortized over the term of the facility. For the three months ended May 31, 2013 and 2012, we recorded $0.1 million and $0.5 million of interest expense, respectively. For the three months ended May 31, 2013 and 2012, we recorded $0.1 million and $0.1 million of amortization of deferred financing costs related to the Replacement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respectively. The interest rates during the three months ended May 31, 2013 and 2012 on the outstanding borrowings under the Replacement Facility were 7.50% and 7.50% respectively.</w:t>
      </w:r>
    </w:p>
    <w:p>
      <w:pPr>
        <w:spacing w:after="0" w:line="170"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The Replacement Facility contains limitations as to how borrowed funds may be used, such as restrictions on industry concentrations, asset size, weighted average life, currency denomination and collateral interests. The Replacement Facility also includes certain requirements relating to portfolio performance, the violation of which could result in the limit of further advances and, in some cases, result in an event of default, allowing the lenders to accelerate repayment of amounts owed thereunder. The Replacement Facility has an eight year term, consisting of a three year period (the “Revolving Period”), under which the Company may make and repay borrowings, and a final maturity five years from the end of the Revolving Period. Availability on the Replacement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Replacement Facility for the duration of the Revolving Period.</w:t>
      </w:r>
    </w:p>
    <w:p>
      <w:pPr>
        <w:spacing w:after="0" w:line="183" w:lineRule="exact"/>
        <w:rPr>
          <w:sz w:val="20"/>
          <w:szCs w:val="20"/>
          <w:color w:val="auto"/>
        </w:rPr>
      </w:pPr>
    </w:p>
    <w:p>
      <w:pPr>
        <w:ind w:firstLine="622"/>
        <w:spacing w:after="0" w:line="257" w:lineRule="auto"/>
        <w:rPr>
          <w:sz w:val="20"/>
          <w:szCs w:val="20"/>
          <w:color w:val="auto"/>
        </w:rPr>
      </w:pPr>
      <w:r>
        <w:rPr>
          <w:rFonts w:ascii="Arial" w:cs="Arial" w:eastAsia="Arial" w:hAnsi="Arial"/>
          <w:sz w:val="18"/>
          <w:szCs w:val="18"/>
          <w:color w:val="auto"/>
        </w:rPr>
        <w:t>Our borrowing base under the Replacement Facility was $32.2 million at May 31, 2013. For purposes of determining the borrowing base, most assets are assigned the values set forth in our most recent Annual Report on Form 10-K or Quarterly Report on Form 10-Q filed with the SEC. Accordingly, the May 31, 2013 borrowing base relies upon the valuations set forth in the Annual Report on Form 10-K for the year ended February 28, 2013. The valuations presented in this Quarterly Report on Form 10-Q will not be incorporated into the borrowing base until after this Quarterly Report on Form 10-Q is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May 31, 2013, we have funded SBIC LP with $25.0 million of equity capital, and have $40.0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$18.0 million and have average annual fully taxed net income not exceeding $6.0 million for the two most recent fiscal years. In addition, an SBIC must devote 25.0% of its investment activity to ‘‘smaller’’ concerns as defined by the SBA. A smaller concern is one that</w:t>
      </w:r>
    </w:p>
    <w:p>
      <w:pPr>
        <w:sectPr>
          <w:pgSz w:w="11900" w:h="16877" w:orient="portrait"/>
          <w:cols w:equalWidth="0" w:num="1">
            <w:col w:w="11400"/>
          </w:cols>
          <w:pgMar w:left="240" w:top="125" w:right="259" w:bottom="0" w:gutter="0" w:footer="0" w:header="0"/>
        </w:sectPr>
      </w:pPr>
    </w:p>
    <w:bookmarkStart w:id="22" w:name="page23"/>
    <w:bookmarkEnd w:id="22"/>
    <w:p>
      <w:pPr>
        <w:ind w:right="160"/>
        <w:spacing w:after="0" w:line="279" w:lineRule="auto"/>
        <w:rPr>
          <w:sz w:val="20"/>
          <w:szCs w:val="20"/>
          <w:color w:val="auto"/>
        </w:rPr>
      </w:pPr>
      <w:r>
        <w:rPr>
          <w:rFonts w:ascii="Arial" w:cs="Arial" w:eastAsia="Arial" w:hAnsi="Arial"/>
          <w:sz w:val="17"/>
          <w:szCs w:val="17"/>
          <w:color w:val="auto"/>
        </w:rPr>
        <w:t>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7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 debenture funding, which is dependent upon SBIC LP continuing to be in compliance with SBA regulations and policies. The SBA, as a creditor, will have a superior claim to SBIC LP’s assets over our stockholders and debt holders in the event we liquidate SBIC LP or the SBA exercises its remedies under the SBA-guaranteed debentures issued by SBIC LP upon an event of default.</w:t>
      </w:r>
    </w:p>
    <w:p>
      <w:pPr>
        <w:spacing w:after="0" w:line="188"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87" w:lineRule="exact"/>
        <w:rPr>
          <w:sz w:val="20"/>
          <w:szCs w:val="20"/>
          <w:color w:val="auto"/>
        </w:rPr>
      </w:pPr>
    </w:p>
    <w:p>
      <w:pPr>
        <w:ind w:right="140" w:firstLine="622"/>
        <w:spacing w:after="0" w:line="259" w:lineRule="auto"/>
        <w:rPr>
          <w:sz w:val="20"/>
          <w:szCs w:val="20"/>
          <w:color w:val="auto"/>
        </w:rPr>
      </w:pPr>
      <w:r>
        <w:rPr>
          <w:rFonts w:ascii="Arial" w:cs="Arial" w:eastAsia="Arial" w:hAnsi="Arial"/>
          <w:sz w:val="18"/>
          <w:szCs w:val="18"/>
          <w:color w:val="auto"/>
        </w:rPr>
        <w:t>As of May 31, 2013, there was $40.0 million outstanding of SBA debentures. The carrying amount of the amount outstanding of SBA debentures approximates its fair value. $1.3 million of financing costs related to the SBA debentures have been capitalized and are being amortized over the term of the commitment and drawdown. For the three months ended May 31, 2013, we recorded $0.3 million of interest expense related to the SBA debentures. For the three months ended May 31, 2013, we recorded $0.1 million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amortization of deferred financing costs related to the SBA debentures. The weighted average interest rate during the three months ended May 31, 2013 on the outstanding borrowings of the SBA debentures was 2.64%. There were no outstanding SBA debentures at May 31, 2012.</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May 31, 2013, the carrying amount and fair value of the Notes was $48.3 million and $48.6 million, respectively. The fair value of the Notes, which are publicly traded, is based upon closing market quotes as of the measurement date. As of May 31, 2013, $2.5 million of financing costs related to the Notes have been capitalized and are being amortized over the term of the Notes. For the three months ended May 31, 2013, we recorded $0.2 million of interest expense and $0.02 million of amortization of deferred financing costs related to the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Directors Fees</w:t>
      </w:r>
    </w:p>
    <w:p>
      <w:pPr>
        <w:spacing w:after="0" w:line="229"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three months ended May 31, 2013 and 2012, we accrued $0.05 million and $0.05 million for directors’ fees expense, respectively. As of May 31, 2013 and February 28, 2013, $0.05 million and $0.05 million in directors’ fees expense were unpaid and included in accounts payable and accrued expenses in the consolidated statements of assets and liabilities. As of May 31, 2013, we had not issued any common stock to our directors as compensation for their services.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420" w:firstLine="622"/>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ind w:right="60" w:firstLine="622"/>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ectPr>
          <w:pgSz w:w="11900" w:h="16838" w:orient="portrait"/>
          <w:cols w:equalWidth="0" w:num="1">
            <w:col w:w="11400"/>
          </w:cols>
          <w:pgMar w:left="240" w:top="125" w:right="259" w:bottom="61" w:gutter="0" w:footer="0" w:header="0"/>
        </w:sectPr>
      </w:pPr>
    </w:p>
    <w:bookmarkStart w:id="23" w:name="page24"/>
    <w:bookmarkEnd w:id="23"/>
    <w:p>
      <w:pPr>
        <w:ind w:right="260" w:firstLine="648"/>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 See “Note 13. Recapitalization Transaction.”</w:t>
      </w:r>
    </w:p>
    <w:p>
      <w:pPr>
        <w:spacing w:after="0" w:line="170"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 $1.2 million in cash and 596,235 shares of common stock.</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 $2.0 million in cash and 599,584 shares of common stock.</w:t>
      </w:r>
    </w:p>
    <w:p>
      <w:pPr>
        <w:spacing w:after="0" w:line="187" w:lineRule="exact"/>
        <w:rPr>
          <w:sz w:val="20"/>
          <w:szCs w:val="20"/>
          <w:color w:val="auto"/>
        </w:rPr>
      </w:pPr>
    </w:p>
    <w:p>
      <w:pPr>
        <w:jc w:val="both"/>
        <w:ind w:right="140" w:firstLine="622"/>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information sets forth the computation of the weighted average basic and diluted net increase in net assets per share from operations for the three months ended May 31, 2013 and 2012 (dollars in thousands except share and per share amounts):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260" w:type="dxa"/>
            <w:vAlign w:val="bottom"/>
          </w:tcPr>
          <w:p>
            <w:pPr>
              <w:spacing w:after="0"/>
              <w:rPr>
                <w:sz w:val="14"/>
                <w:szCs w:val="14"/>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May 31,</w:t>
            </w: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77"/>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4,730,116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3,876,661</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0.80</w:t>
            </w:r>
          </w:p>
        </w:tc>
        <w:tc>
          <w:tcPr>
            <w:tcW w:w="40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did not declare any dividend payments during the quarters ended May 31, 2013 and May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financial highlights for the three months ended May 31, 2013 and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May 31, 2013</w:t>
            </w: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May 31, 2012</w:t>
            </w:r>
          </w:p>
        </w:tc>
        <w:tc>
          <w:tcPr>
            <w:tcW w:w="1480" w:type="dxa"/>
            <w:vAlign w:val="bottom"/>
          </w:tcPr>
          <w:p>
            <w:pPr>
              <w:spacing w:after="0"/>
              <w:rPr>
                <w:sz w:val="14"/>
                <w:szCs w:val="14"/>
                <w:color w:val="auto"/>
              </w:rPr>
            </w:pPr>
          </w:p>
        </w:tc>
      </w:tr>
      <w:tr>
        <w:trPr>
          <w:trHeight w:val="196"/>
        </w:trPr>
        <w:tc>
          <w:tcPr>
            <w:tcW w:w="340" w:type="dxa"/>
            <w:vAlign w:val="bottom"/>
          </w:tcPr>
          <w:p>
            <w:pPr>
              <w:spacing w:after="0"/>
              <w:rPr>
                <w:sz w:val="17"/>
                <w:szCs w:val="17"/>
                <w:color w:val="auto"/>
              </w:rPr>
            </w:pPr>
          </w:p>
        </w:tc>
        <w:tc>
          <w:tcPr>
            <w:tcW w:w="6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8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22.98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25.12</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0.52</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0.33</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w w:val="96"/>
              </w:rPr>
              <w:t>Net realized and unrealized gains and (losses) on investments and derivatives</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0.28</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148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4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23.78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25.94</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112,486,612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100,570,917</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4,730,116</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3,876,661</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17.33</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Total return based on market value(2)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5.82%</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Ratio of operating expenses to average net assets(5)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5.91%</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5.36%</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Ratio of incentive management fees to average net assets(5)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3.03%</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Ratio of debt related expenses to average net assets(5)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4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13.11%</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48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Portfolio turnover rate(4)</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15.58%</w:t>
            </w:r>
          </w:p>
        </w:tc>
        <w:tc>
          <w:tcPr>
            <w:tcW w:w="1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14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6000" w:type="dxa"/>
            <w:vAlign w:val="bottom"/>
          </w:tcPr>
          <w:p>
            <w:pPr>
              <w:ind w:left="5280"/>
              <w:spacing w:after="0"/>
              <w:rPr>
                <w:sz w:val="20"/>
                <w:szCs w:val="20"/>
                <w:color w:val="auto"/>
              </w:rPr>
            </w:pPr>
            <w:r>
              <w:rPr>
                <w:rFonts w:ascii="Arial" w:cs="Arial" w:eastAsia="Arial" w:hAnsi="Arial"/>
                <w:sz w:val="18"/>
                <w:szCs w:val="18"/>
                <w:color w:val="auto"/>
              </w:rPr>
              <w:t>25</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32"/>
        </w:trPr>
        <w:tc>
          <w:tcPr>
            <w:tcW w:w="340" w:type="dxa"/>
            <w:vAlign w:val="bottom"/>
            <w:tcBorders>
              <w:bottom w:val="single" w:sz="8" w:color="010101"/>
            </w:tcBorders>
          </w:tcPr>
          <w:p>
            <w:pPr>
              <w:spacing w:after="0"/>
              <w:rPr>
                <w:sz w:val="11"/>
                <w:szCs w:val="11"/>
                <w:color w:val="auto"/>
              </w:rPr>
            </w:pPr>
          </w:p>
        </w:tc>
        <w:tc>
          <w:tcPr>
            <w:tcW w:w="60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1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4" w:name="page25"/>
    <w:bookmarkEnd w:id="24"/>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25" w:lineRule="exact"/>
        <w:rPr>
          <w:rFonts w:ascii="Arial" w:cs="Arial" w:eastAsia="Arial" w:hAnsi="Arial"/>
          <w:sz w:val="18"/>
          <w:szCs w:val="18"/>
          <w:color w:val="auto"/>
        </w:rPr>
      </w:pPr>
    </w:p>
    <w:p>
      <w:pPr>
        <w:ind w:left="660" w:right="60" w:hanging="652"/>
        <w:spacing w:after="0" w:line="259"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86" w:lineRule="exact"/>
        <w:rPr>
          <w:rFonts w:ascii="Arial" w:cs="Arial" w:eastAsia="Arial" w:hAnsi="Arial"/>
          <w:sz w:val="18"/>
          <w:szCs w:val="18"/>
          <w:color w:val="auto"/>
        </w:rPr>
      </w:pPr>
    </w:p>
    <w:p>
      <w:pPr>
        <w:jc w:val="both"/>
        <w:ind w:left="660" w:hanging="652"/>
        <w:spacing w:after="0" w:line="312" w:lineRule="auto"/>
        <w:tabs>
          <w:tab w:leader="none" w:pos="667"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146" w:lineRule="exact"/>
        <w:rPr>
          <w:rFonts w:ascii="Arial" w:cs="Arial" w:eastAsia="Arial" w:hAnsi="Arial"/>
          <w:sz w:val="16"/>
          <w:szCs w:val="16"/>
          <w:color w:val="auto"/>
        </w:rPr>
      </w:pPr>
    </w:p>
    <w:p>
      <w:pPr>
        <w:ind w:left="660" w:right="420" w:hanging="652"/>
        <w:spacing w:after="0" w:line="277"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Recapitalization Transaction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July 2010, we consummated a recapitalization transaction that was necessitated by the fact that we had exceeded permissible borrowing limits under the Revolving Facility in July 2009, which resulted in an event of default under the Revolving Facility. As a result of the event of default under the Revolving Facility, the lender had the right to accelerate repayment of the outstanding indebtedness under the Revolving Facility and to foreclose and liquidate the collateral pledged thereunder. We engaged the investment banking firm of Stifel, Nicolaus &amp; Company to evaluate strategic transaction opportunities and consider alternatives for us in December 2008. On April 14, 2010, we entered into a stock purchase agreement with our Manager and certain of its affiliates and an assignment, assumption and novation agreement with our Manager, pursuant to which we assumed certain rights and obligations of our Manager under a debt commitment letter our Manager received from Madison Capital Funding LLC, indicating Madison Capital Funding’s willingness to provide us with the Replacement Facility, subject to the satisfaction of certain terms and conditions. In addition, we and GSCP (NJ), L.P., our then external investment adviser,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6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July 30, 2010, the transactions contemplated by the stock purchase agreement with our Manager and certain of its affiliates was completed, and included the following actions:</w:t>
      </w:r>
    </w:p>
    <w:p>
      <w:pPr>
        <w:spacing w:after="0" w:line="170"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private sale of shares of our common stock for $15.0 million in aggregate purchase price to our Manager and certain of its affiliates;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closing of the $40.0 million Replacement Facility with Madison Capital Funding;</w:t>
      </w:r>
    </w:p>
    <w:p>
      <w:pPr>
        <w:spacing w:after="0" w:line="225" w:lineRule="exact"/>
        <w:rPr>
          <w:rFonts w:ascii="Arial" w:cs="Arial" w:eastAsia="Arial" w:hAnsi="Arial"/>
          <w:sz w:val="18"/>
          <w:szCs w:val="18"/>
          <w:color w:val="auto"/>
        </w:rPr>
      </w:pPr>
    </w:p>
    <w:p>
      <w:pPr>
        <w:ind w:left="980" w:right="840" w:hanging="324"/>
        <w:spacing w:after="0" w:line="342" w:lineRule="auto"/>
        <w:tabs>
          <w:tab w:leader="none" w:pos="9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execution of a registration rights agreement with the investors in the private sale transaction, pursuant to which we agreed to file a registration statement with the SEC to register for resale the shares of our common stock sold in the private sale transaction;</w:t>
      </w:r>
    </w:p>
    <w:p>
      <w:pPr>
        <w:spacing w:after="0" w:line="123" w:lineRule="exact"/>
        <w:rPr>
          <w:rFonts w:ascii="Arial" w:cs="Arial" w:eastAsia="Arial" w:hAnsi="Arial"/>
          <w:sz w:val="16"/>
          <w:szCs w:val="16"/>
          <w:color w:val="auto"/>
        </w:rPr>
      </w:pPr>
    </w:p>
    <w:p>
      <w:pPr>
        <w:ind w:left="980" w:right="520" w:hanging="324"/>
        <w:spacing w:after="0" w:line="308" w:lineRule="auto"/>
        <w:tabs>
          <w:tab w:leader="none" w:pos="9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execution of a trademark license agreement with our Manager pursuant to which our Manager granted us a non-exclusive, royalty-free license to use the “Saratoga” name, for so long as our Manager or one of its affiliates remains our investment adviser;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0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replacing GSCP (NJ), L.P. as our investment adviser and administrator with our Manager by executing an investment advisory and management agreement, which was approved by our stockholders, and an administration agreement with our Manager;</w:t>
      </w:r>
    </w:p>
    <w:p>
      <w:pPr>
        <w:spacing w:after="0" w:line="170" w:lineRule="exact"/>
        <w:rPr>
          <w:rFonts w:ascii="Arial" w:cs="Arial" w:eastAsia="Arial" w:hAnsi="Arial"/>
          <w:sz w:val="18"/>
          <w:szCs w:val="18"/>
          <w:color w:val="auto"/>
        </w:rPr>
      </w:pPr>
    </w:p>
    <w:p>
      <w:pPr>
        <w:ind w:left="980" w:right="100" w:hanging="324"/>
        <w:spacing w:after="0" w:line="264"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resignations of Robert F. Cummings, Jr. and Richard M. Hayden, both of whom are affiliates of GSCP (NJ) L.P., as members of the board of directors and the election of Christian L. Oberbeck and Richard A. Petrocelli, both of whom are affiliates of our Manager, as members of the board of directors;</w:t>
      </w:r>
    </w:p>
    <w:p>
      <w:pPr>
        <w:spacing w:after="0" w:line="181"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resignation of all of our then existing executive officers and the appointment by our board of directors of Mr. Oberbeck as our chief executive officer and Mr. Petrocelli as our chief financial officer, secretary and chief compliance officer;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name change from “GSC Investment Corp.” to “Saratoga Investment Corp.”</w:t>
      </w:r>
    </w:p>
    <w:p>
      <w:pPr>
        <w:spacing w:after="0" w:line="225"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We used the net proceeds from the private sale transaction and a portion of the funds available to us under the Replacement Facility to pay the full amount of principal and accrued interest, including default interest, outstanding under Revolving Facility. The Revolving Facility with Deutsche Bank was terminated in connection with our payment of all amounts outstanding thereunder on July 30,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quarter ended May 31,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The following discussion should be read in conjunction with our financial statements and related notes and other financial information appearing elsewhere in this Quarterly Report on Form 10-Q. In addition to historical information, the following discussion and other parts of this Quarterly Report</w:t>
      </w:r>
    </w:p>
    <w:p>
      <w:pPr>
        <w:sectPr>
          <w:pgSz w:w="11900" w:h="16838" w:orient="portrait"/>
          <w:cols w:equalWidth="0" w:num="1">
            <w:col w:w="11420"/>
          </w:cols>
          <w:pgMar w:left="240" w:top="125" w:right="239" w:bottom="0" w:gutter="0" w:footer="0" w:header="0"/>
        </w:sectPr>
      </w:pPr>
    </w:p>
    <w:bookmarkStart w:id="25" w:name="page26"/>
    <w:bookmarkEnd w:id="25"/>
    <w:p>
      <w:pPr>
        <w:ind w:right="180"/>
        <w:spacing w:after="0" w:line="342" w:lineRule="auto"/>
        <w:rPr>
          <w:sz w:val="20"/>
          <w:szCs w:val="20"/>
          <w:color w:val="auto"/>
        </w:rPr>
      </w:pPr>
      <w:r>
        <w:rPr>
          <w:rFonts w:ascii="Arial" w:cs="Arial" w:eastAsia="Arial" w:hAnsi="Arial"/>
          <w:sz w:val="16"/>
          <w:szCs w:val="16"/>
          <w:color w:val="auto"/>
        </w:rPr>
        <w:t>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28, 2013.</w:t>
      </w:r>
    </w:p>
    <w:p>
      <w:pPr>
        <w:spacing w:after="0" w:line="1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statements as to:</w:t>
      </w:r>
    </w:p>
    <w:p>
      <w:pPr>
        <w:spacing w:after="0" w:line="225"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980" w:right="420" w:hanging="324"/>
        <w:spacing w:after="0" w:line="250"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regulatory structure and tax treatment, including our ability to operate as a business development company, a small business investment company and a regulated investment company;</w:t>
      </w: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11"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update any forward-looking statement to reflect events or circumstances occurring after the date of this Quarterly Report on Form 10-Q.</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 Maryland corporation that has elected to be treated as a business development company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$5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regulated investment company (“RIC”) under Subchapter M of the Internal Revenue Code of 1986, as amended (the “Code”).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we engaged Saratoga Investment Advisors (“SIA”) to replace GSCP (NJ), L.P. as our investment adviser and changed our name to Saratoga Investment Corp.</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the event of default under a revolving securitized credit facility with Deutsche Bank we previously had in place, in December 2008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engaged the investment banking firm of Stifel, Nicolaus &amp; Company to evaluate strategic transaction opportunities and consider alternatives for us.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14, 2010, we entered into a stock purchase agreement with Saratoga Investment Advisors and certain of its affiliates and an assignment, assumption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novation agreement with Saratoga Investment Advisors, pursuant to which we assumed certain rights and obligations of Saratoga Investment Advisors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debt commitment letter Saratoga Investment Advisors received from Madison Capital Funding LLC, indicating Madison Capital Funding’s willingness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us with a $40.0 million senior secured revolving credit facility, subject to the satisfaction of certain terms and conditions. In addition, we and GSCP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(NJ), L.P. entered into a termination and release agreement, to be effective as of the closing of the transaction contemplated by the stock purchase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which GSCP (NJ), L.P., among other things, agreed to waive any and all accrued and unpaid deferred incentive management fees up to and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closing of the transaction contemplated by the stock purchase agreement but continued to be entitled to receive the base management fees earned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the closing of the transaction contemplated by the stock purchase agreement.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30, 2010, the transactions contemplated by the stock purchase agreement with Saratoga Investment Advisors and certain of its affiliates were completed, and included the following actions:</w:t>
      </w:r>
    </w:p>
    <w:p>
      <w:pPr>
        <w:spacing w:after="0" w:line="170" w:lineRule="exact"/>
        <w:rPr>
          <w:sz w:val="20"/>
          <w:szCs w:val="20"/>
          <w:color w:val="auto"/>
        </w:rPr>
      </w:pPr>
    </w:p>
    <w:p>
      <w:pPr>
        <w:ind w:left="980" w:right="500" w:hanging="32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private sale of 986,842 shares of our common stock for $15.0 million in aggregate purchase price to Saratoga Investment Advisors and certain of its affiliates;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closing of the $40.0 million senior secured revolving credit facility with Madison Capital Funding;</w:t>
      </w:r>
    </w:p>
    <w:p>
      <w:pPr>
        <w:spacing w:after="0" w:line="225" w:lineRule="exact"/>
        <w:rPr>
          <w:rFonts w:ascii="Arial" w:cs="Arial" w:eastAsia="Arial" w:hAnsi="Arial"/>
          <w:sz w:val="18"/>
          <w:szCs w:val="18"/>
          <w:color w:val="auto"/>
        </w:rPr>
      </w:pPr>
    </w:p>
    <w:p>
      <w:pPr>
        <w:ind w:left="980" w:right="100" w:hanging="324"/>
        <w:spacing w:after="0" w:line="25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execution of a registration rights agreement with the investors in the private sale transaction, pursuant to which, among other things, we agreed to file a registration statement with the SEC to register for resale the shares of our common stock sold in the private sale transaction, including any shares of common stock issued or issuable upon any stock split, dividend or other distribution, recapitalization or similar event relating thereto, and to use commercially reasonable efforts to cause such registration statement to be declared effective within 90 days after the date on which the registration statement was initially filed with the SEC;</w:t>
      </w:r>
    </w:p>
    <w:p>
      <w:pPr>
        <w:sectPr>
          <w:pgSz w:w="11900" w:h="16838" w:orient="portrait"/>
          <w:cols w:equalWidth="0" w:num="1">
            <w:col w:w="11420"/>
          </w:cols>
          <w:pgMar w:left="240" w:top="125" w:right="239" w:bottom="0" w:gutter="0" w:footer="0" w:header="0"/>
        </w:sectPr>
      </w:pPr>
    </w:p>
    <w:bookmarkStart w:id="26" w:name="page27"/>
    <w:bookmarkEnd w:id="26"/>
    <w:p>
      <w:pPr>
        <w:ind w:left="980" w:right="40" w:hanging="324"/>
        <w:spacing w:after="0" w:line="264"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execution of a trademark license agreement with Saratoga Investment Advisors pursuant to which Saratoga Investment Advisors granted us a non-exclusive, royalty-free license to use the “Saratoga” name, for so long as Saratoga Investment Advisors or one of its affiliates remains our investment adviser; and</w:t>
      </w:r>
    </w:p>
    <w:p>
      <w:pPr>
        <w:spacing w:after="0" w:line="181" w:lineRule="exact"/>
        <w:rPr>
          <w:rFonts w:ascii="Arial" w:cs="Arial" w:eastAsia="Arial" w:hAnsi="Arial"/>
          <w:sz w:val="18"/>
          <w:szCs w:val="18"/>
          <w:color w:val="auto"/>
        </w:rPr>
      </w:pPr>
    </w:p>
    <w:p>
      <w:pPr>
        <w:ind w:left="980" w:right="120" w:hanging="324"/>
        <w:spacing w:after="0" w:line="342" w:lineRule="auto"/>
        <w:tabs>
          <w:tab w:leader="none" w:pos="9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replacing GSCP (NJ), L.P. as our investment adviser and administrator with Saratoga Investment Advisors by executing an investment advisory and management agreement, which was approved by our stockholders, and an administration agreement with Saratoga Investment Advisors;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00" w:hanging="324"/>
        <w:spacing w:after="0" w:line="264"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resignations of Robert F. Cummings, Jr. and Richard M. Hayden, both of whom are affiliates of GSCP (NJ) L.P., as members of the board of directors and the election of Christian L. Oberbeck and Richard A. Petrocelli, both of whom are affiliates of Saratoga Investment Advisors, as members of the board of directors;</w:t>
      </w:r>
    </w:p>
    <w:p>
      <w:pPr>
        <w:spacing w:after="0" w:line="181"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resignation of all of our then existing executive officers and the appointment by our board of directors of Mr. Oberbeck as our chief executive officer and Mr. Petrocelli as our chief financial officer, secretary and chief compliance officer;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name change from “GSC Investment Corp.” to “Saratoga Investment Corp.”</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used the net proceeds from the private sale transaction and a portion of the funds available to us under the $40.0 million senior secured revolving credit facility with Madison Capital Funding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January 2011, we registered for public resale the 982,842 shares of our common stock issued to Saratoga Investment Advisors and certain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9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170" w:lineRule="exact"/>
        <w:rPr>
          <w:sz w:val="20"/>
          <w:szCs w:val="20"/>
          <w:color w:val="auto"/>
        </w:rPr>
      </w:pPr>
    </w:p>
    <w:p>
      <w:pPr>
        <w:ind w:left="980" w:right="480" w:hanging="324"/>
        <w:spacing w:after="0" w:line="277" w:lineRule="auto"/>
        <w:tabs>
          <w:tab w:leader="none" w:pos="944"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32" w:gutter="0" w:footer="0" w:header="0"/>
        </w:sectPr>
      </w:pPr>
    </w:p>
    <w:bookmarkStart w:id="27" w:name="page28"/>
    <w:bookmarkEnd w:id="27"/>
    <w:p>
      <w:pPr>
        <w:spacing w:after="0" w:line="69" w:lineRule="exact"/>
        <w:rPr>
          <w:sz w:val="20"/>
          <w:szCs w:val="20"/>
          <w:color w:val="auto"/>
        </w:rPr>
      </w:pPr>
    </w:p>
    <w:p>
      <w:pPr>
        <w:ind w:left="980" w:hanging="324"/>
        <w:spacing w:after="0" w:line="264" w:lineRule="auto"/>
        <w:tabs>
          <w:tab w:leader="none" w:pos="9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225" w:lineRule="exact"/>
        <w:rPr>
          <w:sz w:val="20"/>
          <w:szCs w:val="20"/>
          <w:color w:val="auto"/>
        </w:rPr>
      </w:pPr>
    </w:p>
    <w:p>
      <w:pPr>
        <w:ind w:left="980" w:right="120" w:hanging="324"/>
        <w:spacing w:after="0" w:line="308" w:lineRule="auto"/>
        <w:tabs>
          <w:tab w:leader="none" w:pos="944"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146" w:lineRule="exact"/>
        <w:rPr>
          <w:rFonts w:ascii="Arial" w:cs="Arial" w:eastAsia="Arial" w:hAnsi="Arial"/>
          <w:sz w:val="17"/>
          <w:szCs w:val="17"/>
          <w:color w:val="auto"/>
        </w:rPr>
      </w:pPr>
    </w:p>
    <w:p>
      <w:pPr>
        <w:ind w:left="980" w:right="400" w:hanging="324"/>
        <w:spacing w:after="0" w:line="342" w:lineRule="auto"/>
        <w:tabs>
          <w:tab w:leader="none" w:pos="944"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board of directors discusses the valuations and approves the fair value of each investment, in good faith, based on the input of Saratoga Investment Advisors, the independent valuation firm (to the extent applicable) and the audit committee of our board of directors.</w:t>
      </w:r>
    </w:p>
    <w:p>
      <w:pPr>
        <w:spacing w:after="0" w:line="124"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Our investment in GSC Investment Corp. CLO 2007,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Recognition</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Paid-in-Kind Interest</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229"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actual incentive fee payable to the Company’s investment adviser related to capital gains will be determined and payable in arrears at the end of each fiscal year and will include only realized capital gains for the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paid-in-kind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82"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and receive a senior collateral management fee of 0.10% and a subordinate collateral management fee of 0.40% of the outstanding principal amount of Saratoga</w:t>
      </w:r>
    </w:p>
    <w:p>
      <w:pPr>
        <w:sectPr>
          <w:pgSz w:w="11900" w:h="16908" w:orient="portrait"/>
          <w:cols w:equalWidth="0" w:num="1">
            <w:col w:w="11400"/>
          </w:cols>
          <w:pgMar w:left="240" w:top="125" w:right="259" w:bottom="0" w:gutter="0" w:footer="0" w:header="0"/>
        </w:sectPr>
      </w:pPr>
    </w:p>
    <w:bookmarkStart w:id="28" w:name="page29"/>
    <w:bookmarkEnd w:id="28"/>
    <w:p>
      <w:pPr>
        <w:spacing w:after="0" w:line="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CLO’s assets,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70"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340" w:firstLine="648"/>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171"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ind w:left="980" w:right="100" w:hanging="324"/>
        <w:spacing w:after="0" w:line="308" w:lineRule="auto"/>
        <w:tabs>
          <w:tab w:leader="none" w:pos="944" w:val="left"/>
        </w:tabs>
        <w:numPr>
          <w:ilvl w:val="0"/>
          <w:numId w:val="27"/>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225"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ind w:left="980" w:right="400" w:hanging="324"/>
        <w:spacing w:after="0" w:line="259" w:lineRule="auto"/>
        <w:tabs>
          <w:tab w:leader="none" w:pos="944"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At May 31,</w:t>
            </w: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At February 28,</w:t>
            </w:r>
          </w:p>
        </w:tc>
      </w:tr>
      <w:tr>
        <w:trPr>
          <w:trHeight w:val="171"/>
        </w:trPr>
        <w:tc>
          <w:tcPr>
            <w:tcW w:w="5080" w:type="dxa"/>
            <w:vAlign w:val="bottom"/>
          </w:tcPr>
          <w:p>
            <w:pPr>
              <w:spacing w:after="0"/>
              <w:rPr>
                <w:sz w:val="14"/>
                <w:szCs w:val="14"/>
                <w:color w:val="auto"/>
              </w:rPr>
            </w:pPr>
          </w:p>
        </w:tc>
        <w:tc>
          <w:tcPr>
            <w:tcW w:w="12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2013</w:t>
            </w:r>
          </w:p>
        </w:tc>
        <w:tc>
          <w:tcPr>
            <w:tcW w:w="24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 in millions)</w:t>
            </w: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investments(2)</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48</w:t>
            </w:r>
          </w:p>
        </w:tc>
        <w:tc>
          <w:tcPr>
            <w:tcW w:w="5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44</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Number of portfolio companies(2)</w:t>
            </w:r>
          </w:p>
        </w:tc>
        <w:tc>
          <w:tcPr>
            <w:tcW w:w="120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rPr>
              <w:t>28</w:t>
            </w:r>
          </w:p>
        </w:tc>
        <w:tc>
          <w:tcPr>
            <w:tcW w:w="5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28</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size(2)</w:t>
            </w:r>
          </w:p>
        </w:tc>
        <w:tc>
          <w:tcPr>
            <w:tcW w:w="1200" w:type="dxa"/>
            <w:vAlign w:val="bottom"/>
            <w:shd w:val="clear" w:color="auto" w:fill="CCEEFF"/>
          </w:tcPr>
          <w:p>
            <w:pPr>
              <w:jc w:val="right"/>
              <w:ind w:right="1019"/>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Weighted average maturity(2)</w:t>
            </w:r>
          </w:p>
        </w:tc>
        <w:tc>
          <w:tcPr>
            <w:tcW w:w="1200" w:type="dxa"/>
            <w:vAlign w:val="bottom"/>
          </w:tcPr>
          <w:p>
            <w:pPr>
              <w:spacing w:after="0"/>
              <w:rPr>
                <w:sz w:val="18"/>
                <w:szCs w:val="18"/>
                <w:color w:val="auto"/>
              </w:rPr>
            </w:pPr>
          </w:p>
        </w:tc>
        <w:tc>
          <w:tcPr>
            <w:tcW w:w="660" w:type="dxa"/>
            <w:vAlign w:val="bottom"/>
          </w:tcPr>
          <w:p>
            <w:pPr>
              <w:jc w:val="right"/>
              <w:ind w:right="113"/>
              <w:spacing w:after="0"/>
              <w:rPr>
                <w:sz w:val="20"/>
                <w:szCs w:val="20"/>
                <w:color w:val="auto"/>
              </w:rPr>
            </w:pPr>
            <w:r>
              <w:rPr>
                <w:rFonts w:ascii="Arial" w:cs="Arial" w:eastAsia="Arial" w:hAnsi="Arial"/>
                <w:sz w:val="18"/>
                <w:szCs w:val="18"/>
                <w:color w:val="auto"/>
                <w:w w:val="89"/>
              </w:rPr>
              <w:t>3.7yrs</w:t>
            </w:r>
          </w:p>
        </w:tc>
        <w:tc>
          <w:tcPr>
            <w:tcW w:w="520" w:type="dxa"/>
            <w:vAlign w:val="bottom"/>
          </w:tcPr>
          <w:p>
            <w:pPr>
              <w:spacing w:after="0"/>
              <w:rPr>
                <w:sz w:val="18"/>
                <w:szCs w:val="18"/>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3.7yrs</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industries(2)</w:t>
            </w:r>
          </w:p>
        </w:tc>
        <w:tc>
          <w:tcPr>
            <w:tcW w:w="1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16</w:t>
            </w:r>
          </w:p>
        </w:tc>
        <w:tc>
          <w:tcPr>
            <w:tcW w:w="5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r>
      <w:tr>
        <w:trPr>
          <w:trHeight w:val="239"/>
        </w:trPr>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Average investment per portfolio company(2)</w:t>
            </w:r>
          </w:p>
        </w:tc>
        <w:tc>
          <w:tcPr>
            <w:tcW w:w="1200" w:type="dxa"/>
            <w:vAlign w:val="bottom"/>
            <w:tcBorders>
              <w:bottom w:val="single" w:sz="8" w:color="CCEEFF"/>
            </w:tcBorders>
          </w:tcPr>
          <w:p>
            <w:pPr>
              <w:jc w:val="right"/>
              <w:ind w:right="101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tcPr>
          <w:p>
            <w:pPr>
              <w:jc w:val="right"/>
              <w:ind w:right="113"/>
              <w:spacing w:after="0"/>
              <w:rPr>
                <w:sz w:val="20"/>
                <w:szCs w:val="20"/>
                <w:color w:val="auto"/>
              </w:rPr>
            </w:pPr>
            <w:r>
              <w:rPr>
                <w:rFonts w:ascii="Arial" w:cs="Arial" w:eastAsia="Arial" w:hAnsi="Arial"/>
                <w:sz w:val="18"/>
                <w:szCs w:val="18"/>
                <w:color w:val="auto"/>
              </w:rPr>
              <w:t>5.0</w:t>
            </w:r>
          </w:p>
        </w:tc>
        <w:tc>
          <w:tcPr>
            <w:tcW w:w="520" w:type="dxa"/>
            <w:vAlign w:val="bottom"/>
            <w:tcBorders>
              <w:bottom w:val="single" w:sz="8" w:color="CCEEFF"/>
            </w:tcBorders>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4.6</w:t>
            </w:r>
          </w:p>
        </w:tc>
      </w:tr>
    </w:tbl>
    <w:p>
      <w:pPr>
        <w:sectPr>
          <w:pgSz w:w="11900" w:h="16900" w:orient="portrait"/>
          <w:cols w:equalWidth="0" w:num="1">
            <w:col w:w="11400"/>
          </w:cols>
          <w:pgMar w:left="240" w:top="125" w:right="259" w:bottom="0" w:gutter="0" w:footer="0" w:header="0"/>
        </w:sectPr>
      </w:pPr>
    </w:p>
    <w:bookmarkStart w:id="29" w:name="page30"/>
    <w:bookmarkEnd w:id="29"/>
    <w:p>
      <w:pPr>
        <w:spacing w:after="0" w:line="2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investments(2)</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w:t>
            </w:r>
          </w:p>
        </w:tc>
        <w:tc>
          <w:tcPr>
            <w:tcW w:w="6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Fixed rate debt (% of interest bearing portfolio)(1)</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63.7(48.2)%</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53.4(43.9)%</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coupon(1)</w:t>
            </w:r>
          </w:p>
        </w:tc>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Floating rate debt (% of interest bearing portfolio)(1)</w:t>
            </w:r>
          </w:p>
        </w:tc>
        <w:tc>
          <w:tcPr>
            <w:tcW w:w="11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68.4(51.8)%</w:t>
            </w:r>
          </w:p>
        </w:tc>
        <w:tc>
          <w:tcPr>
            <w:tcW w:w="68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68.2(56.1)%</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LIBOR(1)</w:t>
            </w:r>
          </w:p>
        </w:tc>
        <w:tc>
          <w:tcPr>
            <w:tcW w:w="1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7.9%</w:t>
            </w:r>
          </w:p>
        </w:tc>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common stocks.</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During the three months ended May 31, 2013, we made $32.9 million investments in new or existing portfolio companies and had $24.9 million in aggregate amount of exits and repayments resulting in net investments of $8.0 million for the period.</w:t>
      </w:r>
    </w:p>
    <w:p>
      <w:pPr>
        <w:spacing w:after="0" w:line="170"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During the three months ended May 31, 2012, we made $13.3 million investments in new or existing portfolio companies and had $4.5 million in aggregate amount of exits and repayments resulting in net investments of $8.8 million for the period.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composition based on fair value at May 31, 2013 and February 28, 2013 was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1960" w:type="dxa"/>
            <w:vAlign w:val="bottom"/>
            <w:gridSpan w:val="3"/>
          </w:tcPr>
          <w:p>
            <w:pPr>
              <w:ind w:left="960"/>
              <w:spacing w:after="0"/>
              <w:rPr>
                <w:sz w:val="20"/>
                <w:szCs w:val="20"/>
                <w:color w:val="auto"/>
              </w:rPr>
            </w:pPr>
            <w:r>
              <w:rPr>
                <w:rFonts w:ascii="Arial" w:cs="Arial" w:eastAsia="Arial" w:hAnsi="Arial"/>
                <w:sz w:val="14"/>
                <w:szCs w:val="14"/>
                <w:b w:val="1"/>
                <w:bCs w:val="1"/>
                <w:color w:val="auto"/>
                <w:w w:val="93"/>
              </w:rPr>
              <w:t>At May 31, 2013</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6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240" w:type="dxa"/>
            <w:vAlign w:val="bottom"/>
          </w:tcPr>
          <w:p>
            <w:pPr>
              <w:spacing w:after="0"/>
              <w:rPr>
                <w:sz w:val="10"/>
                <w:szCs w:val="10"/>
                <w:color w:val="auto"/>
              </w:rPr>
            </w:pPr>
          </w:p>
        </w:tc>
        <w:tc>
          <w:tcPr>
            <w:tcW w:w="1960" w:type="dxa"/>
            <w:vAlign w:val="bottom"/>
            <w:tcBorders>
              <w:top w:val="single" w:sz="8" w:color="auto"/>
            </w:tcBorders>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0"/>
              </w:rPr>
              <w:t>Percentage</w:t>
            </w:r>
          </w:p>
        </w:tc>
        <w:tc>
          <w:tcPr>
            <w:tcW w:w="960" w:type="dxa"/>
            <w:vAlign w:val="bottom"/>
            <w:tcBorders>
              <w:top w:val="single" w:sz="8" w:color="auto"/>
            </w:tcBorders>
          </w:tcPr>
          <w:p>
            <w:pPr>
              <w:jc w:val="center"/>
              <w:ind w:right="296"/>
              <w:spacing w:after="0" w:line="119" w:lineRule="exact"/>
              <w:rPr>
                <w:sz w:val="20"/>
                <w:szCs w:val="20"/>
                <w:color w:val="auto"/>
              </w:rPr>
            </w:pPr>
            <w:r>
              <w:rPr>
                <w:rFonts w:ascii="Arial" w:cs="Arial" w:eastAsia="Arial" w:hAnsi="Arial"/>
                <w:sz w:val="13"/>
                <w:szCs w:val="13"/>
                <w:b w:val="1"/>
                <w:bCs w:val="1"/>
                <w:color w:val="auto"/>
                <w:w w:val="99"/>
              </w:rPr>
              <w:t>Weighted</w:t>
            </w:r>
          </w:p>
        </w:tc>
        <w:tc>
          <w:tcPr>
            <w:tcW w:w="280" w:type="dxa"/>
            <w:vAlign w:val="bottom"/>
          </w:tcPr>
          <w:p>
            <w:pPr>
              <w:spacing w:after="0"/>
              <w:rPr>
                <w:sz w:val="10"/>
                <w:szCs w:val="10"/>
                <w:color w:val="auto"/>
              </w:rPr>
            </w:pPr>
          </w:p>
        </w:tc>
        <w:tc>
          <w:tcPr>
            <w:tcW w:w="1580" w:type="dxa"/>
            <w:vAlign w:val="bottom"/>
            <w:tcBorders>
              <w:top w:val="single" w:sz="8" w:color="auto"/>
            </w:tcBorders>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87"/>
              </w:rPr>
              <w:t>Percentage</w:t>
            </w:r>
          </w:p>
        </w:tc>
        <w:tc>
          <w:tcPr>
            <w:tcW w:w="13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240" w:type="dxa"/>
            <w:vAlign w:val="bottom"/>
            <w:gridSpan w:val="2"/>
          </w:tcPr>
          <w:p>
            <w:pPr>
              <w:jc w:val="center"/>
              <w:ind w:right="570"/>
              <w:spacing w:after="0" w:line="149" w:lineRule="exact"/>
              <w:rPr>
                <w:sz w:val="20"/>
                <w:szCs w:val="20"/>
                <w:color w:val="auto"/>
              </w:rPr>
            </w:pPr>
            <w:r>
              <w:rPr>
                <w:rFonts w:ascii="Arial" w:cs="Arial" w:eastAsia="Arial" w:hAnsi="Arial"/>
                <w:sz w:val="14"/>
                <w:szCs w:val="14"/>
                <w:b w:val="1"/>
                <w:bCs w:val="1"/>
                <w:color w:val="auto"/>
                <w:w w:val="90"/>
              </w:rPr>
              <w:t>Average</w:t>
            </w:r>
          </w:p>
        </w:tc>
        <w:tc>
          <w:tcPr>
            <w:tcW w:w="1580" w:type="dxa"/>
            <w:vAlign w:val="bottom"/>
            <w:gridSpan w:val="2"/>
            <w:vMerge w:val="continue"/>
          </w:tcPr>
          <w:p>
            <w:pPr>
              <w:spacing w:after="0"/>
              <w:rPr>
                <w:sz w:val="12"/>
                <w:szCs w:val="12"/>
                <w:color w:val="auto"/>
              </w:rPr>
            </w:pP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96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of Total</w:t>
            </w:r>
          </w:p>
        </w:tc>
        <w:tc>
          <w:tcPr>
            <w:tcW w:w="1240" w:type="dxa"/>
            <w:vAlign w:val="bottom"/>
            <w:gridSpan w:val="2"/>
          </w:tcPr>
          <w:p>
            <w:pPr>
              <w:jc w:val="center"/>
              <w:ind w:right="570"/>
              <w:spacing w:after="0" w:line="149" w:lineRule="exact"/>
              <w:rPr>
                <w:sz w:val="20"/>
                <w:szCs w:val="20"/>
                <w:color w:val="auto"/>
              </w:rPr>
            </w:pPr>
            <w:r>
              <w:rPr>
                <w:rFonts w:ascii="Arial" w:cs="Arial" w:eastAsia="Arial" w:hAnsi="Arial"/>
                <w:sz w:val="14"/>
                <w:szCs w:val="14"/>
                <w:b w:val="1"/>
                <w:bCs w:val="1"/>
                <w:color w:val="auto"/>
                <w:w w:val="98"/>
              </w:rPr>
              <w:t>Current</w:t>
            </w:r>
          </w:p>
        </w:tc>
        <w:tc>
          <w:tcPr>
            <w:tcW w:w="158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 Total</w:t>
            </w:r>
          </w:p>
        </w:tc>
        <w:tc>
          <w:tcPr>
            <w:tcW w:w="14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324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5"/>
              </w:rPr>
              <w:t>Yield</w:t>
            </w:r>
          </w:p>
        </w:tc>
        <w:tc>
          <w:tcPr>
            <w:tcW w:w="2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58.0%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10.6%</w:t>
            </w:r>
          </w:p>
        </w:tc>
        <w:tc>
          <w:tcPr>
            <w:tcW w:w="1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Second lien term loans</w:t>
            </w: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11.1</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6.2</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14.7</w:t>
            </w:r>
          </w:p>
        </w:tc>
        <w:tc>
          <w:tcPr>
            <w:tcW w:w="15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Senior unsecured loans</w:t>
            </w:r>
          </w:p>
        </w:tc>
        <w:tc>
          <w:tcPr>
            <w:tcW w:w="19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16.2</w:t>
            </w:r>
          </w:p>
        </w:tc>
        <w:tc>
          <w:tcPr>
            <w:tcW w:w="15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Saratoga CLO subordinated notes</w:t>
            </w: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14.3</w:t>
            </w:r>
          </w:p>
        </w:tc>
        <w:tc>
          <w:tcPr>
            <w:tcW w:w="360" w:type="dxa"/>
            <w:vAlign w:val="bottom"/>
          </w:tcPr>
          <w:p>
            <w:pPr>
              <w:spacing w:after="0"/>
              <w:rPr>
                <w:sz w:val="18"/>
                <w:szCs w:val="18"/>
                <w:color w:val="auto"/>
              </w:rPr>
            </w:pPr>
          </w:p>
        </w:tc>
        <w:tc>
          <w:tcPr>
            <w:tcW w:w="1240" w:type="dxa"/>
            <w:vAlign w:val="bottom"/>
            <w:gridSpan w:val="2"/>
          </w:tcPr>
          <w:p>
            <w:pPr>
              <w:jc w:val="right"/>
              <w:ind w:right="190"/>
              <w:spacing w:after="0"/>
              <w:rPr>
                <w:sz w:val="20"/>
                <w:szCs w:val="20"/>
                <w:color w:val="auto"/>
              </w:rPr>
            </w:pPr>
            <w:r>
              <w:rPr>
                <w:rFonts w:ascii="Arial" w:cs="Arial" w:eastAsia="Arial" w:hAnsi="Arial"/>
                <w:sz w:val="18"/>
                <w:szCs w:val="18"/>
                <w:color w:val="auto"/>
              </w:rPr>
              <w:t>29.3</w:t>
            </w:r>
          </w:p>
        </w:tc>
        <w:tc>
          <w:tcPr>
            <w:tcW w:w="1580" w:type="dxa"/>
            <w:vAlign w:val="bottom"/>
            <w:gridSpan w:val="2"/>
          </w:tcPr>
          <w:p>
            <w:pPr>
              <w:jc w:val="right"/>
              <w:ind w:right="190"/>
              <w:spacing w:after="0"/>
              <w:rPr>
                <w:sz w:val="20"/>
                <w:szCs w:val="20"/>
                <w:color w:val="auto"/>
              </w:rPr>
            </w:pPr>
            <w:r>
              <w:rPr>
                <w:rFonts w:ascii="Arial" w:cs="Arial" w:eastAsia="Arial" w:hAnsi="Arial"/>
                <w:sz w:val="18"/>
                <w:szCs w:val="18"/>
                <w:color w:val="auto"/>
              </w:rPr>
              <w:t>16.5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5.6</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15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w:t>
            </w:r>
          </w:p>
        </w:tc>
        <w:tc>
          <w:tcPr>
            <w:tcW w:w="1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3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investment in the subordinated notes of Saratoga CLO represents a first loss position in a portfolio that, at May 31, 2013 and February 28, 2013, was composed of $354.1 million and $383.3 million, respectively, in aggregate principal amount of predominantly senior secured first lien term loans. This investment is subject to unique risks. (See “Risk Factors—Our investment in GSC Investment Corp. CLO 2007 LTD. constitutes a leveraged investment in a portfolio of predominantly senior secured first lien term loans and is subject to additional risks and volatility” in our Annual Report on Form 10-K for the fiscal year ended February 28, 2013). We do not consolidate the Saratoga CLO portfolio in our financial statements. However, at May 31, 2013, $342.1 million or 99.0% of the Saratoga CLO portfolio investments had a CMR (as defined below) color rating of green or yellow and two Saratoga CLO portfolio investments were in default with a fair value of $1.6 million. At February 28, 2013, $368.9 million or 98.5% of the Saratoga CLO portfolio investments had a CMR color rating of green or yellow and one Saratoga CLO portfolio investment was in default with a fair value of $1.0 million.</w:t>
      </w:r>
    </w:p>
    <w:p>
      <w:pPr>
        <w:spacing w:after="0" w:line="166"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CMR distribution of our investments at May 31, 2013 and February 28, 2013 was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4"/>
          </w:tcPr>
          <w:p>
            <w:pPr>
              <w:jc w:val="right"/>
              <w:ind w:right="1130"/>
              <w:spacing w:after="0"/>
              <w:rPr>
                <w:sz w:val="20"/>
                <w:szCs w:val="20"/>
                <w:color w:val="auto"/>
              </w:rPr>
            </w:pPr>
            <w:r>
              <w:rPr>
                <w:rFonts w:ascii="Arial" w:cs="Arial" w:eastAsia="Arial" w:hAnsi="Arial"/>
                <w:sz w:val="14"/>
                <w:szCs w:val="14"/>
                <w:b w:val="1"/>
                <w:bCs w:val="1"/>
                <w:color w:val="auto"/>
              </w:rPr>
              <w:t>At May 31, 2013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4"/>
          </w:tcPr>
          <w:p>
            <w:pPr>
              <w:jc w:val="right"/>
              <w:ind w:right="91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Investments</w:t>
            </w: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Color</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4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2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rPr>
              <w:t>Score</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Portfolio</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3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6"/>
          </w:tcPr>
          <w:p>
            <w:pPr>
              <w:ind w:left="1000"/>
              <w:spacing w:after="0" w:line="142" w:lineRule="exact"/>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104,677</w:t>
            </w:r>
          </w:p>
        </w:tc>
        <w:tc>
          <w:tcPr>
            <w:tcW w:w="15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63.5%</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100,170</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20,767</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8,143</w:t>
            </w:r>
          </w:p>
        </w:tc>
        <w:tc>
          <w:tcPr>
            <w:tcW w:w="28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6,635</w:t>
            </w:r>
          </w:p>
        </w:tc>
        <w:tc>
          <w:tcPr>
            <w:tcW w:w="1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13,229</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N/A(1)</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32,760</w:t>
            </w:r>
          </w:p>
        </w:tc>
        <w:tc>
          <w:tcPr>
            <w:tcW w:w="1520" w:type="dxa"/>
            <w:vAlign w:val="bottom"/>
            <w:gridSpan w:val="2"/>
          </w:tcPr>
          <w:p>
            <w:pPr>
              <w:jc w:val="right"/>
              <w:ind w:right="19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33,538</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3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164,839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CMR distribution of Saratoga CLO investments at May 31, 2013 and February 28, 2013 was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Color</w:t>
            </w:r>
          </w:p>
        </w:tc>
        <w:tc>
          <w:tcPr>
            <w:tcW w:w="3280" w:type="dxa"/>
            <w:vAlign w:val="bottom"/>
            <w:gridSpan w:val="3"/>
          </w:tcPr>
          <w:p>
            <w:pPr>
              <w:ind w:left="1000"/>
              <w:spacing w:after="0"/>
              <w:rPr>
                <w:sz w:val="20"/>
                <w:szCs w:val="20"/>
                <w:color w:val="auto"/>
              </w:rPr>
            </w:pPr>
            <w:r>
              <w:rPr>
                <w:rFonts w:ascii="Arial" w:cs="Arial" w:eastAsia="Arial" w:hAnsi="Arial"/>
                <w:sz w:val="14"/>
                <w:szCs w:val="14"/>
                <w:b w:val="1"/>
                <w:bCs w:val="1"/>
                <w:color w:val="auto"/>
              </w:rPr>
              <w:t>At May 31, 2013</w:t>
            </w:r>
          </w:p>
        </w:tc>
        <w:tc>
          <w:tcPr>
            <w:tcW w:w="3000" w:type="dxa"/>
            <w:vAlign w:val="bottom"/>
            <w:gridSpan w:val="2"/>
          </w:tcPr>
          <w:p>
            <w:pPr>
              <w:ind w:left="84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80"/>
        </w:trPr>
        <w:tc>
          <w:tcPr>
            <w:tcW w:w="3440" w:type="dxa"/>
            <w:vAlign w:val="bottom"/>
            <w:vMerge w:val="continue"/>
          </w:tcPr>
          <w:p>
            <w:pPr>
              <w:spacing w:after="0"/>
              <w:rPr>
                <w:sz w:val="15"/>
                <w:szCs w:val="15"/>
                <w:color w:val="auto"/>
              </w:rPr>
            </w:pPr>
          </w:p>
        </w:tc>
        <w:tc>
          <w:tcPr>
            <w:tcW w:w="152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Investments</w:t>
            </w:r>
          </w:p>
        </w:tc>
        <w:tc>
          <w:tcPr>
            <w:tcW w:w="1480" w:type="dxa"/>
            <w:vAlign w:val="bottom"/>
            <w:tcBorders>
              <w:top w:val="single" w:sz="8" w:color="auto"/>
            </w:tcBorders>
          </w:tcPr>
          <w:p>
            <w:pPr>
              <w:ind w:left="460"/>
              <w:spacing w:after="0"/>
              <w:rPr>
                <w:sz w:val="20"/>
                <w:szCs w:val="20"/>
                <w:color w:val="auto"/>
              </w:rPr>
            </w:pPr>
            <w:r>
              <w:rPr>
                <w:rFonts w:ascii="Arial" w:cs="Arial" w:eastAsia="Arial" w:hAnsi="Arial"/>
                <w:sz w:val="14"/>
                <w:szCs w:val="14"/>
                <w:b w:val="1"/>
                <w:bCs w:val="1"/>
                <w:color w:val="auto"/>
              </w:rPr>
              <w:t>Percentage</w:t>
            </w:r>
          </w:p>
        </w:tc>
        <w:tc>
          <w:tcPr>
            <w:tcW w:w="280" w:type="dxa"/>
            <w:vAlign w:val="bottom"/>
          </w:tcPr>
          <w:p>
            <w:pPr>
              <w:spacing w:after="0"/>
              <w:rPr>
                <w:sz w:val="15"/>
                <w:szCs w:val="15"/>
                <w:color w:val="auto"/>
              </w:rPr>
            </w:pPr>
          </w:p>
        </w:tc>
        <w:tc>
          <w:tcPr>
            <w:tcW w:w="1520" w:type="dxa"/>
            <w:vAlign w:val="bottom"/>
            <w:tcBorders>
              <w:top w:val="single" w:sz="8" w:color="auto"/>
            </w:tcBorders>
          </w:tcPr>
          <w:p>
            <w:pPr>
              <w:ind w:left="300"/>
              <w:spacing w:after="0"/>
              <w:rPr>
                <w:sz w:val="20"/>
                <w:szCs w:val="20"/>
                <w:color w:val="auto"/>
              </w:rPr>
            </w:pPr>
            <w:r>
              <w:rPr>
                <w:rFonts w:ascii="Arial" w:cs="Arial" w:eastAsia="Arial" w:hAnsi="Arial"/>
                <w:sz w:val="14"/>
                <w:szCs w:val="14"/>
                <w:b w:val="1"/>
                <w:bCs w:val="1"/>
                <w:color w:val="auto"/>
              </w:rPr>
              <w:t>Investments</w:t>
            </w:r>
          </w:p>
        </w:tc>
        <w:tc>
          <w:tcPr>
            <w:tcW w:w="1480" w:type="dxa"/>
            <w:vAlign w:val="bottom"/>
            <w:tcBorders>
              <w:top w:val="single" w:sz="8" w:color="auto"/>
            </w:tcBorders>
          </w:tcPr>
          <w:p>
            <w:pPr>
              <w:ind w:left="46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bl>
    <w:p>
      <w:pPr>
        <w:sectPr>
          <w:pgSz w:w="11900" w:h="16868" w:orient="portrait"/>
          <w:cols w:equalWidth="0" w:num="1">
            <w:col w:w="11380"/>
          </w:cols>
          <w:pgMar w:left="240" w:top="140" w:right="279" w:bottom="0" w:gutter="0" w:footer="0" w:header="0"/>
        </w:sectPr>
      </w:pPr>
    </w:p>
    <w:bookmarkStart w:id="30" w:name="page31"/>
    <w:bookmarkEnd w:id="30"/>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gridSpan w:val="3"/>
          </w:tcPr>
          <w:p>
            <w:pPr>
              <w:ind w:left="660"/>
              <w:spacing w:after="0"/>
              <w:rPr>
                <w:sz w:val="20"/>
                <w:szCs w:val="20"/>
                <w:color w:val="auto"/>
              </w:rPr>
            </w:pPr>
            <w:r>
              <w:rPr>
                <w:rFonts w:ascii="Arial" w:cs="Arial" w:eastAsia="Arial" w:hAnsi="Arial"/>
                <w:sz w:val="14"/>
                <w:szCs w:val="14"/>
                <w:b w:val="1"/>
                <w:bCs w:val="1"/>
                <w:color w:val="auto"/>
              </w:rPr>
              <w:t>Score</w:t>
            </w:r>
          </w:p>
        </w:tc>
        <w:tc>
          <w:tcPr>
            <w:tcW w:w="220" w:type="dxa"/>
            <w:vAlign w:val="bottom"/>
          </w:tcPr>
          <w:p>
            <w:pPr>
              <w:spacing w:after="0"/>
              <w:rPr>
                <w:sz w:val="14"/>
                <w:szCs w:val="1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at</w:t>
            </w:r>
          </w:p>
        </w:tc>
        <w:tc>
          <w:tcPr>
            <w:tcW w:w="200" w:type="dxa"/>
            <w:vAlign w:val="bottom"/>
          </w:tcPr>
          <w:p>
            <w:pPr>
              <w:spacing w:after="0"/>
              <w:rPr>
                <w:sz w:val="14"/>
                <w:szCs w:val="14"/>
                <w:color w:val="auto"/>
              </w:rPr>
            </w:pPr>
          </w:p>
        </w:tc>
        <w:tc>
          <w:tcPr>
            <w:tcW w:w="158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0"/>
              </w:rPr>
              <w:t>of</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6"/>
              </w:rPr>
              <w:t>at</w:t>
            </w:r>
          </w:p>
        </w:tc>
        <w:tc>
          <w:tcPr>
            <w:tcW w:w="15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0"/>
              </w:rPr>
              <w:t>of</w:t>
            </w:r>
          </w:p>
        </w:tc>
        <w:tc>
          <w:tcPr>
            <w:tcW w:w="920" w:type="dxa"/>
            <w:vAlign w:val="bottom"/>
          </w:tcPr>
          <w:p>
            <w:pPr>
              <w:spacing w:after="0"/>
              <w:rPr>
                <w:sz w:val="14"/>
                <w:szCs w:val="14"/>
                <w:color w:val="auto"/>
              </w:rPr>
            </w:pPr>
          </w:p>
        </w:tc>
      </w:tr>
      <w:tr>
        <w:trPr>
          <w:trHeight w:val="149"/>
        </w:trPr>
        <w:tc>
          <w:tcPr>
            <w:tcW w:w="66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Fair Value</w:t>
            </w:r>
          </w:p>
        </w:tc>
        <w:tc>
          <w:tcPr>
            <w:tcW w:w="200" w:type="dxa"/>
            <w:vAlign w:val="bottom"/>
          </w:tcPr>
          <w:p>
            <w:pPr>
              <w:spacing w:after="0"/>
              <w:rPr>
                <w:sz w:val="12"/>
                <w:szCs w:val="12"/>
                <w:color w:val="auto"/>
              </w:rPr>
            </w:pPr>
          </w:p>
        </w:tc>
        <w:tc>
          <w:tcPr>
            <w:tcW w:w="158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Fair Value</w:t>
            </w:r>
          </w:p>
        </w:tc>
        <w:tc>
          <w:tcPr>
            <w:tcW w:w="15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920" w:type="dxa"/>
            <w:vAlign w:val="bottom"/>
          </w:tcPr>
          <w:p>
            <w:pPr>
              <w:spacing w:after="0"/>
              <w:rPr>
                <w:sz w:val="12"/>
                <w:szCs w:val="12"/>
                <w:color w:val="auto"/>
              </w:rPr>
            </w:pPr>
          </w:p>
        </w:tc>
      </w:tr>
      <w:tr>
        <w:trPr>
          <w:trHeight w:val="171"/>
        </w:trPr>
        <w:tc>
          <w:tcPr>
            <w:tcW w:w="6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3"/>
              </w:rPr>
              <w:t>Portfolio</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3"/>
              </w:rPr>
              <w:t>Portfolio</w:t>
            </w:r>
          </w:p>
        </w:tc>
        <w:tc>
          <w:tcPr>
            <w:tcW w:w="920" w:type="dxa"/>
            <w:vAlign w:val="bottom"/>
          </w:tcPr>
          <w:p>
            <w:pPr>
              <w:spacing w:after="0"/>
              <w:rPr>
                <w:sz w:val="14"/>
                <w:szCs w:val="14"/>
                <w:color w:val="auto"/>
              </w:rPr>
            </w:pPr>
          </w:p>
        </w:tc>
      </w:tr>
      <w:tr>
        <w:trPr>
          <w:trHeight w:val="142"/>
        </w:trPr>
        <w:tc>
          <w:tcPr>
            <w:tcW w:w="660" w:type="dxa"/>
            <w:vAlign w:val="bottom"/>
          </w:tcPr>
          <w:p>
            <w:pPr>
              <w:spacing w:after="0"/>
              <w:rPr>
                <w:sz w:val="12"/>
                <w:szCs w:val="12"/>
                <w:color w:val="auto"/>
              </w:rPr>
            </w:pPr>
          </w:p>
        </w:tc>
        <w:tc>
          <w:tcPr>
            <w:tcW w:w="31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10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216"/>
        </w:trPr>
        <w:tc>
          <w:tcPr>
            <w:tcW w:w="66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299,727</w:t>
            </w:r>
          </w:p>
        </w:tc>
        <w:tc>
          <w:tcPr>
            <w:tcW w:w="1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318,181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2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42,372</w:t>
            </w:r>
          </w:p>
        </w:tc>
        <w:tc>
          <w:tcPr>
            <w:tcW w:w="1780" w:type="dxa"/>
            <w:vAlign w:val="bottom"/>
            <w:gridSpan w:val="3"/>
          </w:tcPr>
          <w:p>
            <w:pPr>
              <w:jc w:val="right"/>
              <w:ind w:right="130"/>
              <w:spacing w:after="0"/>
              <w:rPr>
                <w:sz w:val="20"/>
                <w:szCs w:val="20"/>
                <w:color w:val="auto"/>
              </w:rPr>
            </w:pPr>
            <w:r>
              <w:rPr>
                <w:rFonts w:ascii="Arial" w:cs="Arial" w:eastAsia="Arial" w:hAnsi="Arial"/>
                <w:sz w:val="18"/>
                <w:szCs w:val="18"/>
                <w:color w:val="auto"/>
              </w:rPr>
              <w:t>12.3</w:t>
            </w: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50,677</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13.5</w:t>
            </w:r>
          </w:p>
        </w:tc>
        <w:tc>
          <w:tcPr>
            <w:tcW w:w="92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3,597</w:t>
            </w:r>
          </w:p>
        </w:tc>
        <w:tc>
          <w:tcPr>
            <w:tcW w:w="178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920" w:type="dxa"/>
            <w:vAlign w:val="bottom"/>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345,696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374,420</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92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right"/>
              <w:ind w:right="1224"/>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1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at May 31, 2013 and February 28, 2013.</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gridSpan w:val="4"/>
          </w:tcPr>
          <w:p>
            <w:pPr>
              <w:jc w:val="right"/>
              <w:ind w:right="1250"/>
              <w:spacing w:after="0"/>
              <w:rPr>
                <w:sz w:val="20"/>
                <w:szCs w:val="20"/>
                <w:color w:val="auto"/>
              </w:rPr>
            </w:pPr>
            <w:r>
              <w:rPr>
                <w:rFonts w:ascii="Arial" w:cs="Arial" w:eastAsia="Arial" w:hAnsi="Arial"/>
                <w:sz w:val="14"/>
                <w:szCs w:val="14"/>
                <w:b w:val="1"/>
                <w:bCs w:val="1"/>
                <w:color w:val="auto"/>
              </w:rPr>
              <w:t>At May 31, 2013</w:t>
            </w:r>
          </w:p>
        </w:tc>
        <w:tc>
          <w:tcPr>
            <w:tcW w:w="180" w:type="dxa"/>
            <w:vAlign w:val="bottom"/>
          </w:tcPr>
          <w:p>
            <w:pPr>
              <w:spacing w:after="0"/>
              <w:rPr>
                <w:sz w:val="14"/>
                <w:szCs w:val="14"/>
                <w:color w:val="auto"/>
              </w:rPr>
            </w:pPr>
          </w:p>
        </w:tc>
        <w:tc>
          <w:tcPr>
            <w:tcW w:w="290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3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2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5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at</w:t>
            </w:r>
          </w:p>
        </w:tc>
        <w:tc>
          <w:tcPr>
            <w:tcW w:w="1720" w:type="dxa"/>
            <w:vAlign w:val="bottom"/>
            <w:gridSpan w:val="2"/>
          </w:tcPr>
          <w:p>
            <w:pPr>
              <w:jc w:val="center"/>
              <w:ind w:right="250"/>
              <w:spacing w:after="0" w:line="149"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3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at</w:t>
            </w:r>
          </w:p>
        </w:tc>
        <w:tc>
          <w:tcPr>
            <w:tcW w:w="15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Fair Value</w:t>
            </w:r>
          </w:p>
        </w:tc>
        <w:tc>
          <w:tcPr>
            <w:tcW w:w="1720" w:type="dxa"/>
            <w:vAlign w:val="bottom"/>
            <w:gridSpan w:val="2"/>
          </w:tcPr>
          <w:p>
            <w:pPr>
              <w:jc w:val="center"/>
              <w:ind w:right="250"/>
              <w:spacing w:after="0"/>
              <w:rPr>
                <w:sz w:val="20"/>
                <w:szCs w:val="20"/>
                <w:color w:val="auto"/>
              </w:rPr>
            </w:pPr>
            <w:r>
              <w:rPr>
                <w:rFonts w:ascii="Arial" w:cs="Arial" w:eastAsia="Arial" w:hAnsi="Arial"/>
                <w:sz w:val="14"/>
                <w:szCs w:val="14"/>
                <w:b w:val="1"/>
                <w:bCs w:val="1"/>
                <w:color w:val="auto"/>
                <w:w w:val="93"/>
              </w:rPr>
              <w:t>Portfolio</w:t>
            </w:r>
          </w:p>
        </w:tc>
        <w:tc>
          <w:tcPr>
            <w:tcW w:w="180" w:type="dxa"/>
            <w:vAlign w:val="bottom"/>
          </w:tcPr>
          <w:p>
            <w:pPr>
              <w:spacing w:after="0"/>
              <w:rPr>
                <w:sz w:val="14"/>
                <w:szCs w:val="14"/>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3280" w:type="dxa"/>
            <w:vAlign w:val="bottom"/>
            <w:tcBorders>
              <w:top w:val="single" w:sz="8" w:color="auto"/>
            </w:tcBorders>
            <w:gridSpan w:val="5"/>
          </w:tcPr>
          <w:p>
            <w:pPr>
              <w:ind w:left="1020"/>
              <w:spacing w:after="0"/>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7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36,612</w:t>
            </w:r>
          </w:p>
        </w:tc>
        <w:tc>
          <w:tcPr>
            <w:tcW w:w="17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22,155</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Structured Finance Securities(1)</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23,585</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25,517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18,484</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18,199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Automotive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14,877</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14,805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Healthcare Services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12,388</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7.5</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Consumer Services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9,566</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10,654</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8,486</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13,727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Metals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7,426</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6,724</w:t>
            </w: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Electronics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6,766</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4.1</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Software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6,300</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Logistics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6,074</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Publishing</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5,752</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5,631</w:t>
            </w: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Environmental</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4,032</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Aerospace</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3,383</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3,500</w:t>
            </w:r>
          </w:p>
        </w:tc>
        <w:tc>
          <w:tcPr>
            <w:tcW w:w="28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Education</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469</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Homebuilding</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344</w:t>
            </w:r>
          </w:p>
        </w:tc>
        <w:tc>
          <w:tcPr>
            <w:tcW w:w="1720" w:type="dxa"/>
            <w:vAlign w:val="bottom"/>
            <w:gridSpan w:val="2"/>
          </w:tcPr>
          <w:p>
            <w:pPr>
              <w:jc w:val="right"/>
              <w:ind w:right="25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w:t>
            </w:r>
          </w:p>
        </w:tc>
        <w:tc>
          <w:tcPr>
            <w:tcW w:w="1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164,839</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The following table shows the portfolio composition by industry grouping of Saratoga CLO at fair value at May 31, 2013 and February 28, 2013.</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80" w:type="dxa"/>
            <w:vAlign w:val="bottom"/>
            <w:gridSpan w:val="2"/>
          </w:tcPr>
          <w:p>
            <w:pPr>
              <w:ind w:left="200"/>
              <w:spacing w:after="0"/>
              <w:rPr>
                <w:sz w:val="20"/>
                <w:szCs w:val="20"/>
                <w:color w:val="auto"/>
              </w:rPr>
            </w:pPr>
            <w:r>
              <w:rPr>
                <w:rFonts w:ascii="Arial" w:cs="Arial" w:eastAsia="Arial" w:hAnsi="Arial"/>
                <w:sz w:val="14"/>
                <w:szCs w:val="14"/>
                <w:b w:val="1"/>
                <w:bCs w:val="1"/>
                <w:color w:val="auto"/>
              </w:rPr>
              <w:t>At May 31, 2013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3"/>
          </w:tcPr>
          <w:p>
            <w:pPr>
              <w:jc w:val="right"/>
              <w:ind w:right="100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1660" w:type="dxa"/>
            <w:vAlign w:val="bottom"/>
            <w:tcBorders>
              <w:top w:val="single" w:sz="8" w:color="auto"/>
            </w:tcBorders>
            <w:gridSpan w:val="2"/>
            <w:vMerge w:val="restart"/>
          </w:tcPr>
          <w:p>
            <w:pPr>
              <w:jc w:val="center"/>
              <w:ind w:right="231"/>
              <w:spacing w:after="0"/>
              <w:rPr>
                <w:sz w:val="20"/>
                <w:szCs w:val="20"/>
                <w:color w:val="auto"/>
              </w:rPr>
            </w:pPr>
            <w:r>
              <w:rPr>
                <w:rFonts w:ascii="Arial" w:cs="Arial" w:eastAsia="Arial" w:hAnsi="Arial"/>
                <w:sz w:val="14"/>
                <w:szCs w:val="14"/>
                <w:b w:val="1"/>
                <w:bCs w:val="1"/>
                <w:color w:val="auto"/>
                <w:w w:val="90"/>
              </w:rPr>
              <w:t>Investments</w:t>
            </w:r>
          </w:p>
        </w:tc>
        <w:tc>
          <w:tcPr>
            <w:tcW w:w="1020" w:type="dxa"/>
            <w:vAlign w:val="bottom"/>
            <w:tcBorders>
              <w:top w:val="single" w:sz="8" w:color="auto"/>
            </w:tcBorders>
          </w:tcPr>
          <w:p>
            <w:pPr>
              <w:jc w:val="center"/>
              <w:ind w:left="229"/>
              <w:spacing w:after="0" w:line="119" w:lineRule="exact"/>
              <w:rPr>
                <w:sz w:val="20"/>
                <w:szCs w:val="20"/>
                <w:color w:val="auto"/>
              </w:rPr>
            </w:pPr>
            <w:r>
              <w:rPr>
                <w:rFonts w:ascii="Arial" w:cs="Arial" w:eastAsia="Arial" w:hAnsi="Arial"/>
                <w:sz w:val="13"/>
                <w:szCs w:val="13"/>
                <w:b w:val="1"/>
                <w:bCs w:val="1"/>
                <w:color w:val="auto"/>
                <w:w w:val="96"/>
              </w:rPr>
              <w:t>Percentage</w:t>
            </w:r>
          </w:p>
        </w:tc>
        <w:tc>
          <w:tcPr>
            <w:tcW w:w="3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vMerge w:val="restart"/>
          </w:tcPr>
          <w:p>
            <w:pPr>
              <w:jc w:val="center"/>
              <w:ind w:right="433"/>
              <w:spacing w:after="0"/>
              <w:rPr>
                <w:sz w:val="20"/>
                <w:szCs w:val="20"/>
                <w:color w:val="auto"/>
              </w:rPr>
            </w:pPr>
            <w:r>
              <w:rPr>
                <w:rFonts w:ascii="Arial" w:cs="Arial" w:eastAsia="Arial" w:hAnsi="Arial"/>
                <w:sz w:val="14"/>
                <w:szCs w:val="14"/>
                <w:b w:val="1"/>
                <w:bCs w:val="1"/>
                <w:color w:val="auto"/>
                <w:w w:val="90"/>
              </w:rPr>
              <w:t>Investments</w:t>
            </w:r>
          </w:p>
        </w:tc>
        <w:tc>
          <w:tcPr>
            <w:tcW w:w="13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020" w:type="dxa"/>
            <w:vAlign w:val="bottom"/>
          </w:tcPr>
          <w:p>
            <w:pPr>
              <w:jc w:val="center"/>
              <w:ind w:left="229"/>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0" w:type="dxa"/>
            <w:vAlign w:val="bottom"/>
          </w:tcPr>
          <w:p>
            <w:pPr>
              <w:jc w:val="center"/>
              <w:ind w:left="484"/>
              <w:spacing w:after="0" w:line="149" w:lineRule="exact"/>
              <w:rPr>
                <w:sz w:val="20"/>
                <w:szCs w:val="20"/>
                <w:color w:val="auto"/>
              </w:rPr>
            </w:pPr>
            <w:r>
              <w:rPr>
                <w:rFonts w:ascii="Arial" w:cs="Arial" w:eastAsia="Arial" w:hAnsi="Arial"/>
                <w:sz w:val="14"/>
                <w:szCs w:val="14"/>
                <w:b w:val="1"/>
                <w:bCs w:val="1"/>
                <w:color w:val="auto"/>
                <w:w w:val="96"/>
              </w:rPr>
              <w:t>at</w:t>
            </w:r>
          </w:p>
        </w:tc>
        <w:tc>
          <w:tcPr>
            <w:tcW w:w="860" w:type="dxa"/>
            <w:vAlign w:val="bottom"/>
          </w:tcPr>
          <w:p>
            <w:pPr>
              <w:spacing w:after="0"/>
              <w:rPr>
                <w:sz w:val="12"/>
                <w:szCs w:val="12"/>
                <w:color w:val="auto"/>
              </w:rPr>
            </w:pPr>
          </w:p>
        </w:tc>
        <w:tc>
          <w:tcPr>
            <w:tcW w:w="1020" w:type="dxa"/>
            <w:vAlign w:val="bottom"/>
          </w:tcPr>
          <w:p>
            <w:pPr>
              <w:jc w:val="center"/>
              <w:ind w:left="229"/>
              <w:spacing w:after="0" w:line="149" w:lineRule="exact"/>
              <w:rPr>
                <w:sz w:val="20"/>
                <w:szCs w:val="20"/>
                <w:color w:val="auto"/>
              </w:rPr>
            </w:pPr>
            <w:r>
              <w:rPr>
                <w:rFonts w:ascii="Arial" w:cs="Arial" w:eastAsia="Arial" w:hAnsi="Arial"/>
                <w:sz w:val="14"/>
                <w:szCs w:val="14"/>
                <w:b w:val="1"/>
                <w:bCs w:val="1"/>
                <w:color w:val="auto"/>
                <w:w w:val="95"/>
              </w:rPr>
              <w:t>Total</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ind w:right="413"/>
              <w:spacing w:after="0" w:line="149" w:lineRule="exact"/>
              <w:rPr>
                <w:sz w:val="20"/>
                <w:szCs w:val="20"/>
                <w:color w:val="auto"/>
              </w:rPr>
            </w:pPr>
            <w:r>
              <w:rPr>
                <w:rFonts w:ascii="Arial" w:cs="Arial" w:eastAsia="Arial" w:hAnsi="Arial"/>
                <w:sz w:val="14"/>
                <w:szCs w:val="14"/>
                <w:b w:val="1"/>
                <w:bCs w:val="1"/>
                <w:color w:val="auto"/>
                <w:w w:val="96"/>
              </w:rPr>
              <w:t>at</w:t>
            </w:r>
          </w:p>
        </w:tc>
        <w:tc>
          <w:tcPr>
            <w:tcW w:w="1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60" w:type="dxa"/>
            <w:vAlign w:val="bottom"/>
            <w:gridSpan w:val="2"/>
          </w:tcPr>
          <w:p>
            <w:pPr>
              <w:jc w:val="center"/>
              <w:ind w:right="211"/>
              <w:spacing w:after="0"/>
              <w:rPr>
                <w:sz w:val="20"/>
                <w:szCs w:val="20"/>
                <w:color w:val="auto"/>
              </w:rPr>
            </w:pPr>
            <w:r>
              <w:rPr>
                <w:rFonts w:ascii="Arial" w:cs="Arial" w:eastAsia="Arial" w:hAnsi="Arial"/>
                <w:sz w:val="14"/>
                <w:szCs w:val="14"/>
                <w:b w:val="1"/>
                <w:bCs w:val="1"/>
                <w:color w:val="auto"/>
                <w:w w:val="95"/>
              </w:rPr>
              <w:t>Fair Value</w:t>
            </w:r>
          </w:p>
        </w:tc>
        <w:tc>
          <w:tcPr>
            <w:tcW w:w="1020" w:type="dxa"/>
            <w:vAlign w:val="bottom"/>
          </w:tcPr>
          <w:p>
            <w:pPr>
              <w:jc w:val="center"/>
              <w:ind w:left="209"/>
              <w:spacing w:after="0"/>
              <w:rPr>
                <w:sz w:val="20"/>
                <w:szCs w:val="20"/>
                <w:color w:val="auto"/>
              </w:rPr>
            </w:pPr>
            <w:r>
              <w:rPr>
                <w:rFonts w:ascii="Arial" w:cs="Arial" w:eastAsia="Arial" w:hAnsi="Arial"/>
                <w:sz w:val="14"/>
                <w:szCs w:val="14"/>
                <w:b w:val="1"/>
                <w:bCs w:val="1"/>
                <w:color w:val="auto"/>
                <w:w w:val="93"/>
              </w:rPr>
              <w:t>Portfolio</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tcPr>
          <w:p>
            <w:pPr>
              <w:jc w:val="center"/>
              <w:ind w:right="413"/>
              <w:spacing w:after="0"/>
              <w:rPr>
                <w:sz w:val="20"/>
                <w:szCs w:val="20"/>
                <w:color w:val="auto"/>
              </w:rPr>
            </w:pPr>
            <w:r>
              <w:rPr>
                <w:rFonts w:ascii="Arial" w:cs="Arial" w:eastAsia="Arial" w:hAnsi="Arial"/>
                <w:sz w:val="14"/>
                <w:szCs w:val="14"/>
                <w:b w:val="1"/>
                <w:bCs w:val="1"/>
                <w:color w:val="auto"/>
                <w:w w:val="95"/>
              </w:rPr>
              <w:t>Fair Value</w:t>
            </w:r>
          </w:p>
        </w:tc>
        <w:tc>
          <w:tcPr>
            <w:tcW w:w="15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280" w:type="dxa"/>
            <w:vAlign w:val="bottom"/>
            <w:tcBorders>
              <w:top w:val="single" w:sz="8" w:color="auto"/>
            </w:tcBorders>
            <w:gridSpan w:val="5"/>
          </w:tcPr>
          <w:p>
            <w:pPr>
              <w:jc w:val="right"/>
              <w:ind w:right="1213"/>
              <w:spacing w:after="0"/>
              <w:rPr>
                <w:sz w:val="20"/>
                <w:szCs w:val="20"/>
                <w:color w:val="auto"/>
              </w:rPr>
            </w:pPr>
            <w:r>
              <w:rPr>
                <w:rFonts w:ascii="Arial" w:cs="Arial" w:eastAsia="Arial" w:hAnsi="Arial"/>
                <w:sz w:val="14"/>
                <w:szCs w:val="14"/>
                <w:b w:val="1"/>
                <w:bCs w:val="1"/>
                <w:color w:val="auto"/>
              </w:rPr>
              <w:t>($ in thousands)</w:t>
            </w:r>
          </w:p>
        </w:tc>
        <w:tc>
          <w:tcPr>
            <w:tcW w:w="1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3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800" w:type="dxa"/>
            <w:vAlign w:val="bottom"/>
            <w:shd w:val="clear" w:color="auto" w:fill="CCEEFF"/>
          </w:tcPr>
          <w:p>
            <w:pPr>
              <w:jc w:val="right"/>
              <w:ind w:right="624"/>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8"/>
              </w:rPr>
              <w:t>40,171</w:t>
            </w:r>
          </w:p>
        </w:tc>
        <w:tc>
          <w:tcPr>
            <w:tcW w:w="10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11.6%  $</w:t>
            </w: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40,502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Chemicals/Plastics</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w w:val="98"/>
              </w:rPr>
              <w:t>28,741</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28,817</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Conglomerate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8"/>
              </w:rPr>
              <w:t>28,538</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29,888</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Business Equipment and Services</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w w:val="98"/>
              </w:rPr>
              <w:t>27,197</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28,300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8"/>
              </w:rPr>
              <w:t>21,438</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21,864</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Financial Intermediaries</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w w:val="98"/>
              </w:rPr>
              <w:t>21,404</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20,199</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8"/>
              </w:rPr>
              <w:t>20,834</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20,914</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w w:val="98"/>
              </w:rPr>
              <w:t>18,937</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19,050</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Drugs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8"/>
              </w:rPr>
              <w:t>18,106</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18,226</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Food Products</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w w:val="98"/>
              </w:rPr>
              <w:t>17,622</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21,016</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Electronics/Electric</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8"/>
              </w:rPr>
              <w:t>16,048</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26,321</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Automotive</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w w:val="98"/>
              </w:rPr>
              <w:t>10,647</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10,625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w w:val="98"/>
              </w:rPr>
              <w:t>10,277</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9,932</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Leisure Goods/Activities/Movies</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8,946</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8,879</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Lodging and Casinos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7,241</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7,400</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Insurance</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6,634</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6,648</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6,511</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10,951</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Nonferrous Metals/Minerals</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5,252</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5,187</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Food Services</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5,199</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5,491</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Brokers/Dealers/Investment Houses</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3,321</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3,311</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3,242</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5,657</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Telecommunications/Cellular</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3,073</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3,076</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Beverage and Tobacco</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3,029</w:t>
            </w: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3,037</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Home Furnishings</w:t>
            </w:r>
          </w:p>
        </w:tc>
        <w:tc>
          <w:tcPr>
            <w:tcW w:w="800" w:type="dxa"/>
            <w:vAlign w:val="bottom"/>
          </w:tcPr>
          <w:p>
            <w:pPr>
              <w:spacing w:after="0"/>
              <w:rPr>
                <w:sz w:val="18"/>
                <w:szCs w:val="18"/>
                <w:color w:val="auto"/>
              </w:rPr>
            </w:pPr>
          </w:p>
        </w:tc>
        <w:tc>
          <w:tcPr>
            <w:tcW w:w="860" w:type="dxa"/>
            <w:vAlign w:val="bottom"/>
          </w:tcPr>
          <w:p>
            <w:pPr>
              <w:jc w:val="right"/>
              <w:ind w:right="211"/>
              <w:spacing w:after="0"/>
              <w:rPr>
                <w:sz w:val="20"/>
                <w:szCs w:val="20"/>
                <w:color w:val="auto"/>
              </w:rPr>
            </w:pPr>
            <w:r>
              <w:rPr>
                <w:rFonts w:ascii="Arial" w:cs="Arial" w:eastAsia="Arial" w:hAnsi="Arial"/>
                <w:sz w:val="18"/>
                <w:szCs w:val="18"/>
                <w:color w:val="auto"/>
              </w:rPr>
              <w:t>2,995</w:t>
            </w:r>
          </w:p>
        </w:tc>
        <w:tc>
          <w:tcPr>
            <w:tcW w:w="102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1460" w:type="dxa"/>
            <w:vAlign w:val="bottom"/>
          </w:tcPr>
          <w:p>
            <w:pPr>
              <w:jc w:val="right"/>
              <w:ind w:right="213"/>
              <w:spacing w:after="0"/>
              <w:rPr>
                <w:sz w:val="20"/>
                <w:szCs w:val="20"/>
                <w:color w:val="auto"/>
              </w:rPr>
            </w:pPr>
            <w:r>
              <w:rPr>
                <w:rFonts w:ascii="Arial" w:cs="Arial" w:eastAsia="Arial" w:hAnsi="Arial"/>
                <w:sz w:val="18"/>
                <w:szCs w:val="18"/>
                <w:color w:val="auto"/>
              </w:rPr>
              <w:t>2,984</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70"/>
        </w:trPr>
        <w:tc>
          <w:tcPr>
            <w:tcW w:w="20" w:type="dxa"/>
            <w:vAlign w:val="bottom"/>
            <w:shd w:val="clear" w:color="auto" w:fill="CCEEFF"/>
          </w:tcPr>
          <w:p>
            <w:pPr>
              <w:spacing w:after="0"/>
              <w:rPr>
                <w:sz w:val="6"/>
                <w:szCs w:val="6"/>
                <w:color w:val="auto"/>
              </w:rPr>
            </w:pPr>
          </w:p>
        </w:tc>
        <w:tc>
          <w:tcPr>
            <w:tcW w:w="34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460" w:type="dxa"/>
            <w:vAlign w:val="bottom"/>
            <w:shd w:val="clear" w:color="auto" w:fill="CCEEFF"/>
          </w:tcPr>
          <w:p>
            <w:pPr>
              <w:spacing w:after="0"/>
              <w:rPr>
                <w:sz w:val="6"/>
                <w:szCs w:val="6"/>
                <w:color w:val="auto"/>
              </w:rPr>
            </w:pPr>
          </w:p>
        </w:tc>
        <w:tc>
          <w:tcPr>
            <w:tcW w:w="13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60"/>
          </w:cols>
          <w:pgMar w:left="240" w:top="104" w:right="19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Cable and Satellite Television</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2,688</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0.8</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Containers/Glass Products</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1,994</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0.6</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2,009</w:t>
            </w:r>
          </w:p>
        </w:tc>
        <w:tc>
          <w:tcPr>
            <w:tcW w:w="28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Food/Drug Retailers</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1,987</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Broadcast Radio and Television</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1,009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0.3</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1,010</w:t>
            </w:r>
          </w:p>
        </w:tc>
        <w:tc>
          <w:tcPr>
            <w:tcW w:w="28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Steel</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0.3</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Clothing/Textiles</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861</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0.2</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861</w:t>
            </w: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Ecological Services and Equipment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w:t>
            </w:r>
          </w:p>
        </w:tc>
        <w:tc>
          <w:tcPr>
            <w:tcW w:w="15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Building and Development</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60" w:type="dxa"/>
            <w:vAlign w:val="bottom"/>
            <w:gridSpan w:val="3"/>
          </w:tcPr>
          <w:p>
            <w:pPr>
              <w:jc w:val="right"/>
              <w:ind w:right="61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2,124</w:t>
            </w:r>
          </w:p>
        </w:tc>
        <w:tc>
          <w:tcPr>
            <w:tcW w:w="280" w:type="dxa"/>
            <w:vAlign w:val="bottom"/>
          </w:tcPr>
          <w:p>
            <w:pPr>
              <w:spacing w:after="0"/>
              <w:rPr>
                <w:sz w:val="18"/>
                <w:szCs w:val="18"/>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0.6</w:t>
            </w:r>
          </w:p>
        </w:tc>
      </w:tr>
      <w:tr>
        <w:trPr>
          <w:trHeight w:val="223"/>
        </w:trPr>
        <w:tc>
          <w:tcPr>
            <w:tcW w:w="3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345,696</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374,420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34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ectPr>
          <w:pgSz w:w="11900" w:h="16838" w:orient="portrait"/>
          <w:cols w:equalWidth="0" w:num="1">
            <w:col w:w="9880"/>
          </w:cols>
          <w:pgMar w:left="900" w:top="140" w:right="1119" w:bottom="1440" w:gutter="0" w:footer="0" w:header="0"/>
        </w:sectPr>
      </w:pPr>
    </w:p>
    <w:bookmarkStart w:id="32" w:name="page33"/>
    <w:bookmarkEnd w:id="32"/>
    <w:p>
      <w:pPr>
        <w:spacing w:after="0" w:line="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 shows the portfolio composition by geographic location at fair value at May 31, 2013 and February 28, 2013. The geographic composition is determined by the location of the corporate headquarters of the portfolio company.</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60" w:type="dxa"/>
            <w:vAlign w:val="bottom"/>
            <w:gridSpan w:val="4"/>
          </w:tcPr>
          <w:p>
            <w:pPr>
              <w:jc w:val="right"/>
              <w:ind w:right="1170"/>
              <w:spacing w:after="0"/>
              <w:rPr>
                <w:sz w:val="20"/>
                <w:szCs w:val="20"/>
                <w:color w:val="auto"/>
              </w:rPr>
            </w:pPr>
            <w:r>
              <w:rPr>
                <w:rFonts w:ascii="Arial" w:cs="Arial" w:eastAsia="Arial" w:hAnsi="Arial"/>
                <w:sz w:val="14"/>
                <w:szCs w:val="14"/>
                <w:b w:val="1"/>
                <w:bCs w:val="1"/>
                <w:color w:val="auto"/>
              </w:rPr>
              <w:t>At May 31, 2013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20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5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6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at</w:t>
            </w:r>
          </w:p>
        </w:tc>
        <w:tc>
          <w:tcPr>
            <w:tcW w:w="15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3"/>
              </w:rPr>
              <w:t>Portfolio</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Fair Value</w:t>
            </w:r>
          </w:p>
        </w:tc>
        <w:tc>
          <w:tcPr>
            <w:tcW w:w="152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0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300" w:type="dxa"/>
            <w:vAlign w:val="bottom"/>
            <w:tcBorders>
              <w:top w:val="single" w:sz="8" w:color="auto"/>
            </w:tcBorders>
            <w:gridSpan w:val="6"/>
          </w:tcPr>
          <w:p>
            <w:pPr>
              <w:ind w:left="1020"/>
              <w:spacing w:after="0" w:line="142" w:lineRule="exact"/>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Southeast</w:t>
            </w:r>
          </w:p>
        </w:tc>
        <w:tc>
          <w:tcPr>
            <w:tcW w:w="1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71,867</w:t>
            </w:r>
          </w:p>
        </w:tc>
        <w:tc>
          <w:tcPr>
            <w:tcW w:w="1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70,476</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West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32,514</w:t>
            </w:r>
          </w:p>
        </w:tc>
        <w:tc>
          <w:tcPr>
            <w:tcW w:w="1620" w:type="dxa"/>
            <w:vAlign w:val="bottom"/>
            <w:gridSpan w:val="2"/>
          </w:tcPr>
          <w:p>
            <w:pPr>
              <w:jc w:val="right"/>
              <w:ind w:right="17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26,573</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23,585</w:t>
            </w:r>
          </w:p>
        </w:tc>
        <w:tc>
          <w:tcPr>
            <w:tcW w:w="1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tcPr>
          <w:p>
            <w:pPr>
              <w:spacing w:after="0"/>
              <w:rPr>
                <w:sz w:val="20"/>
                <w:szCs w:val="20"/>
                <w:color w:val="auto"/>
              </w:rPr>
            </w:pPr>
            <w:r>
              <w:rPr>
                <w:rFonts w:ascii="Arial" w:cs="Arial" w:eastAsia="Arial" w:hAnsi="Arial"/>
                <w:sz w:val="18"/>
                <w:szCs w:val="18"/>
                <w:color w:val="auto"/>
              </w:rPr>
              <w:t>Midwest</w:t>
            </w: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21,530</w:t>
            </w:r>
          </w:p>
        </w:tc>
        <w:tc>
          <w:tcPr>
            <w:tcW w:w="1620" w:type="dxa"/>
            <w:vAlign w:val="bottom"/>
            <w:gridSpan w:val="2"/>
          </w:tcPr>
          <w:p>
            <w:pPr>
              <w:jc w:val="right"/>
              <w:ind w:right="170"/>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18,469</w:t>
            </w:r>
          </w:p>
        </w:tc>
        <w:tc>
          <w:tcPr>
            <w:tcW w:w="136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Northeast</w:t>
            </w:r>
          </w:p>
        </w:tc>
        <w:tc>
          <w:tcPr>
            <w:tcW w:w="1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15,343</w:t>
            </w:r>
          </w:p>
        </w:tc>
        <w:tc>
          <w:tcPr>
            <w:tcW w:w="1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14,045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6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164,839</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6680" w:type="dxa"/>
            <w:vAlign w:val="bottom"/>
            <w:gridSpan w:val="2"/>
          </w:tcPr>
          <w:p>
            <w:pPr>
              <w:ind w:left="220"/>
              <w:spacing w:after="0"/>
              <w:rPr>
                <w:sz w:val="20"/>
                <w:szCs w:val="20"/>
                <w:color w:val="auto"/>
              </w:rPr>
            </w:pPr>
            <w:r>
              <w:rPr>
                <w:rFonts w:ascii="Arial" w:cs="Arial" w:eastAsia="Arial" w:hAnsi="Arial"/>
                <w:sz w:val="18"/>
                <w:szCs w:val="18"/>
                <w:color w:val="auto"/>
              </w:rPr>
              <w:t>Comprised of our investment in the subordinated notes of Saratoga CLO.</w:t>
            </w: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32"/>
        </w:trPr>
        <w:tc>
          <w:tcPr>
            <w:tcW w:w="440" w:type="dxa"/>
            <w:vAlign w:val="bottom"/>
          </w:tcPr>
          <w:p>
            <w:pPr>
              <w:spacing w:after="0"/>
              <w:rPr>
                <w:sz w:val="24"/>
                <w:szCs w:val="24"/>
                <w:color w:val="auto"/>
              </w:rPr>
            </w:pPr>
          </w:p>
        </w:tc>
        <w:tc>
          <w:tcPr>
            <w:tcW w:w="6680" w:type="dxa"/>
            <w:vAlign w:val="bottom"/>
            <w:gridSpan w:val="2"/>
          </w:tcPr>
          <w:p>
            <w:pPr>
              <w:jc w:val="right"/>
              <w:ind w:right="132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8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r>
        <w:trPr>
          <w:trHeight w:val="523"/>
        </w:trPr>
        <w:tc>
          <w:tcPr>
            <w:tcW w:w="71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53"/>
        </w:trPr>
        <w:tc>
          <w:tcPr>
            <w:tcW w:w="712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32"/>
        </w:trPr>
        <w:tc>
          <w:tcPr>
            <w:tcW w:w="440" w:type="dxa"/>
            <w:vAlign w:val="bottom"/>
          </w:tcPr>
          <w:p>
            <w:pPr>
              <w:spacing w:after="0"/>
              <w:rPr>
                <w:sz w:val="24"/>
                <w:szCs w:val="24"/>
                <w:color w:val="auto"/>
              </w:rPr>
            </w:pPr>
          </w:p>
        </w:tc>
        <w:tc>
          <w:tcPr>
            <w:tcW w:w="6680" w:type="dxa"/>
            <w:vAlign w:val="bottom"/>
            <w:gridSpan w:val="2"/>
          </w:tcPr>
          <w:p>
            <w:pPr>
              <w:ind w:left="220"/>
              <w:spacing w:after="0"/>
              <w:rPr>
                <w:sz w:val="20"/>
                <w:szCs w:val="20"/>
                <w:color w:val="auto"/>
              </w:rPr>
            </w:pPr>
            <w:r>
              <w:rPr>
                <w:rFonts w:ascii="Arial" w:cs="Arial" w:eastAsia="Arial" w:hAnsi="Arial"/>
                <w:sz w:val="18"/>
                <w:szCs w:val="18"/>
                <w:color w:val="auto"/>
                <w:w w:val="95"/>
              </w:rPr>
              <w:t>Operating results for the three months ended May 31, 2013 and 2012 are as follows:</w:t>
            </w: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65"/>
        </w:trPr>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580" w:type="dxa"/>
            <w:vAlign w:val="bottom"/>
            <w:tcBorders>
              <w:bottom w:val="single" w:sz="8" w:color="auto"/>
            </w:tcBorders>
            <w:gridSpan w:val="5"/>
          </w:tcPr>
          <w:p>
            <w:pPr>
              <w:jc w:val="right"/>
              <w:ind w:right="18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9"/>
        </w:trPr>
        <w:tc>
          <w:tcPr>
            <w:tcW w:w="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May 31,</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May 31,</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71"/>
        </w:trPr>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36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2"/>
        </w:trPr>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542"/>
              <w:spacing w:after="0" w:line="142" w:lineRule="exact"/>
              <w:rPr>
                <w:sz w:val="20"/>
                <w:szCs w:val="20"/>
                <w:color w:val="auto"/>
              </w:rPr>
            </w:pPr>
            <w:r>
              <w:rPr>
                <w:rFonts w:ascii="Arial" w:cs="Arial" w:eastAsia="Arial" w:hAnsi="Arial"/>
                <w:sz w:val="14"/>
                <w:szCs w:val="14"/>
                <w:b w:val="1"/>
                <w:bCs w:val="1"/>
                <w:color w:val="auto"/>
                <w:w w:val="94"/>
              </w:rPr>
              <w:t>($ in thousands)</w:t>
            </w: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360" w:type="dxa"/>
            <w:vAlign w:val="bottom"/>
            <w:gridSpan w:val="2"/>
            <w:shd w:val="clear" w:color="auto" w:fill="CCEEFF"/>
          </w:tcPr>
          <w:p>
            <w:pPr>
              <w:jc w:val="right"/>
              <w:ind w:right="78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6,018</w:t>
            </w:r>
          </w:p>
        </w:tc>
        <w:tc>
          <w:tcPr>
            <w:tcW w:w="940" w:type="dxa"/>
            <w:vAlign w:val="bottom"/>
            <w:gridSpan w:val="2"/>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3,619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Total expenses, net</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3,548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2,346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712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2,470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1,273</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120" w:type="dxa"/>
            <w:vAlign w:val="bottom"/>
            <w:gridSpan w:val="3"/>
          </w:tcPr>
          <w:p>
            <w:pPr>
              <w:spacing w:after="0"/>
              <w:rPr>
                <w:sz w:val="20"/>
                <w:szCs w:val="20"/>
                <w:color w:val="auto"/>
              </w:rPr>
            </w:pPr>
            <w:r>
              <w:rPr>
                <w:rFonts w:ascii="Arial" w:cs="Arial" w:eastAsia="Arial" w:hAnsi="Arial"/>
                <w:sz w:val="18"/>
                <w:szCs w:val="18"/>
                <w:color w:val="auto"/>
              </w:rPr>
              <w:t>Net realized gains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529</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7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unrealized gains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1,739</w:t>
            </w:r>
          </w:p>
        </w:tc>
        <w:tc>
          <w:tcPr>
            <w:tcW w:w="1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7120" w:type="dxa"/>
            <w:vAlign w:val="bottom"/>
            <w:gridSpan w:val="3"/>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3,800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3,191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-2317115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-2317115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 income for the three months ended May 31, 2013 and 2012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80" w:type="dxa"/>
            <w:vAlign w:val="bottom"/>
            <w:tcBorders>
              <w:bottom w:val="single" w:sz="8" w:color="auto"/>
            </w:tcBorders>
            <w:gridSpan w:val="5"/>
          </w:tcPr>
          <w:p>
            <w:pPr>
              <w:jc w:val="right"/>
              <w:ind w:right="182"/>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8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9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May 31,</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May 31,</w:t>
            </w: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5840" w:type="dxa"/>
            <w:vAlign w:val="bottom"/>
          </w:tcPr>
          <w:p>
            <w:pPr>
              <w:spacing w:after="0"/>
              <w:rPr>
                <w:sz w:val="14"/>
                <w:szCs w:val="14"/>
                <w:color w:val="auto"/>
              </w:rPr>
            </w:pPr>
          </w:p>
        </w:tc>
        <w:tc>
          <w:tcPr>
            <w:tcW w:w="264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2013</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62"/>
              <w:spacing w:after="0"/>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542"/>
              <w:spacing w:after="0" w:line="142" w:lineRule="exact"/>
              <w:rPr>
                <w:sz w:val="20"/>
                <w:szCs w:val="20"/>
                <w:color w:val="auto"/>
              </w:rPr>
            </w:pPr>
            <w:r>
              <w:rPr>
                <w:rFonts w:ascii="Arial" w:cs="Arial" w:eastAsia="Arial" w:hAnsi="Arial"/>
                <w:sz w:val="14"/>
                <w:szCs w:val="14"/>
                <w:b w:val="1"/>
                <w:bCs w:val="1"/>
                <w:color w:val="auto"/>
                <w:w w:val="94"/>
              </w:rPr>
              <w:t>($ in thousands)</w:t>
            </w: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2640" w:type="dxa"/>
            <w:vAlign w:val="bottom"/>
            <w:gridSpan w:val="2"/>
            <w:shd w:val="clear" w:color="auto" w:fill="CCEEFF"/>
          </w:tcPr>
          <w:p>
            <w:pPr>
              <w:jc w:val="right"/>
              <w:ind w:right="789"/>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5,172</w:t>
            </w:r>
          </w:p>
        </w:tc>
        <w:tc>
          <w:tcPr>
            <w:tcW w:w="940" w:type="dxa"/>
            <w:vAlign w:val="bottom"/>
            <w:gridSpan w:val="2"/>
            <w:shd w:val="clear" w:color="auto" w:fill="CCEEFF"/>
          </w:tcPr>
          <w:p>
            <w:pPr>
              <w:jc w:val="right"/>
              <w:ind w:right="802"/>
              <w:spacing w:after="0"/>
              <w:rPr>
                <w:sz w:val="20"/>
                <w:szCs w:val="20"/>
                <w:color w:val="auto"/>
              </w:rPr>
            </w:pPr>
            <w:r>
              <w:rPr>
                <w:rFonts w:ascii="Arial" w:cs="Arial" w:eastAsia="Arial" w:hAnsi="Arial"/>
                <w:sz w:val="15"/>
                <w:szCs w:val="15"/>
                <w:color w:val="auto"/>
                <w:w w:val="71"/>
              </w:rPr>
              <w:t>$</w:t>
            </w: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8"/>
              </w:rPr>
              <w:t>3,111</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Management fee income from Saratoga CLO</w:t>
            </w:r>
          </w:p>
        </w:tc>
        <w:tc>
          <w:tcPr>
            <w:tcW w:w="17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498</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17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348</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6,018</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802"/>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3,619</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For the three months ended May 31, 2013, total investment income increased $2.4 million, or 66.3% compared to the three months ended May 31, 2012. The increase in total investment income for the three months ended May 31, 2013 versus the three months ended May 31, 2012 was the result of a higher average portfolio for the three months ended May 31, 2013.</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May 31, 2013 and 2012, total PIK income was $0.2 million and $0.3 million, respectively.</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reinvestment period for Saratoga CLO ended in January 2013. As a result, proceeds from principal payments in the loan portfolio of Saratoga CLO must now be used to paydown its outstanding notes. Thus, the management fee income and investment income that we will receive from Saratoga CLO will decline in future periods.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expenses for the three months ended May 31, 2013 and 2012 was as follows: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660" w:type="dxa"/>
            <w:vAlign w:val="bottom"/>
            <w:tcBorders>
              <w:bottom w:val="single" w:sz="8" w:color="auto"/>
            </w:tcBorders>
            <w:gridSpan w:val="3"/>
          </w:tcPr>
          <w:p>
            <w:pPr>
              <w:jc w:val="center"/>
              <w:ind w:left="251"/>
              <w:spacing w:after="0"/>
              <w:rPr>
                <w:sz w:val="20"/>
                <w:szCs w:val="20"/>
                <w:color w:val="auto"/>
              </w:rPr>
            </w:pPr>
            <w:r>
              <w:rPr>
                <w:rFonts w:ascii="Arial" w:cs="Arial" w:eastAsia="Arial" w:hAnsi="Arial"/>
                <w:sz w:val="14"/>
                <w:szCs w:val="14"/>
                <w:b w:val="1"/>
                <w:bCs w:val="1"/>
                <w:color w:val="auto"/>
                <w:w w:val="91"/>
              </w:rPr>
              <w:t>For the three months ended</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08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940" w:type="dxa"/>
            <w:vAlign w:val="bottom"/>
          </w:tcPr>
          <w:p>
            <w:pPr>
              <w:jc w:val="center"/>
              <w:ind w:left="331"/>
              <w:spacing w:after="0" w:line="119" w:lineRule="exact"/>
              <w:rPr>
                <w:sz w:val="20"/>
                <w:szCs w:val="20"/>
                <w:color w:val="auto"/>
              </w:rPr>
            </w:pPr>
            <w:r>
              <w:rPr>
                <w:rFonts w:ascii="Arial" w:cs="Arial" w:eastAsia="Arial" w:hAnsi="Arial"/>
                <w:sz w:val="13"/>
                <w:szCs w:val="13"/>
                <w:b w:val="1"/>
                <w:bCs w:val="1"/>
                <w:color w:val="auto"/>
              </w:rPr>
              <w:t>May 31,</w:t>
            </w:r>
          </w:p>
        </w:tc>
        <w:tc>
          <w:tcPr>
            <w:tcW w:w="560" w:type="dxa"/>
            <w:vAlign w:val="bottom"/>
          </w:tcPr>
          <w:p>
            <w:pPr>
              <w:spacing w:after="0"/>
              <w:rPr>
                <w:sz w:val="10"/>
                <w:szCs w:val="10"/>
                <w:color w:val="auto"/>
              </w:rPr>
            </w:pPr>
          </w:p>
        </w:tc>
        <w:tc>
          <w:tcPr>
            <w:tcW w:w="1160" w:type="dxa"/>
            <w:vAlign w:val="bottom"/>
          </w:tcPr>
          <w:p>
            <w:pPr>
              <w:jc w:val="center"/>
              <w:ind w:left="404"/>
              <w:spacing w:after="0" w:line="119" w:lineRule="exact"/>
              <w:rPr>
                <w:sz w:val="20"/>
                <w:szCs w:val="20"/>
                <w:color w:val="auto"/>
              </w:rPr>
            </w:pPr>
            <w:r>
              <w:rPr>
                <w:rFonts w:ascii="Arial" w:cs="Arial" w:eastAsia="Arial" w:hAnsi="Arial"/>
                <w:sz w:val="13"/>
                <w:szCs w:val="13"/>
                <w:b w:val="1"/>
                <w:bCs w:val="1"/>
                <w:color w:val="auto"/>
              </w:rPr>
              <w:t>May 31,</w:t>
            </w: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71"/>
        </w:trPr>
        <w:tc>
          <w:tcPr>
            <w:tcW w:w="5080" w:type="dxa"/>
            <w:vAlign w:val="bottom"/>
          </w:tcPr>
          <w:p>
            <w:pPr>
              <w:spacing w:after="0"/>
              <w:rPr>
                <w:sz w:val="14"/>
                <w:szCs w:val="14"/>
                <w:color w:val="auto"/>
              </w:rPr>
            </w:pPr>
          </w:p>
        </w:tc>
        <w:tc>
          <w:tcPr>
            <w:tcW w:w="340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560" w:type="dxa"/>
            <w:vAlign w:val="bottom"/>
          </w:tcPr>
          <w:p>
            <w:pPr>
              <w:spacing w:after="0"/>
              <w:rPr>
                <w:sz w:val="14"/>
                <w:szCs w:val="14"/>
                <w:color w:val="auto"/>
              </w:rPr>
            </w:pPr>
          </w:p>
        </w:tc>
        <w:tc>
          <w:tcPr>
            <w:tcW w:w="1160" w:type="dxa"/>
            <w:vAlign w:val="bottom"/>
          </w:tcPr>
          <w:p>
            <w:pPr>
              <w:jc w:val="right"/>
              <w:ind w:right="124"/>
              <w:spacing w:after="0"/>
              <w:rPr>
                <w:sz w:val="20"/>
                <w:szCs w:val="20"/>
                <w:color w:val="auto"/>
              </w:rPr>
            </w:pPr>
            <w:r>
              <w:rPr>
                <w:rFonts w:ascii="Arial" w:cs="Arial" w:eastAsia="Arial" w:hAnsi="Arial"/>
                <w:sz w:val="14"/>
                <w:szCs w:val="14"/>
                <w:b w:val="1"/>
                <w:bCs w:val="1"/>
                <w:color w:val="auto"/>
              </w:rPr>
              <w:t>2012</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08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2"/>
          </w:tcPr>
          <w:p>
            <w:pPr>
              <w:jc w:val="center"/>
              <w:ind w:right="54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3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3400" w:type="dxa"/>
            <w:vAlign w:val="bottom"/>
            <w:gridSpan w:val="2"/>
            <w:shd w:val="clear" w:color="auto" w:fill="CCEEFF"/>
          </w:tcPr>
          <w:p>
            <w:pPr>
              <w:jc w:val="right"/>
              <w:ind w:right="791"/>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88"/>
              </w:rPr>
              <w:t>1,128</w:t>
            </w:r>
          </w:p>
        </w:tc>
        <w:tc>
          <w:tcPr>
            <w:tcW w:w="1160" w:type="dxa"/>
            <w:vAlign w:val="bottom"/>
            <w:shd w:val="clear" w:color="auto" w:fill="CCEEFF"/>
          </w:tcPr>
          <w:p>
            <w:pPr>
              <w:jc w:val="right"/>
              <w:ind w:right="864"/>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Base management fees</w:t>
            </w: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737</w:t>
            </w: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459</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331</w:t>
            </w: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821</w:t>
            </w: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430</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2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250</w:t>
            </w:r>
          </w:p>
        </w:tc>
        <w:tc>
          <w:tcPr>
            <w:tcW w:w="1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Insurance expenses</w:t>
            </w:r>
          </w:p>
        </w:tc>
        <w:tc>
          <w:tcPr>
            <w:tcW w:w="2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ind w:right="53"/>
              <w:spacing w:after="0"/>
              <w:rPr>
                <w:sz w:val="20"/>
                <w:szCs w:val="20"/>
                <w:color w:val="auto"/>
              </w:rPr>
            </w:pPr>
            <w:r>
              <w:rPr>
                <w:rFonts w:ascii="Arial" w:cs="Arial" w:eastAsia="Arial" w:hAnsi="Arial"/>
                <w:sz w:val="18"/>
                <w:szCs w:val="18"/>
                <w:color w:val="auto"/>
              </w:rPr>
              <w:t>120</w:t>
            </w:r>
          </w:p>
        </w:tc>
        <w:tc>
          <w:tcPr>
            <w:tcW w:w="116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130</w:t>
            </w:r>
          </w:p>
        </w:tc>
      </w:tr>
      <w:tr>
        <w:trPr>
          <w:trHeight w:val="165"/>
        </w:trPr>
        <w:tc>
          <w:tcPr>
            <w:tcW w:w="508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bl>
    <w:p>
      <w:pPr>
        <w:sectPr>
          <w:pgSz w:w="11900" w:h="16900" w:orient="portrait"/>
          <w:cols w:equalWidth="0" w:num="1">
            <w:col w:w="11460"/>
          </w:cols>
          <w:pgMar w:left="240" w:top="125" w:right="19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30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w:t>
            </w:r>
          </w:p>
        </w:tc>
        <w:tc>
          <w:tcPr>
            <w:tcW w:w="80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3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110</w:t>
            </w:r>
          </w:p>
        </w:tc>
        <w:tc>
          <w:tcPr>
            <w:tcW w:w="5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54</w:t>
            </w:r>
          </w:p>
        </w:tc>
        <w:tc>
          <w:tcPr>
            <w:tcW w:w="800" w:type="dxa"/>
            <w:vAlign w:val="bottom"/>
          </w:tcPr>
          <w:p>
            <w:pPr>
              <w:spacing w:after="0"/>
              <w:rPr>
                <w:sz w:val="18"/>
                <w:szCs w:val="18"/>
                <w:color w:val="auto"/>
              </w:rPr>
            </w:pPr>
          </w:p>
        </w:tc>
      </w:tr>
      <w:tr>
        <w:trPr>
          <w:trHeight w:val="210"/>
        </w:trPr>
        <w:tc>
          <w:tcPr>
            <w:tcW w:w="4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30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2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Pr>
          <w:p>
            <w:pPr>
              <w:spacing w:after="0"/>
              <w:rPr>
                <w:sz w:val="18"/>
                <w:szCs w:val="18"/>
                <w:color w:val="auto"/>
              </w:rPr>
            </w:pPr>
          </w:p>
        </w:tc>
      </w:tr>
      <w:tr>
        <w:trPr>
          <w:trHeight w:val="426"/>
        </w:trPr>
        <w:tc>
          <w:tcPr>
            <w:tcW w:w="4500" w:type="dxa"/>
            <w:vAlign w:val="bottom"/>
          </w:tcPr>
          <w:p>
            <w:pPr>
              <w:spacing w:after="0"/>
              <w:rPr>
                <w:sz w:val="24"/>
                <w:szCs w:val="24"/>
                <w:color w:val="auto"/>
              </w:rPr>
            </w:pPr>
          </w:p>
        </w:tc>
        <w:tc>
          <w:tcPr>
            <w:tcW w:w="3040" w:type="dxa"/>
            <w:vAlign w:val="bottom"/>
          </w:tcPr>
          <w:p>
            <w:pPr>
              <w:jc w:val="right"/>
              <w:ind w:right="1650"/>
              <w:spacing w:after="0"/>
              <w:rPr>
                <w:sz w:val="20"/>
                <w:szCs w:val="20"/>
                <w:color w:val="auto"/>
              </w:rPr>
            </w:pPr>
            <w:r>
              <w:rPr>
                <w:rFonts w:ascii="Arial" w:cs="Arial" w:eastAsia="Arial" w:hAnsi="Arial"/>
                <w:sz w:val="18"/>
                <w:szCs w:val="18"/>
                <w:color w:val="auto"/>
              </w:rPr>
              <w:t>35</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32"/>
        </w:trPr>
        <w:tc>
          <w:tcPr>
            <w:tcW w:w="450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For the three months ended May 31, 2013, total expenses increased $1.2 million, or 51.2%, compared to the three months ended May 31, 2012. The increase is primarily related an increase in interest and credit facility expense, base management fees and incentive management fees due to the growth in our portfolio and amount of our outstanding debt.</w:t>
      </w:r>
    </w:p>
    <w:p>
      <w:pPr>
        <w:spacing w:after="0" w:line="181"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As discussed above, the increase in interest and debt financing expenses for the three months ended May 31, 2013 is primarily attributable to an increase in the amount of outstanding debt as compared to the prior periods. For the three months ended May 31, 2013 and 2012, the weighted average interest rate on the outstanding borrowings under the Replacement Facility was 7.50% and 7.50%, respectively. The weighted average interest rate during the three months ended May 31, 2013 on the outstanding borrowings of the SBA debentures was 2.64%. The weighted average interest rate during the three months ended May 31, 2013 on the Notes was 7.50%.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For the three months ended May 31, 2013, the Company had $24.9 million of sales, repayments, exits or restructurings resulting in $0.5 million of net realized gains. There were no significant realized gains and losses during the three months ended May 31, 2013.</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three months ended May 31, 2012, we had $4.5 million of sales, repayments, exits and restructurings, resulting in $0.2 million of net realized gains. There were no significant realized gains and losses during the three months ended May 31,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For the three months ended May 31, 2013, our investments had an increase in net unrealized appreciation of $0.8 million versus an increase in net unrealized appreciation of $1.7 million for the three months ended May 31, 2012. The most significant cumulative changes in unrealized appreciation and depreciation for the three months ended May 31, 2013, were the following:</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Three months ended May 31,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YTD Change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right"/>
              <w:ind w:right="441"/>
              <w:spacing w:after="0"/>
              <w:rPr>
                <w:sz w:val="20"/>
                <w:szCs w:val="20"/>
                <w:color w:val="auto"/>
              </w:rPr>
            </w:pPr>
            <w:r>
              <w:rPr>
                <w:rFonts w:ascii="Arial" w:cs="Arial" w:eastAsia="Arial" w:hAnsi="Arial"/>
                <w:sz w:val="14"/>
                <w:szCs w:val="14"/>
                <w:b w:val="1"/>
                <w:bCs w:val="1"/>
                <w:color w:val="auto"/>
              </w:rPr>
              <w:t>Fair</w:t>
            </w:r>
          </w:p>
        </w:tc>
        <w:tc>
          <w:tcPr>
            <w:tcW w:w="24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5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Asset Type</w:t>
            </w:r>
          </w:p>
        </w:tc>
        <w:tc>
          <w:tcPr>
            <w:tcW w:w="240" w:type="dxa"/>
            <w:vAlign w:val="bottom"/>
          </w:tcPr>
          <w:p>
            <w:pPr>
              <w:spacing w:after="0"/>
              <w:rPr>
                <w:sz w:val="12"/>
                <w:szCs w:val="12"/>
                <w:color w:val="auto"/>
              </w:rPr>
            </w:pPr>
          </w:p>
        </w:tc>
        <w:tc>
          <w:tcPr>
            <w:tcW w:w="11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25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401"/>
              <w:spacing w:after="0"/>
              <w:rPr>
                <w:sz w:val="20"/>
                <w:szCs w:val="20"/>
                <w:color w:val="auto"/>
              </w:rPr>
            </w:pPr>
            <w:r>
              <w:rPr>
                <w:rFonts w:ascii="Arial" w:cs="Arial" w:eastAsia="Arial" w:hAnsi="Arial"/>
                <w:sz w:val="14"/>
                <w:szCs w:val="14"/>
                <w:b w:val="1"/>
                <w:bCs w:val="1"/>
                <w:color w:val="auto"/>
              </w:rPr>
              <w:t>Value</w:t>
            </w:r>
          </w:p>
        </w:tc>
        <w:tc>
          <w:tcPr>
            <w:tcW w:w="24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(Depreciation)</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3"/>
          </w:tcPr>
          <w:p>
            <w:pPr>
              <w:jc w:val="right"/>
              <w:ind w:right="642"/>
              <w:spacing w:after="0" w:line="142" w:lineRule="exact"/>
              <w:rPr>
                <w:sz w:val="20"/>
                <w:szCs w:val="20"/>
                <w:color w:val="auto"/>
              </w:rPr>
            </w:pPr>
            <w:r>
              <w:rPr>
                <w:rFonts w:ascii="Arial" w:cs="Arial" w:eastAsia="Arial" w:hAnsi="Arial"/>
                <w:sz w:val="14"/>
                <w:szCs w:val="14"/>
                <w:b w:val="1"/>
                <w:bCs w:val="1"/>
                <w:color w:val="auto"/>
              </w:rPr>
              <w:t>($ in thousands)</w:t>
            </w: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Saratoga CLO</w:t>
            </w:r>
          </w:p>
        </w:tc>
        <w:tc>
          <w:tcPr>
            <w:tcW w:w="2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Structured Finance</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17,657</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8"/>
                <w:szCs w:val="18"/>
                <w:color w:val="auto"/>
              </w:rPr>
              <w:t>23,585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5,928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3340" w:type="dxa"/>
            <w:vAlign w:val="bottom"/>
            <w:gridSpan w:val="2"/>
          </w:tcPr>
          <w:p>
            <w:pPr>
              <w:spacing w:after="0"/>
              <w:rPr>
                <w:sz w:val="20"/>
                <w:szCs w:val="20"/>
                <w:color w:val="auto"/>
              </w:rPr>
            </w:pPr>
            <w:r>
              <w:rPr>
                <w:rFonts w:ascii="Arial" w:cs="Arial" w:eastAsia="Arial" w:hAnsi="Arial"/>
                <w:sz w:val="18"/>
                <w:szCs w:val="18"/>
                <w:color w:val="auto"/>
              </w:rPr>
              <w:t>USS Parent Holding Corp.</w:t>
            </w:r>
          </w:p>
        </w:tc>
        <w:tc>
          <w:tcPr>
            <w:tcW w:w="2580" w:type="dxa"/>
            <w:vAlign w:val="bottom"/>
            <w:gridSpan w:val="2"/>
          </w:tcPr>
          <w:p>
            <w:pPr>
              <w:spacing w:after="0"/>
              <w:rPr>
                <w:sz w:val="20"/>
                <w:szCs w:val="20"/>
                <w:color w:val="auto"/>
              </w:rPr>
            </w:pPr>
            <w:r>
              <w:rPr>
                <w:rFonts w:ascii="Arial" w:cs="Arial" w:eastAsia="Arial" w:hAnsi="Arial"/>
                <w:sz w:val="18"/>
                <w:szCs w:val="18"/>
                <w:color w:val="auto"/>
              </w:rPr>
              <w:t>Voting Common Stock</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3,026</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3,862</w:t>
            </w:r>
          </w:p>
        </w:tc>
        <w:tc>
          <w:tcPr>
            <w:tcW w:w="240" w:type="dxa"/>
            <w:vAlign w:val="bottom"/>
          </w:tcPr>
          <w:p>
            <w:pPr>
              <w:spacing w:after="0"/>
              <w:rPr>
                <w:sz w:val="20"/>
                <w:szCs w:val="20"/>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836</w:t>
            </w:r>
          </w:p>
        </w:tc>
        <w:tc>
          <w:tcPr>
            <w:tcW w:w="16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$0.6 million decrease in net unrealized appreciation in our investment in the Saratoga CLO subordinated notes was due to lower net present value of projected future cash flows partially offset by a reduction in the investment basis of the subordinated notes.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$1.0 million net unrealized appreciation in our investment in the common stock of USS Parent Holding Corp. was due to improved operating performance and improved trading multiples of comparable public companies.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most significant cumulative changes in unrealized appreciation for the three months ended May 31, 2012 were the following:</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Three months ended May 31,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YTD Change in</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Total Unrealized</w:t>
            </w: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49"/>
        </w:trPr>
        <w:tc>
          <w:tcPr>
            <w:tcW w:w="2180" w:type="dxa"/>
            <w:vAlign w:val="bottom"/>
            <w:vMerge w:val="restart"/>
          </w:tcPr>
          <w:p>
            <w:pPr>
              <w:spacing w:after="0"/>
              <w:rPr>
                <w:sz w:val="20"/>
                <w:szCs w:val="20"/>
                <w:color w:val="auto"/>
              </w:rPr>
            </w:pPr>
            <w:r>
              <w:rPr>
                <w:rFonts w:ascii="Arial" w:cs="Arial" w:eastAsia="Arial" w:hAnsi="Arial"/>
                <w:sz w:val="14"/>
                <w:szCs w:val="14"/>
                <w:b w:val="1"/>
                <w:bCs w:val="1"/>
                <w:color w:val="auto"/>
              </w:rPr>
              <w:t>Issuer</w:t>
            </w:r>
          </w:p>
        </w:tc>
        <w:tc>
          <w:tcPr>
            <w:tcW w:w="320" w:type="dxa"/>
            <w:vAlign w:val="bottom"/>
          </w:tcPr>
          <w:p>
            <w:pPr>
              <w:spacing w:after="0"/>
              <w:rPr>
                <w:sz w:val="12"/>
                <w:szCs w:val="12"/>
                <w:color w:val="auto"/>
              </w:rPr>
            </w:pPr>
          </w:p>
        </w:tc>
        <w:tc>
          <w:tcPr>
            <w:tcW w:w="242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Asset Type</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110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1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Appreciation</w:t>
            </w:r>
          </w:p>
        </w:tc>
        <w:tc>
          <w:tcPr>
            <w:tcW w:w="16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21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3"/>
          </w:tcPr>
          <w:p>
            <w:pPr>
              <w:jc w:val="right"/>
              <w:ind w:right="837"/>
              <w:spacing w:after="0" w:line="142" w:lineRule="exact"/>
              <w:rPr>
                <w:sz w:val="20"/>
                <w:szCs w:val="20"/>
                <w:color w:val="auto"/>
              </w:rPr>
            </w:pPr>
            <w:r>
              <w:rPr>
                <w:rFonts w:ascii="Arial" w:cs="Arial" w:eastAsia="Arial" w:hAnsi="Arial"/>
                <w:sz w:val="14"/>
                <w:szCs w:val="14"/>
                <w:b w:val="1"/>
                <w:bCs w:val="1"/>
                <w:color w:val="auto"/>
              </w:rPr>
              <w:t>($ in thousands)</w:t>
            </w:r>
          </w:p>
        </w:tc>
        <w:tc>
          <w:tcPr>
            <w:tcW w:w="3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20"/>
                <w:szCs w:val="20"/>
                <w:color w:val="auto"/>
              </w:rPr>
            </w:pPr>
            <w:r>
              <w:rPr>
                <w:rFonts w:ascii="Arial" w:cs="Arial" w:eastAsia="Arial" w:hAnsi="Arial"/>
                <w:sz w:val="18"/>
                <w:szCs w:val="18"/>
                <w:color w:val="auto"/>
              </w:rPr>
              <w:t>Targus Holdings, Inc.</w:t>
            </w:r>
          </w:p>
        </w:tc>
        <w:tc>
          <w:tcPr>
            <w:tcW w:w="2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Common Stock</w:t>
            </w: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3,681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3,114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Worldwide Express</w:t>
            </w:r>
          </w:p>
        </w:tc>
        <w:tc>
          <w:tcPr>
            <w:tcW w:w="3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Operations LLC</w:t>
            </w:r>
          </w:p>
        </w:tc>
        <w:tc>
          <w:tcPr>
            <w:tcW w:w="2740" w:type="dxa"/>
            <w:vAlign w:val="bottom"/>
            <w:gridSpan w:val="2"/>
          </w:tcPr>
          <w:p>
            <w:pPr>
              <w:ind w:left="320"/>
              <w:spacing w:after="0"/>
              <w:rPr>
                <w:sz w:val="20"/>
                <w:szCs w:val="20"/>
                <w:color w:val="auto"/>
              </w:rPr>
            </w:pPr>
            <w:r>
              <w:rPr>
                <w:rFonts w:ascii="Arial" w:cs="Arial" w:eastAsia="Arial" w:hAnsi="Arial"/>
                <w:sz w:val="18"/>
                <w:szCs w:val="18"/>
                <w:color w:val="auto"/>
              </w:rPr>
              <w:t>First Lien Term Loan</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6,365</w:t>
            </w:r>
          </w:p>
        </w:tc>
        <w:tc>
          <w:tcPr>
            <w:tcW w:w="160" w:type="dxa"/>
            <w:vAlign w:val="bottom"/>
          </w:tcPr>
          <w:p>
            <w:pPr>
              <w:spacing w:after="0"/>
              <w:rPr>
                <w:sz w:val="20"/>
                <w:szCs w:val="20"/>
                <w:color w:val="auto"/>
              </w:rPr>
            </w:pPr>
          </w:p>
        </w:tc>
        <w:tc>
          <w:tcPr>
            <w:tcW w:w="1100" w:type="dxa"/>
            <w:vAlign w:val="bottom"/>
          </w:tcPr>
          <w:p>
            <w:pPr>
              <w:jc w:val="right"/>
              <w:ind w:right="77"/>
              <w:spacing w:after="0"/>
              <w:rPr>
                <w:sz w:val="20"/>
                <w:szCs w:val="20"/>
                <w:color w:val="auto"/>
              </w:rPr>
            </w:pPr>
            <w:r>
              <w:rPr>
                <w:rFonts w:ascii="Arial" w:cs="Arial" w:eastAsia="Arial" w:hAnsi="Arial"/>
                <w:sz w:val="18"/>
                <w:szCs w:val="18"/>
                <w:color w:val="auto"/>
              </w:rPr>
              <w:t>6,417</w:t>
            </w: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Saratoga CLO</w:t>
            </w:r>
          </w:p>
        </w:tc>
        <w:tc>
          <w:tcPr>
            <w:tcW w:w="27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Other/Structured Finance</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22,685</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25,234</w:t>
            </w:r>
          </w:p>
        </w:tc>
        <w:tc>
          <w:tcPr>
            <w:tcW w:w="30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2,549</w:t>
            </w: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The $1.0 million of unrealized appreciation on our investment in Targus Holdings, Inc. resulted from its improved operating performance and improved trading multiples of comparable publicly traded companies. In addition, the $0.4 million of unrealized appreciation on our investment in Worldwide Express Operations, LLC resulted from its improved operating performance.</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$0.2 million net unrealized appreciation in our investment in the Saratoga CLO subordinated notes was due to higher cash flow projections (based on an improvement in the overall portfolio, a decrease in the assumed portfolio default rate and an improvement in reinvestment assumptions based on current market conditions and projections) offset by a higher discount rate used to present value the cash flows based on current market conditions.</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40" w:right="199" w:bottom="5" w:gutter="0" w:footer="0" w:header="0"/>
        </w:sectPr>
      </w:pPr>
    </w:p>
    <w:bookmarkStart w:id="34" w:name="page35"/>
    <w:bookmarkEnd w:id="34"/>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For the three months ended May 31, 2013, we recorded a net increase in net assets resulting from operations of $3.8 million versus a net increase in net assets resulting from operations of $3.2 million for the three months ended May 31, 2012. Based on 4,730,116 and 3,876,661 weighted average common shares outstanding for the three months ended May 31, 2013 and 2012, respectively, our per share net increase in net assets resulting from operations was $0.80 for the three months ended May 31, 2013 versus a per share net increase in net assets resulting from operations of $0.82 for the three months ended May 31,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We intend to continue to generate cash primarily from cash flows from operations, including interest earned from the temporary investment of cash in U.S. government securities and other high-quality debt investments that mature in one year or less, future borrowings and future offerings of securities.</w:t>
      </w:r>
    </w:p>
    <w:p>
      <w:pPr>
        <w:spacing w:after="0" w:line="12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Although we expect to fund the growth of our investment portfolio through the net proceeds from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 Our stockholders approved a proposal at our annual meeting of stockholders held on September 28, 2012 that authorizes us to sell shares of our common stock at an offering price per share to investors that is not less than 85% of our then current net asset value per share in one or more offerings for a period ending on the earlier of September 28, 2013 or the date of our next annual meeting of stockholders. We would need stockholder approval of a similar proposal to issue shares below net asset value per share at any time after the earlier of September 28, 2013 or our next annual meeting of stockholders.</w:t>
      </w:r>
    </w:p>
    <w:p>
      <w:pPr>
        <w:spacing w:after="0" w:line="166"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332.9% as of May 31, 2013 and 547.3% as of February 28, 2013.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16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“Replacement Facility”) on June 30, 2010.</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 xml:space="preserve">Availability. </w:t>
      </w:r>
      <w:r>
        <w:rPr>
          <w:rFonts w:ascii="Arial" w:cs="Arial" w:eastAsia="Arial" w:hAnsi="Arial"/>
          <w:sz w:val="17"/>
          <w:szCs w:val="17"/>
          <w:color w:val="auto"/>
        </w:rPr>
        <w:t>The Company can draw up to the lesser of (i) $40.0 million (the “Facility Amount”) and (ii) the product of the applicable advance rate</w:t>
      </w:r>
      <w:r>
        <w:rPr>
          <w:rFonts w:ascii="Arial" w:cs="Arial" w:eastAsia="Arial" w:hAnsi="Arial"/>
          <w:sz w:val="17"/>
          <w:szCs w:val="17"/>
          <w:i w:val="1"/>
          <w:iCs w:val="1"/>
          <w:color w:val="auto"/>
        </w:rPr>
        <w:t xml:space="preserve"> </w:t>
      </w:r>
      <w:r>
        <w:rPr>
          <w:rFonts w:ascii="Arial" w:cs="Arial" w:eastAsia="Arial" w:hAnsi="Arial"/>
          <w:sz w:val="17"/>
          <w:szCs w:val="17"/>
          <w:color w:val="auto"/>
        </w:rPr>
        <w:t>(which varies from 50.0% to 75.0% depending on the type of loan asset) and the value, determined in accordance with the Replacement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Replacement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82"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Replacement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7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The Replacement Facility is secured by substantially all of the assets of the Company (other than assets held by our SBIC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and includes the subordinated notes (“CLO Notes”) issued by Saratoga CLO and the Company’s rights under the CLO Management Agreement (as defined below).</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Interest Rate and Fees. </w:t>
      </w:r>
      <w:r>
        <w:rPr>
          <w:rFonts w:ascii="Arial" w:cs="Arial" w:eastAsia="Arial" w:hAnsi="Arial"/>
          <w:sz w:val="18"/>
          <w:szCs w:val="18"/>
          <w:color w:val="auto"/>
        </w:rPr>
        <w:t>Under the Replacement Facility, funds are borrowed from or through certain lenders at the greater of the prevailing LIBOR</w:t>
      </w:r>
      <w:r>
        <w:rPr>
          <w:rFonts w:ascii="Arial" w:cs="Arial" w:eastAsia="Arial" w:hAnsi="Arial"/>
          <w:sz w:val="18"/>
          <w:szCs w:val="18"/>
          <w:i w:val="1"/>
          <w:iCs w:val="1"/>
          <w:color w:val="auto"/>
        </w:rPr>
        <w:t xml:space="preserve"> </w:t>
      </w:r>
      <w:r>
        <w:rPr>
          <w:rFonts w:ascii="Arial" w:cs="Arial" w:eastAsia="Arial" w:hAnsi="Arial"/>
          <w:sz w:val="18"/>
          <w:szCs w:val="18"/>
          <w:color w:val="auto"/>
        </w:rPr>
        <w:t>rate and 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 0.75% per year on the unused amount of the Replacement Facility for the duration of the Revolving Period (defined below). Accrued interest and commitment fees are payable monthly. The Company was also obligated to pay certain other fees to the lenders in connection with the closing of the Replacement Facility.</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Replacement Facility for a period of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closing of the Replacement Facility (the “Revolving Period”). The Revolving Period may be terminated at an earlier time by the Company or, upon the occurrence of an event of default, by action of the lenders or automatically. All borrowings and other amounts payable under the Replacement Facility are due and payable in full five years after the end of the Revolving Period.</w:t>
      </w:r>
    </w:p>
    <w:p>
      <w:pPr>
        <w:spacing w:after="0" w:line="187"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Replacement Facility that the principal amount outstanding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Replacement Facility, after giving effect to the proposed borrowings, not exceed the lesser of the Borrowing Base or the Facility Amount (the “Borrowing</w:t>
      </w:r>
    </w:p>
    <w:p>
      <w:pPr>
        <w:sectPr>
          <w:pgSz w:w="11900" w:h="16840" w:orient="portrait"/>
          <w:cols w:equalWidth="0" w:num="1">
            <w:col w:w="11400"/>
          </w:cols>
          <w:pgMar w:left="240" w:top="125" w:right="259" w:bottom="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Base Test”). In addition to satisfying the Borrowing Base Test, the following tests must also be satisfied (together with Borrowing Base Test, the “Collateral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Tests”):</w:t>
      </w:r>
    </w:p>
    <w:p>
      <w:pPr>
        <w:spacing w:after="0" w:line="211" w:lineRule="exact"/>
        <w:rPr>
          <w:sz w:val="20"/>
          <w:szCs w:val="20"/>
          <w:color w:val="auto"/>
        </w:rPr>
      </w:pPr>
    </w:p>
    <w:p>
      <w:pPr>
        <w:ind w:left="980" w:right="100" w:hanging="324"/>
        <w:spacing w:after="0" w:line="264"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Replacement Facility, to accrued interest and commitment fees and any breakage costs payable to the lenders under the Replacement Facility for the last 6 payment periods must equal at least 175.0%.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20" w:hanging="324"/>
        <w:spacing w:after="0" w:line="286" w:lineRule="auto"/>
        <w:tabs>
          <w:tab w:leader="none" w:pos="944"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Replacement Facility plus the Unfunded Exposure Amount must equal at least 200.0%.</w:t>
      </w:r>
    </w:p>
    <w:p>
      <w:pPr>
        <w:spacing w:after="0" w:line="165" w:lineRule="exact"/>
        <w:rPr>
          <w:rFonts w:ascii="Arial" w:cs="Arial" w:eastAsia="Arial" w:hAnsi="Arial"/>
          <w:sz w:val="17"/>
          <w:szCs w:val="17"/>
          <w:color w:val="auto"/>
        </w:rPr>
      </w:pPr>
    </w:p>
    <w:p>
      <w:pPr>
        <w:ind w:left="980" w:right="240" w:hanging="324"/>
        <w:spacing w:after="0" w:line="286" w:lineRule="auto"/>
        <w:tabs>
          <w:tab w:leader="none" w:pos="944"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Replacement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Replacement Facility require, after payment of</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fees 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Reserve Account. </w:t>
      </w:r>
      <w:r>
        <w:rPr>
          <w:rFonts w:ascii="Arial" w:cs="Arial" w:eastAsia="Arial" w:hAnsi="Arial"/>
          <w:sz w:val="16"/>
          <w:szCs w:val="16"/>
          <w:color w:val="auto"/>
        </w:rPr>
        <w:t>The Replacement Facility requires the Company to set aside an amount equal to the sum of accrued interest, commitment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6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Replacement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Replacement Facility provides for the payment of certain operating expenses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out of collections on principal and interest during the Revolving Period and out of collections on interest following the termination of the Revolving Period in accordance with the priority established in such provision. The operating expenses payable pursuant to the priority of payment provisions is limited to $350,000 for each monthly payment date or $2.5 million for the immediately preceding period of twelve consecutive monthly payment dates. This ceiling can be increased by the lesser of 5.0% or the percentage increase in the fair market value of all the Company’s assets only on the first monthly payment date to occur after each one-year anniversary following the closing of the Replacement Facility. Upon the occurrence of a Manager Event (described below), the consent of the administrative agent is required in order to pay operating expenses through the priority of payments provision.</w:t>
      </w:r>
    </w:p>
    <w:p>
      <w:pPr>
        <w:spacing w:after="0" w:line="16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Replacement Facility contains certain negative covenants, customary representations and warranties and affirmative</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and events of default. The Replacement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Replacement Facility include, among other things, the following:</w:t>
      </w:r>
    </w:p>
    <w:p>
      <w:pPr>
        <w:spacing w:after="0" w:line="171"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225" w:lineRule="exact"/>
        <w:rPr>
          <w:rFonts w:ascii="Arial" w:cs="Arial" w:eastAsia="Arial" w:hAnsi="Arial"/>
          <w:sz w:val="18"/>
          <w:szCs w:val="18"/>
          <w:color w:val="auto"/>
        </w:rPr>
      </w:pPr>
    </w:p>
    <w:p>
      <w:pPr>
        <w:ind w:left="1620" w:right="100" w:hanging="315"/>
        <w:spacing w:after="0" w:line="308" w:lineRule="auto"/>
        <w:tabs>
          <w:tab w:leader="none" w:pos="1584" w:val="left"/>
        </w:tabs>
        <w:numPr>
          <w:ilvl w:val="1"/>
          <w:numId w:val="35"/>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146" w:lineRule="exact"/>
        <w:rPr>
          <w:rFonts w:ascii="Arial" w:cs="Arial" w:eastAsia="Arial" w:hAnsi="Arial"/>
          <w:sz w:val="17"/>
          <w:szCs w:val="17"/>
          <w:color w:val="auto"/>
        </w:rPr>
      </w:pPr>
    </w:p>
    <w:p>
      <w:pPr>
        <w:ind w:left="1600" w:hanging="295"/>
        <w:spacing w:after="0"/>
        <w:tabs>
          <w:tab w:leader="none" w:pos="1600" w:val="left"/>
        </w:tabs>
        <w:numPr>
          <w:ilvl w:val="1"/>
          <w:numId w:val="35"/>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ectPr>
          <w:pgSz w:w="11900" w:h="16838" w:orient="portrait"/>
          <w:cols w:equalWidth="0" w:num="1">
            <w:col w:w="11400"/>
          </w:cols>
          <w:pgMar w:left="240" w:top="125" w:right="259" w:bottom="0" w:gutter="0" w:footer="0" w:header="0"/>
        </w:sectPr>
      </w:pPr>
    </w:p>
    <w:bookmarkStart w:id="36" w:name="page37"/>
    <w:bookmarkEnd w:id="36"/>
    <w:p>
      <w:pPr>
        <w:spacing w:after="0" w:line="35" w:lineRule="exact"/>
        <w:rPr>
          <w:sz w:val="20"/>
          <w:szCs w:val="20"/>
          <w:color w:val="auto"/>
        </w:rPr>
      </w:pPr>
    </w:p>
    <w:p>
      <w:pPr>
        <w:ind w:left="1620" w:right="20" w:hanging="315"/>
        <w:spacing w:after="0" w:line="312" w:lineRule="auto"/>
        <w:tabs>
          <w:tab w:leader="none" w:pos="1584"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146" w:lineRule="exact"/>
        <w:rPr>
          <w:rFonts w:ascii="Arial" w:cs="Arial" w:eastAsia="Arial" w:hAnsi="Arial"/>
          <w:sz w:val="16"/>
          <w:szCs w:val="16"/>
          <w:color w:val="auto"/>
        </w:rPr>
      </w:pPr>
    </w:p>
    <w:p>
      <w:pPr>
        <w:ind w:left="1620" w:right="100" w:hanging="315"/>
        <w:spacing w:after="0" w:line="264" w:lineRule="auto"/>
        <w:tabs>
          <w:tab w:leader="none" w:pos="15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181" w:lineRule="exact"/>
        <w:rPr>
          <w:rFonts w:ascii="Arial" w:cs="Arial" w:eastAsia="Arial" w:hAnsi="Arial"/>
          <w:sz w:val="18"/>
          <w:szCs w:val="18"/>
          <w:color w:val="auto"/>
        </w:rPr>
      </w:pPr>
    </w:p>
    <w:p>
      <w:pPr>
        <w:ind w:left="1620" w:hanging="315"/>
        <w:spacing w:after="0" w:line="259" w:lineRule="auto"/>
        <w:tabs>
          <w:tab w:leader="none" w:pos="15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Replacement Facility imposes certain additional conditions to the acquisition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pledge of 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Replacement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225" w:lineRule="exact"/>
        <w:rPr>
          <w:sz w:val="20"/>
          <w:szCs w:val="20"/>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extend the Revolving Period from July 30, 2013 to February 24, 2015;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As of May 31, 2013, we had no outstanding balance under the Replacement Facility and our borrowing base under the Replacement Facility was $32.2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asset coverage ratio, as defined in the 1940 Act, was 332.9% as of May 31, 2013 and 547.3% as of February 28, 2013.</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 million when it has at least $75 million in regulatory capital, receives a capital commitment from the SBA and has been through an examination by the SBA subsequent to licensing. As of May 31, 2013, our SBIC subsidiary had $25 million in regulatory capital and $40.0 million SBA-guaranteed debentures outstanding.</w:t>
      </w:r>
    </w:p>
    <w:p>
      <w:pPr>
        <w:spacing w:after="0" w:line="166"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 million more than we would otherwise be able to absent the receipt of this exemptive relief.</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193" w:lineRule="exact"/>
        <w:rPr>
          <w:sz w:val="20"/>
          <w:szCs w:val="20"/>
          <w:color w:val="auto"/>
        </w:rPr>
      </w:pPr>
    </w:p>
    <w:p>
      <w:pPr>
        <w:ind w:left="1100" w:right="120" w:hanging="327"/>
        <w:spacing w:after="0" w:line="259" w:lineRule="auto"/>
        <w:tabs>
          <w:tab w:leader="none" w:pos="10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186" w:lineRule="exact"/>
        <w:rPr>
          <w:rFonts w:ascii="Arial" w:cs="Arial" w:eastAsia="Arial" w:hAnsi="Arial"/>
          <w:sz w:val="18"/>
          <w:szCs w:val="18"/>
          <w:color w:val="auto"/>
        </w:rPr>
      </w:pPr>
    </w:p>
    <w:p>
      <w:pPr>
        <w:ind w:left="1100" w:right="160" w:hanging="327"/>
        <w:spacing w:after="0" w:line="297" w:lineRule="auto"/>
        <w:tabs>
          <w:tab w:leader="none" w:pos="1064"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w:t>
      </w:r>
    </w:p>
    <w:p>
      <w:pPr>
        <w:sectPr>
          <w:pgSz w:w="11900" w:h="16874" w:orient="portrait"/>
          <w:cols w:equalWidth="0" w:num="1">
            <w:col w:w="11380"/>
          </w:cols>
          <w:pgMar w:left="240" w:top="125" w:right="279" w:bottom="0" w:gutter="0" w:footer="0" w:header="0"/>
        </w:sectPr>
      </w:pPr>
    </w:p>
    <w:bookmarkStart w:id="37" w:name="page38"/>
    <w:bookmarkEnd w:id="37"/>
    <w:p>
      <w:pPr>
        <w:spacing w:after="0" w:line="40" w:lineRule="exact"/>
        <w:rPr>
          <w:sz w:val="20"/>
          <w:szCs w:val="20"/>
          <w:color w:val="auto"/>
        </w:rPr>
      </w:pPr>
    </w:p>
    <w:p>
      <w:pPr>
        <w:ind w:left="1100" w:right="60"/>
        <w:spacing w:after="0" w:line="264" w:lineRule="auto"/>
        <w:rPr>
          <w:sz w:val="20"/>
          <w:szCs w:val="20"/>
          <w:color w:val="auto"/>
        </w:rPr>
      </w:pPr>
      <w:r>
        <w:rPr>
          <w:rFonts w:ascii="Arial" w:cs="Arial" w:eastAsia="Arial" w:hAnsi="Arial"/>
          <w:sz w:val="18"/>
          <w:szCs w:val="18"/>
          <w:color w:val="auto"/>
        </w:rPr>
        <w:t>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May 31,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Payment Due by Period</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jc w:val="center"/>
              <w:ind w:right="104"/>
              <w:spacing w:after="0" w:line="119" w:lineRule="exact"/>
              <w:rPr>
                <w:sz w:val="20"/>
                <w:szCs w:val="20"/>
                <w:color w:val="auto"/>
              </w:rPr>
            </w:pPr>
            <w:r>
              <w:rPr>
                <w:rFonts w:ascii="Arial" w:cs="Arial" w:eastAsia="Arial" w:hAnsi="Arial"/>
                <w:sz w:val="13"/>
                <w:szCs w:val="13"/>
                <w:b w:val="1"/>
                <w:bCs w:val="1"/>
                <w:color w:val="auto"/>
                <w:w w:val="96"/>
              </w:rPr>
              <w:t>Less Than</w:t>
            </w: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jc w:val="right"/>
              <w:ind w:right="365"/>
              <w:spacing w:after="0" w:line="119" w:lineRule="exact"/>
              <w:rPr>
                <w:sz w:val="20"/>
                <w:szCs w:val="20"/>
                <w:color w:val="auto"/>
              </w:rPr>
            </w:pPr>
            <w:r>
              <w:rPr>
                <w:rFonts w:ascii="Arial" w:cs="Arial" w:eastAsia="Arial" w:hAnsi="Arial"/>
                <w:sz w:val="13"/>
                <w:szCs w:val="13"/>
                <w:b w:val="1"/>
                <w:bCs w:val="1"/>
                <w:color w:val="auto"/>
              </w:rPr>
              <w:t>1 - 3</w:t>
            </w:r>
          </w:p>
        </w:tc>
        <w:tc>
          <w:tcPr>
            <w:tcW w:w="300" w:type="dxa"/>
            <w:vAlign w:val="bottom"/>
          </w:tcPr>
          <w:p>
            <w:pPr>
              <w:spacing w:after="0"/>
              <w:rPr>
                <w:sz w:val="10"/>
                <w:szCs w:val="10"/>
                <w:color w:val="auto"/>
              </w:rPr>
            </w:pPr>
          </w:p>
        </w:tc>
        <w:tc>
          <w:tcPr>
            <w:tcW w:w="5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w:t>
            </w:r>
          </w:p>
        </w:tc>
        <w:tc>
          <w:tcPr>
            <w:tcW w:w="320" w:type="dxa"/>
            <w:vAlign w:val="bottom"/>
          </w:tcPr>
          <w:p>
            <w:pPr>
              <w:jc w:val="right"/>
              <w:ind w:right="73"/>
              <w:spacing w:after="0" w:line="119" w:lineRule="exact"/>
              <w:rPr>
                <w:sz w:val="20"/>
                <w:szCs w:val="20"/>
                <w:color w:val="auto"/>
              </w:rPr>
            </w:pPr>
            <w:r>
              <w:rPr>
                <w:rFonts w:ascii="Arial" w:cs="Arial" w:eastAsia="Arial" w:hAnsi="Arial"/>
                <w:sz w:val="13"/>
                <w:szCs w:val="13"/>
                <w:b w:val="1"/>
                <w:bCs w:val="1"/>
                <w:color w:val="auto"/>
              </w:rPr>
              <w:t>- 5</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1 Year</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Years</w:t>
            </w:r>
          </w:p>
        </w:tc>
        <w:tc>
          <w:tcPr>
            <w:tcW w:w="840" w:type="dxa"/>
            <w:vAlign w:val="bottom"/>
            <w:gridSpan w:val="2"/>
          </w:tcPr>
          <w:p>
            <w:pPr>
              <w:jc w:val="right"/>
              <w:ind w:right="33"/>
              <w:spacing w:after="0"/>
              <w:rPr>
                <w:sz w:val="20"/>
                <w:szCs w:val="20"/>
                <w:color w:val="auto"/>
              </w:rPr>
            </w:pPr>
            <w:r>
              <w:rPr>
                <w:rFonts w:ascii="Arial" w:cs="Arial" w:eastAsia="Arial" w:hAnsi="Arial"/>
                <w:sz w:val="14"/>
                <w:szCs w:val="14"/>
                <w:b w:val="1"/>
                <w:bCs w:val="1"/>
                <w:color w:val="auto"/>
              </w:rPr>
              <w:t>Years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center"/>
              <w:ind w:right="122"/>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88,300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44"/>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88,300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At May 31, 2013 and February 28, 2013, we did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28,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right="60" w:hanging="652"/>
        <w:spacing w:after="0" w:line="255" w:lineRule="auto"/>
        <w:tabs>
          <w:tab w:leader="none" w:pos="657"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193" w:lineRule="exact"/>
        <w:rPr>
          <w:rFonts w:ascii="Arial" w:cs="Arial" w:eastAsia="Arial" w:hAnsi="Arial"/>
          <w:sz w:val="18"/>
          <w:szCs w:val="18"/>
          <w:color w:val="auto"/>
        </w:rPr>
      </w:pPr>
    </w:p>
    <w:p>
      <w:pPr>
        <w:ind w:left="660" w:right="40" w:hanging="652"/>
        <w:spacing w:after="0" w:line="277" w:lineRule="auto"/>
        <w:tabs>
          <w:tab w:leader="none" w:pos="66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May 31, 2013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 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an investment advisory and management agreement with us, and that the termination of the investment advisory and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8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Other than as set forth below, there have been no material changes from the risk factors set forth in our annual report on Form 10-K for the year ended February 28, 2013.</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independent auditors have not assessed our internal control over financial reporting. If our internal control over financial reporting is not effective, it could have a material adverse effect on our stock price and our ability to raise capital.</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Because we are a “non-accelerated filer” within the meaning of Rule 12b-2 under the Securities Exchange Act of 1934, our independent auditors are not required to assess our internal control over financial reporting or to provide a report thereon. Although our management determined that our internal control over financial reporting was effective at Febrauary 28, 2013 (the last dated that such determination was required to be made by us), there can be no assurance that our independent auditors would agree with our management’s conclusion. Furthermore, if our market capitalization, excluding affiliated stockholders, at August 31 of any fiscal year is greater than $75 million, then we will be required to obtain independent auditor certification on the adequacy of our internal control over financial reporting for that fiscal year. If our internal control over financial reporting is determined in the future to not be effective, whether by our management or by our independent auditors, there could be an adverse reaction in the financial markets due to a loss of confidence in the reliability of our financial statements, which could materially adversely affect our stock price and our ability to raise capital necessary to operate our business. In addition, we may be required to incur costs in improving our internal control system and hiring additional personnel.</w:t>
      </w:r>
    </w:p>
    <w:p>
      <w:pPr>
        <w:sectPr>
          <w:pgSz w:w="11900" w:h="16878" w:orient="portrait"/>
          <w:cols w:equalWidth="0" w:num="1">
            <w:col w:w="11420"/>
          </w:cols>
          <w:pgMar w:left="240" w:top="125" w:right="239" w:bottom="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90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Listed below are the exhibits which are filed as part of this report (according to the number assigned to them in Item 601 of Regulation S-K):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760" w:type="dxa"/>
            <w:vAlign w:val="bottom"/>
            <w:vMerge w:val="restart"/>
          </w:tcPr>
          <w:p>
            <w:pPr>
              <w:ind w:left="412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40" w:type="dxa"/>
            <w:vAlign w:val="bottom"/>
          </w:tcPr>
          <w:p>
            <w:pPr>
              <w:spacing w:after="0"/>
              <w:rPr>
                <w:sz w:val="14"/>
                <w:szCs w:val="14"/>
                <w:color w:val="auto"/>
              </w:rPr>
            </w:pPr>
          </w:p>
        </w:tc>
        <w:tc>
          <w:tcPr>
            <w:tcW w:w="9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31.1*</w:t>
            </w:r>
          </w:p>
        </w:tc>
        <w:tc>
          <w:tcPr>
            <w:tcW w:w="97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0" w:type="dxa"/>
            <w:vAlign w:val="bottom"/>
          </w:tcPr>
          <w:p>
            <w:pPr>
              <w:spacing w:after="0"/>
              <w:rPr>
                <w:sz w:val="1"/>
                <w:szCs w:val="1"/>
                <w:color w:val="auto"/>
              </w:rPr>
            </w:pPr>
          </w:p>
        </w:tc>
      </w:tr>
      <w:tr>
        <w:trPr>
          <w:trHeight w:val="432"/>
        </w:trPr>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31.2*</w:t>
            </w:r>
          </w:p>
        </w:tc>
        <w:tc>
          <w:tcPr>
            <w:tcW w:w="97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c>
          <w:tcPr>
            <w:tcW w:w="0" w:type="dxa"/>
            <w:vAlign w:val="bottom"/>
          </w:tcPr>
          <w:p>
            <w:pPr>
              <w:spacing w:after="0"/>
              <w:rPr>
                <w:sz w:val="1"/>
                <w:szCs w:val="1"/>
                <w:color w:val="auto"/>
              </w:rPr>
            </w:pPr>
          </w:p>
        </w:tc>
      </w:tr>
      <w:tr>
        <w:trPr>
          <w:trHeight w:val="432"/>
        </w:trPr>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32.1*</w:t>
            </w:r>
          </w:p>
        </w:tc>
        <w:tc>
          <w:tcPr>
            <w:tcW w:w="97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 (18 U.S.C. 1350)</w:t>
            </w:r>
          </w:p>
        </w:tc>
        <w:tc>
          <w:tcPr>
            <w:tcW w:w="0" w:type="dxa"/>
            <w:vAlign w:val="bottom"/>
          </w:tcPr>
          <w:p>
            <w:pPr>
              <w:spacing w:after="0"/>
              <w:rPr>
                <w:sz w:val="1"/>
                <w:szCs w:val="1"/>
                <w:color w:val="auto"/>
              </w:rPr>
            </w:pPr>
          </w:p>
        </w:tc>
      </w:tr>
      <w:tr>
        <w:trPr>
          <w:trHeight w:val="432"/>
        </w:trPr>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97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p>
        </w:tc>
        <w:tc>
          <w:tcPr>
            <w:tcW w:w="7900" w:type="dxa"/>
            <w:vAlign w:val="bottom"/>
            <w:gridSpan w:val="2"/>
          </w:tcPr>
          <w:p>
            <w:pPr>
              <w:ind w:left="2200"/>
              <w:spacing w:after="0"/>
              <w:rPr>
                <w:sz w:val="20"/>
                <w:szCs w:val="20"/>
                <w:color w:val="auto"/>
              </w:rPr>
            </w:pPr>
            <w:r>
              <w:rPr>
                <w:rFonts w:ascii="Arial" w:cs="Arial" w:eastAsia="Arial" w:hAnsi="Arial"/>
                <w:sz w:val="18"/>
                <w:szCs w:val="18"/>
                <w:color w:val="auto"/>
              </w:rPr>
              <w:t>SARATOGA INVESTMENT CORP.</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July 15, 2013</w:t>
            </w:r>
          </w:p>
        </w:tc>
        <w:tc>
          <w:tcPr>
            <w:tcW w:w="2720" w:type="dxa"/>
            <w:vAlign w:val="bottom"/>
          </w:tcPr>
          <w:p>
            <w:pPr>
              <w:ind w:left="220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L. Oberbeck</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Christian L. Oberbeck</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720" w:type="dxa"/>
            <w:vAlign w:val="bottom"/>
          </w:tcPr>
          <w:p>
            <w:pPr>
              <w:ind w:left="220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Petrocelli</w:t>
            </w:r>
          </w:p>
        </w:tc>
        <w:tc>
          <w:tcPr>
            <w:tcW w:w="40" w:type="dxa"/>
            <w:vAlign w:val="bottom"/>
          </w:tcPr>
          <w:p>
            <w:pPr>
              <w:spacing w:after="0"/>
              <w:rPr>
                <w:sz w:val="24"/>
                <w:szCs w:val="24"/>
                <w:color w:val="auto"/>
              </w:rPr>
            </w:pPr>
          </w:p>
        </w:tc>
      </w:tr>
      <w:tr>
        <w:trPr>
          <w:trHeight w:val="195"/>
        </w:trPr>
        <w:tc>
          <w:tcPr>
            <w:tcW w:w="35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Richard A. Petrocelli</w:t>
            </w:r>
          </w:p>
        </w:tc>
        <w:tc>
          <w:tcPr>
            <w:tcW w:w="40" w:type="dxa"/>
            <w:vAlign w:val="bottom"/>
          </w:tcPr>
          <w:p>
            <w:pPr>
              <w:spacing w:after="0"/>
              <w:rPr>
                <w:sz w:val="16"/>
                <w:szCs w:val="16"/>
                <w:color w:val="auto"/>
              </w:rPr>
            </w:pPr>
          </w:p>
        </w:tc>
      </w:tr>
      <w:tr>
        <w:trPr>
          <w:trHeight w:val="230"/>
        </w:trPr>
        <w:tc>
          <w:tcPr>
            <w:tcW w:w="35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 Chief Compliance Officer and Secretary</w:t>
            </w:r>
          </w:p>
        </w:tc>
        <w:tc>
          <w:tcPr>
            <w:tcW w:w="4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720" w:type="dxa"/>
            <w:vAlign w:val="bottom"/>
          </w:tcPr>
          <w:p>
            <w:pPr>
              <w:jc w:val="right"/>
              <w:ind w:right="350"/>
              <w:spacing w:after="0"/>
              <w:rPr>
                <w:sz w:val="20"/>
                <w:szCs w:val="20"/>
                <w:color w:val="auto"/>
              </w:rPr>
            </w:pPr>
            <w:r>
              <w:rPr>
                <w:rFonts w:ascii="Arial" w:cs="Arial" w:eastAsia="Arial" w:hAnsi="Arial"/>
                <w:sz w:val="18"/>
                <w:szCs w:val="18"/>
                <w:color w:val="auto"/>
              </w:rPr>
              <w:t>43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20" w:type="dxa"/>
            <w:vAlign w:val="bottom"/>
            <w:tcBorders>
              <w:bottom w:val="single" w:sz="8" w:color="010101"/>
            </w:tcBorders>
          </w:tcPr>
          <w:p>
            <w:pPr>
              <w:spacing w:after="0"/>
              <w:rPr>
                <w:sz w:val="11"/>
                <w:szCs w:val="11"/>
                <w:color w:val="auto"/>
              </w:rPr>
            </w:pPr>
          </w:p>
        </w:tc>
        <w:tc>
          <w:tcPr>
            <w:tcW w:w="2720" w:type="dxa"/>
            <w:vAlign w:val="bottom"/>
            <w:tcBorders>
              <w:bottom w:val="single" w:sz="8" w:color="010101"/>
            </w:tcBorders>
          </w:tcPr>
          <w:p>
            <w:pPr>
              <w:spacing w:after="0"/>
              <w:rPr>
                <w:sz w:val="11"/>
                <w:szCs w:val="11"/>
                <w:color w:val="auto"/>
              </w:rPr>
            </w:pPr>
          </w:p>
        </w:tc>
        <w:tc>
          <w:tcPr>
            <w:tcW w:w="51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660" w:right="360" w:firstLine="645"/>
        <w:spacing w:after="0" w:line="286" w:lineRule="auto"/>
        <w:tabs>
          <w:tab w:leader="none" w:pos="1954"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196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560" w:firstLine="656"/>
        <w:spacing w:after="0" w:line="342" w:lineRule="auto"/>
        <w:tabs>
          <w:tab w:leader="none" w:pos="1296"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5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6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CHRISTIAN L. OBERBECK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A. Petrocelli, certify that:</w:t>
      </w:r>
    </w:p>
    <w:p>
      <w:pPr>
        <w:spacing w:after="0" w:line="225"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660" w:right="360" w:firstLine="645"/>
        <w:spacing w:after="0" w:line="286" w:lineRule="auto"/>
        <w:tabs>
          <w:tab w:leader="none" w:pos="1954" w:val="left"/>
        </w:tabs>
        <w:numPr>
          <w:ilvl w:val="1"/>
          <w:numId w:val="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1967"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9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560" w:firstLine="656"/>
        <w:spacing w:after="0" w:line="342" w:lineRule="auto"/>
        <w:tabs>
          <w:tab w:leader="none" w:pos="1296"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54"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64"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 PETROCELLI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Richard A.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Form 10-Q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225"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CHRISTIAN L. OBERBECK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Form 10-Q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Richard A. Petrocelli, the Chief Financial Officer, Chief Compliance Officer and Secretary of Saratoga Investment Corp., certifies that, to the best of his knowledge:</w:t>
      </w:r>
    </w:p>
    <w:p>
      <w:pPr>
        <w:spacing w:after="0" w:line="170" w:lineRule="exact"/>
        <w:rPr>
          <w:sz w:val="20"/>
          <w:szCs w:val="20"/>
          <w:color w:val="auto"/>
        </w:rPr>
      </w:pPr>
    </w:p>
    <w:p>
      <w:pPr>
        <w:ind w:left="660" w:hanging="652"/>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2013</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 PETROCELLI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Richard A.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o"/>
      <w:numFmt w:val="bullet"/>
      <w:start w:val="1"/>
    </w:lvl>
  </w:abstractNum>
  <w:abstractNum w:abstractNumId="2">
    <w:nsid w:val="6763845E"/>
    <w:multiLevelType w:val="hybridMultilevel"/>
    <w:lvl w:ilvl="0">
      <w:lvlJc w:val="left"/>
      <w:lvlText w:val="(%1)"/>
      <w:numFmt w:val="lowerLetter"/>
      <w:start w:val="1"/>
    </w:lvl>
  </w:abstractNum>
  <w:abstractNum w:abstractNumId="3">
    <w:nsid w:val="75A2A8D4"/>
    <w:multiLevelType w:val="hybridMultilevel"/>
    <w:lvl w:ilvl="0">
      <w:lvlJc w:val="left"/>
      <w:lvlText w:val="(%1)"/>
      <w:numFmt w:val="lowerLetter"/>
      <w:start w:val="7"/>
    </w:lvl>
  </w:abstractNum>
  <w:abstractNum w:abstractNumId="4">
    <w:nsid w:val="8EDBDAB"/>
    <w:multiLevelType w:val="hybridMultilevel"/>
    <w:lvl w:ilvl="0">
      <w:lvlJc w:val="left"/>
      <w:lvlText w:val="(%1)"/>
      <w:numFmt w:val="lowerLetter"/>
      <w:start w:val="1"/>
    </w:lvl>
  </w:abstractNum>
  <w:abstractNum w:abstractNumId="5">
    <w:nsid w:val="79838CB2"/>
    <w:multiLevelType w:val="hybridMultilevel"/>
    <w:lvl w:ilvl="0">
      <w:lvlJc w:val="left"/>
      <w:lvlText w:val="(%1)"/>
      <w:numFmt w:val="lowerLetter"/>
      <w:start w:val="7"/>
    </w:lvl>
  </w:abstractNum>
  <w:abstractNum w:abstractNumId="6">
    <w:nsid w:val="4353D0CD"/>
    <w:multiLevelType w:val="hybridMultilevel"/>
    <w:lvl w:ilvl="0">
      <w:lvlJc w:val="left"/>
      <w:lvlText w:val="(%1)"/>
      <w:numFmt w:val="lowerLetter"/>
      <w:start w:val="8"/>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1)"/>
      <w:numFmt w:val="decimal"/>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1)"/>
      <w:numFmt w:val="decimal"/>
      <w:start w:val="1"/>
    </w:lvl>
  </w:abstractNum>
  <w:abstractNum w:abstractNumId="29">
    <w:nsid w:val="77465F01"/>
    <w:multiLevelType w:val="hybridMultilevel"/>
    <w:lvl w:ilvl="0">
      <w:lvlJc w:val="left"/>
      <w:lvlText w:val="(%1)"/>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
      <w:numFmt w:val="bullet"/>
      <w:start w:val="1"/>
    </w:lvl>
  </w:abstractNum>
  <w:abstractNum w:abstractNumId="34">
    <w:nsid w:val="51EAD36B"/>
    <w:multiLevelType w:val="hybridMultilevel"/>
    <w:lvl w:ilvl="0">
      <w:lvlJc w:val="left"/>
      <w:lvlText w:val="·"/>
      <w:numFmt w:val="bullet"/>
      <w:start w:val="1"/>
    </w:lvl>
    <w:lvl w:ilvl="1">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lowerLetter"/>
      <w:start w:val="1"/>
    </w:lvl>
  </w:abstractNum>
  <w:abstractNum w:abstractNumId="39">
    <w:nsid w:val="70A64E2A"/>
    <w:multiLevelType w:val="hybridMultilevel"/>
    <w:lvl w:ilvl="0">
      <w:lvlJc w:val="left"/>
      <w:lvlText w:val="*"/>
      <w:numFmt w:val="bullet"/>
      <w:start w:val="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2019-12-07T14:37:44Z</dcterms:created>
  <dcterms:modified xsi:type="dcterms:W3CDTF">2019-12-07T14:37:44Z</dcterms:modified>
</cp:coreProperties>
</file>