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9"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31, 2016</w:t>
      </w:r>
    </w:p>
    <w:p>
      <w:pPr>
        <w:spacing w:after="0" w:line="243"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tcPr>
          <w:p>
            <w:pPr>
              <w:jc w:val="right"/>
              <w:ind w:right="59"/>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6"/>
              </w:rPr>
              <w:t>Identification No.)</w:t>
            </w:r>
          </w:p>
        </w:tc>
      </w:tr>
      <w:tr>
        <w:trPr>
          <w:trHeight w:val="439"/>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5140" w:type="dxa"/>
            <w:vAlign w:val="bottom"/>
          </w:tcPr>
          <w:p>
            <w:pPr>
              <w:spacing w:after="0"/>
              <w:rPr>
                <w:sz w:val="24"/>
                <w:szCs w:val="24"/>
                <w:color w:val="auto"/>
              </w:rPr>
            </w:pPr>
          </w:p>
        </w:tc>
      </w:tr>
      <w:tr>
        <w:trPr>
          <w:trHeight w:val="225"/>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tcPr>
          <w:p>
            <w:pPr>
              <w:jc w:val="right"/>
              <w:ind w:right="259"/>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(212) 906-7800</w:t>
            </w:r>
          </w:p>
        </w:tc>
      </w:tr>
      <w:tr>
        <w:trPr>
          <w:trHeight w:val="186"/>
        </w:trPr>
        <w:tc>
          <w:tcPr>
            <w:tcW w:w="236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94"/>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750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3"/>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213360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1"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249"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97"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640" w:space="180"/>
            <w:col w:w="260" w:space="80"/>
            <w:col w:w="160" w:space="180"/>
            <w:col w:w="1920"/>
          </w:cols>
          <w:pgMar w:left="240" w:top="230" w:right="239" w:bottom="1440" w:gutter="0" w:footer="0" w:header="0"/>
          <w:type w:val="continuous"/>
        </w:sectPr>
      </w:pPr>
    </w:p>
    <w:p>
      <w:pPr>
        <w:spacing w:after="0" w:line="48" w:lineRule="exact"/>
        <w:rPr>
          <w:sz w:val="24"/>
          <w:szCs w:val="24"/>
          <w:color w:val="auto"/>
        </w:r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October 11, 2016 was 5,716,776.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40" w:type="dxa"/>
            <w:vAlign w:val="bottom"/>
            <w:gridSpan w:val="5"/>
            <w:vMerge w:val="restart"/>
          </w:tcPr>
          <w:p>
            <w:pPr>
              <w:spacing w:after="0"/>
              <w:rPr>
                <w:sz w:val="20"/>
                <w:szCs w:val="20"/>
                <w:color w:val="auto"/>
              </w:rPr>
            </w:pPr>
            <w:r>
              <w:rPr>
                <w:rFonts w:ascii="Arial" w:cs="Arial" w:eastAsia="Arial" w:hAnsi="Arial"/>
                <w:sz w:val="18"/>
                <w:szCs w:val="18"/>
                <w:b w:val="1"/>
                <w:bCs w:val="1"/>
                <w:color w:val="auto"/>
              </w:rPr>
              <w:t>PART I.</w:t>
            </w:r>
          </w:p>
        </w:tc>
        <w:tc>
          <w:tcPr>
            <w:tcW w:w="9980" w:type="dxa"/>
            <w:vAlign w:val="bottom"/>
            <w:gridSpan w:val="17"/>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69"/>
        </w:trPr>
        <w:tc>
          <w:tcPr>
            <w:tcW w:w="1040" w:type="dxa"/>
            <w:vAlign w:val="bottom"/>
            <w:gridSpan w:val="5"/>
            <w:vMerge w:val="continue"/>
          </w:tcPr>
          <w:p>
            <w:pPr>
              <w:spacing w:after="0"/>
              <w:rPr>
                <w:sz w:val="14"/>
                <w:szCs w:val="14"/>
                <w:color w:val="auto"/>
              </w:rPr>
            </w:pPr>
          </w:p>
        </w:tc>
        <w:tc>
          <w:tcPr>
            <w:tcW w:w="9980" w:type="dxa"/>
            <w:vAlign w:val="bottom"/>
            <w:gridSpan w:val="17"/>
            <w:vMerge w:val="continue"/>
          </w:tcPr>
          <w:p>
            <w:pPr>
              <w:spacing w:after="0"/>
              <w:rPr>
                <w:sz w:val="14"/>
                <w:szCs w:val="14"/>
                <w:color w:val="auto"/>
              </w:rPr>
            </w:pPr>
          </w:p>
        </w:tc>
        <w:tc>
          <w:tcPr>
            <w:tcW w:w="300" w:type="dxa"/>
            <w:vAlign w:val="bottom"/>
            <w:tcBorders>
              <w:top w:val="single" w:sz="8" w:color="auto"/>
            </w:tcBorders>
          </w:tcPr>
          <w:p>
            <w:pPr>
              <w:jc w:val="right"/>
              <w:spacing w:after="0" w:line="170" w:lineRule="exact"/>
              <w:rPr>
                <w:sz w:val="20"/>
                <w:szCs w:val="20"/>
                <w:color w:val="auto"/>
              </w:rPr>
            </w:pPr>
            <w:r>
              <w:rPr>
                <w:rFonts w:ascii="Arial" w:cs="Arial" w:eastAsia="Arial" w:hAnsi="Arial"/>
                <w:sz w:val="18"/>
                <w:szCs w:val="18"/>
                <w:b w:val="1"/>
                <w:bCs w:val="1"/>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520" w:type="dxa"/>
            <w:vAlign w:val="bottom"/>
            <w:gridSpan w:val="4"/>
          </w:tcPr>
          <w:p>
            <w:pPr>
              <w:spacing w:after="0"/>
              <w:rPr>
                <w:sz w:val="24"/>
                <w:szCs w:val="24"/>
                <w:color w:val="auto"/>
              </w:rPr>
            </w:pPr>
          </w:p>
        </w:tc>
        <w:tc>
          <w:tcPr>
            <w:tcW w:w="2500" w:type="dxa"/>
            <w:vAlign w:val="bottom"/>
            <w:tcBorders>
              <w:bottom w:val="single" w:sz="8" w:color="0000EE"/>
            </w:tcBorders>
            <w:gridSpan w:val="7"/>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Financial Statements</w:t>
              </w:r>
            </w:hyperlink>
          </w:p>
        </w:tc>
        <w:tc>
          <w:tcPr>
            <w:tcW w:w="7480" w:type="dxa"/>
            <w:vAlign w:val="bottom"/>
            <w:gridSpan w:val="10"/>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August 31, 2016 (unaudited) and February 29, 2016</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Operations for the three and six months ended August 31, 2016 and August 31, 2015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00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Schedules of Investments as of August 31, 2016 (unaudited) and February 29, 2016</w:t>
              </w:r>
            </w:hyperlink>
          </w:p>
        </w:tc>
        <w:tc>
          <w:tcPr>
            <w:tcW w:w="980" w:type="dxa"/>
            <w:vAlign w:val="bottom"/>
            <w:gridSpan w:val="2"/>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w w:val="98"/>
              </w:rPr>
            </w:pPr>
            <w:hyperlink w:anchor="page9">
              <w:r>
                <w:rPr>
                  <w:rFonts w:ascii="Arial" w:cs="Arial" w:eastAsia="Arial" w:hAnsi="Arial"/>
                  <w:sz w:val="18"/>
                  <w:szCs w:val="18"/>
                  <w:color w:val="0000EE"/>
                  <w:w w:val="98"/>
                </w:rPr>
                <w:t>Consolidated Statements of Changes in Net Assets for the six months ended August 31, 2016 and August 31, 2015 (unaudited)</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20" w:type="dxa"/>
            <w:vAlign w:val="bottom"/>
            <w:tcBorders>
              <w:top w:val="single" w:sz="8" w:color="0000EE"/>
            </w:tcBorders>
            <w:gridSpan w:val="16"/>
          </w:tcPr>
          <w:p>
            <w:pPr>
              <w:spacing w:after="0"/>
              <w:rPr>
                <w:rFonts w:ascii="Arial" w:cs="Arial" w:eastAsia="Arial" w:hAnsi="Arial"/>
                <w:sz w:val="18"/>
                <w:szCs w:val="18"/>
                <w:color w:val="0000EE"/>
                <w:w w:val="98"/>
              </w:rPr>
            </w:pPr>
            <w:hyperlink w:anchor="page10">
              <w:r>
                <w:rPr>
                  <w:rFonts w:ascii="Arial" w:cs="Arial" w:eastAsia="Arial" w:hAnsi="Arial"/>
                  <w:sz w:val="18"/>
                  <w:szCs w:val="18"/>
                  <w:color w:val="0000EE"/>
                  <w:w w:val="98"/>
                </w:rPr>
                <w:t>Consolidated Statements of Cash Flows for the six months ended August 31, 2016 and August 31, 2015 (unaudited)</w:t>
              </w:r>
            </w:hyperlink>
          </w:p>
        </w:tc>
        <w:tc>
          <w:tcPr>
            <w:tcW w:w="86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04"/>
        </w:trPr>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340" w:type="dxa"/>
            <w:vAlign w:val="bottom"/>
            <w:tcBorders>
              <w:top w:val="single" w:sz="8" w:color="0000EE"/>
            </w:tcBorders>
            <w:gridSpan w:val="14"/>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Notes to Consolidated Financial Statements as of August 31, 2016 (unaudited)</w:t>
              </w:r>
            </w:hyperlink>
          </w:p>
        </w:tc>
        <w:tc>
          <w:tcPr>
            <w:tcW w:w="1640" w:type="dxa"/>
            <w:vAlign w:val="bottom"/>
            <w:gridSpan w:val="3"/>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19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52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40">
              <w:r>
                <w:rPr>
                  <w:rFonts w:ascii="Arial" w:cs="Arial" w:eastAsia="Arial" w:hAnsi="Arial"/>
                  <w:sz w:val="18"/>
                  <w:szCs w:val="18"/>
                  <w:color w:val="0000EE"/>
                  <w:w w:val="94"/>
                </w:rPr>
                <w:t>Item 2.</w:t>
              </w:r>
            </w:hyperlink>
          </w:p>
        </w:tc>
        <w:tc>
          <w:tcPr>
            <w:tcW w:w="500" w:type="dxa"/>
            <w:vAlign w:val="bottom"/>
            <w:gridSpan w:val="3"/>
          </w:tcPr>
          <w:p>
            <w:pPr>
              <w:spacing w:after="0"/>
              <w:rPr>
                <w:sz w:val="24"/>
                <w:szCs w:val="24"/>
                <w:color w:val="auto"/>
              </w:rPr>
            </w:pPr>
          </w:p>
        </w:tc>
        <w:tc>
          <w:tcPr>
            <w:tcW w:w="6460" w:type="dxa"/>
            <w:vAlign w:val="bottom"/>
            <w:tcBorders>
              <w:bottom w:val="single" w:sz="8" w:color="0000EE"/>
            </w:tcBorders>
            <w:gridSpan w:val="11"/>
          </w:tcPr>
          <w:p>
            <w:pPr>
              <w:spacing w:after="0"/>
              <w:rPr>
                <w:rFonts w:ascii="Arial" w:cs="Arial" w:eastAsia="Arial" w:hAnsi="Arial"/>
                <w:sz w:val="18"/>
                <w:szCs w:val="18"/>
                <w:color w:val="0000EE"/>
                <w:w w:val="90"/>
              </w:rPr>
            </w:pPr>
            <w:hyperlink w:anchor="page40">
              <w:r>
                <w:rPr>
                  <w:rFonts w:ascii="Arial" w:cs="Arial" w:eastAsia="Arial" w:hAnsi="Arial"/>
                  <w:sz w:val="18"/>
                  <w:szCs w:val="18"/>
                  <w:color w:val="0000EE"/>
                  <w:w w:val="90"/>
                </w:rPr>
                <w:t>Management’s Discussion and Analysis of Financial Condition and Results of Operations</w:t>
              </w:r>
            </w:hyperlink>
          </w:p>
        </w:tc>
        <w:tc>
          <w:tcPr>
            <w:tcW w:w="352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bottom w:val="single" w:sz="8" w:color="0000EE"/>
            </w:tcBorders>
            <w:gridSpan w:val="2"/>
          </w:tcPr>
          <w:p>
            <w:pPr>
              <w:spacing w:after="0"/>
              <w:rPr>
                <w:rFonts w:ascii="Arial" w:cs="Arial" w:eastAsia="Arial" w:hAnsi="Arial"/>
                <w:sz w:val="18"/>
                <w:szCs w:val="18"/>
                <w:color w:val="0000EE"/>
                <w:w w:val="94"/>
              </w:rPr>
            </w:pPr>
            <w:hyperlink w:anchor="page63">
              <w:r>
                <w:rPr>
                  <w:rFonts w:ascii="Arial" w:cs="Arial" w:eastAsia="Arial" w:hAnsi="Arial"/>
                  <w:sz w:val="18"/>
                  <w:szCs w:val="18"/>
                  <w:color w:val="0000EE"/>
                  <w:w w:val="94"/>
                </w:rPr>
                <w:t>Item 3.</w:t>
              </w:r>
            </w:hyperlink>
          </w:p>
        </w:tc>
        <w:tc>
          <w:tcPr>
            <w:tcW w:w="500" w:type="dxa"/>
            <w:vAlign w:val="bottom"/>
            <w:gridSpan w:val="3"/>
          </w:tcPr>
          <w:p>
            <w:pPr>
              <w:spacing w:after="0"/>
              <w:rPr>
                <w:sz w:val="24"/>
                <w:szCs w:val="24"/>
                <w:color w:val="auto"/>
              </w:rPr>
            </w:pPr>
          </w:p>
        </w:tc>
        <w:tc>
          <w:tcPr>
            <w:tcW w:w="4360" w:type="dxa"/>
            <w:vAlign w:val="bottom"/>
            <w:tcBorders>
              <w:bottom w:val="single" w:sz="8" w:color="0000EE"/>
            </w:tcBorders>
            <w:gridSpan w:val="9"/>
          </w:tcPr>
          <w:p>
            <w:pPr>
              <w:spacing w:after="0"/>
              <w:rPr>
                <w:rFonts w:ascii="Arial" w:cs="Arial" w:eastAsia="Arial" w:hAnsi="Arial"/>
                <w:sz w:val="18"/>
                <w:szCs w:val="18"/>
                <w:color w:val="0000EE"/>
                <w:w w:val="92"/>
              </w:rPr>
            </w:pPr>
            <w:hyperlink w:anchor="page63">
              <w:r>
                <w:rPr>
                  <w:rFonts w:ascii="Arial" w:cs="Arial" w:eastAsia="Arial" w:hAnsi="Arial"/>
                  <w:sz w:val="18"/>
                  <w:szCs w:val="18"/>
                  <w:color w:val="0000EE"/>
                  <w:w w:val="92"/>
                </w:rPr>
                <w:t>Quantitative and Qualitative Disclosures About Market Risk</w:t>
              </w:r>
            </w:hyperlink>
          </w:p>
        </w:tc>
        <w:tc>
          <w:tcPr>
            <w:tcW w:w="562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20" w:type="dxa"/>
            <w:vAlign w:val="bottom"/>
          </w:tcPr>
          <w:p>
            <w:pPr>
              <w:spacing w:after="0"/>
              <w:rPr>
                <w:rFonts w:ascii="Arial" w:cs="Arial" w:eastAsia="Arial" w:hAnsi="Arial"/>
                <w:sz w:val="18"/>
                <w:szCs w:val="18"/>
                <w:color w:val="0000EE"/>
                <w:w w:val="90"/>
              </w:rPr>
            </w:pPr>
            <w:hyperlink w:anchor="page63">
              <w:r>
                <w:rPr>
                  <w:rFonts w:ascii="Arial" w:cs="Arial" w:eastAsia="Arial" w:hAnsi="Arial"/>
                  <w:sz w:val="18"/>
                  <w:szCs w:val="18"/>
                  <w:color w:val="0000EE"/>
                  <w:w w:val="90"/>
                </w:rPr>
                <w:t>Item 4.</w:t>
              </w:r>
            </w:hyperlink>
          </w:p>
        </w:tc>
        <w:tc>
          <w:tcPr>
            <w:tcW w:w="520" w:type="dxa"/>
            <w:vAlign w:val="bottom"/>
            <w:gridSpan w:val="4"/>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63">
              <w:r>
                <w:rPr>
                  <w:rFonts w:ascii="Arial" w:cs="Arial" w:eastAsia="Arial" w:hAnsi="Arial"/>
                  <w:sz w:val="18"/>
                  <w:szCs w:val="18"/>
                  <w:color w:val="0000EE"/>
                </w:rPr>
                <w:t>Controls and Procedures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5"/>
          </w:tcPr>
          <w:p>
            <w:pPr>
              <w:spacing w:after="0"/>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OTHER INFORMATION</w:t>
              </w:r>
            </w:hyperlink>
          </w:p>
        </w:tc>
        <w:tc>
          <w:tcPr>
            <w:tcW w:w="796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1.</w:t>
              </w:r>
            </w:hyperlink>
          </w:p>
        </w:tc>
        <w:tc>
          <w:tcPr>
            <w:tcW w:w="500" w:type="dxa"/>
            <w:vAlign w:val="bottom"/>
            <w:gridSpan w:val="3"/>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4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40" w:type="dxa"/>
            <w:vAlign w:val="bottom"/>
            <w:gridSpan w:val="5"/>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Item 1A.</w:t>
              </w:r>
            </w:hyperlink>
          </w:p>
        </w:tc>
        <w:tc>
          <w:tcPr>
            <w:tcW w:w="998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Risk Factors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4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1960" w:type="dxa"/>
            <w:vAlign w:val="bottom"/>
            <w:gridSpan w:val="2"/>
          </w:tcPr>
          <w:p>
            <w:pPr>
              <w:spacing w:after="0" w:line="20" w:lineRule="exact"/>
              <w:rPr>
                <w:sz w:val="1"/>
                <w:szCs w:val="1"/>
                <w:color w:val="auto"/>
              </w:rPr>
            </w:pPr>
          </w:p>
        </w:tc>
        <w:tc>
          <w:tcPr>
            <w:tcW w:w="564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2.</w:t>
              </w:r>
            </w:hyperlink>
          </w:p>
        </w:tc>
        <w:tc>
          <w:tcPr>
            <w:tcW w:w="100" w:type="dxa"/>
            <w:vAlign w:val="bottom"/>
          </w:tcPr>
          <w:p>
            <w:pPr>
              <w:spacing w:after="0"/>
              <w:rPr>
                <w:sz w:val="24"/>
                <w:szCs w:val="24"/>
                <w:color w:val="auto"/>
              </w:rPr>
            </w:pPr>
          </w:p>
        </w:tc>
        <w:tc>
          <w:tcPr>
            <w:tcW w:w="400" w:type="dxa"/>
            <w:vAlign w:val="bottom"/>
            <w:gridSpan w:val="2"/>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3.</w:t>
              </w:r>
            </w:hyperlink>
          </w:p>
        </w:tc>
        <w:tc>
          <w:tcPr>
            <w:tcW w:w="500" w:type="dxa"/>
            <w:vAlign w:val="bottom"/>
            <w:gridSpan w:val="3"/>
          </w:tcPr>
          <w:p>
            <w:pPr>
              <w:spacing w:after="0"/>
              <w:rPr>
                <w:sz w:val="24"/>
                <w:szCs w:val="24"/>
                <w:color w:val="auto"/>
              </w:rPr>
            </w:pPr>
          </w:p>
        </w:tc>
        <w:tc>
          <w:tcPr>
            <w:tcW w:w="23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91"/>
              </w:rPr>
            </w:pPr>
            <w:hyperlink w:anchor="page64">
              <w:r>
                <w:rPr>
                  <w:rFonts w:ascii="Arial" w:cs="Arial" w:eastAsia="Arial" w:hAnsi="Arial"/>
                  <w:sz w:val="18"/>
                  <w:szCs w:val="18"/>
                  <w:color w:val="0000EE"/>
                  <w:w w:val="91"/>
                </w:rPr>
                <w:t>Defaults Upon Senior Securities</w:t>
              </w:r>
            </w:hyperlink>
          </w:p>
        </w:tc>
        <w:tc>
          <w:tcPr>
            <w:tcW w:w="1960" w:type="dxa"/>
            <w:vAlign w:val="bottom"/>
            <w:tcBorders>
              <w:top w:val="single" w:sz="8" w:color="0000EE"/>
            </w:tcBorders>
            <w:gridSpan w:val="2"/>
          </w:tcPr>
          <w:p>
            <w:pPr>
              <w:spacing w:after="0"/>
              <w:rPr>
                <w:sz w:val="24"/>
                <w:szCs w:val="24"/>
                <w:color w:val="auto"/>
              </w:rPr>
            </w:pPr>
          </w:p>
        </w:tc>
        <w:tc>
          <w:tcPr>
            <w:tcW w:w="564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4.</w:t>
              </w:r>
            </w:hyperlink>
          </w:p>
        </w:tc>
        <w:tc>
          <w:tcPr>
            <w:tcW w:w="500" w:type="dxa"/>
            <w:vAlign w:val="bottom"/>
            <w:gridSpan w:val="3"/>
          </w:tcPr>
          <w:p>
            <w:pPr>
              <w:spacing w:after="0"/>
              <w:rPr>
                <w:sz w:val="24"/>
                <w:szCs w:val="24"/>
                <w:color w:val="auto"/>
              </w:rPr>
            </w:pPr>
          </w:p>
        </w:tc>
        <w:tc>
          <w:tcPr>
            <w:tcW w:w="9980" w:type="dxa"/>
            <w:vAlign w:val="bottom"/>
            <w:gridSpan w:val="1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tcBorders>
            <w:gridSpan w:val="2"/>
          </w:tcPr>
          <w:p>
            <w:pPr>
              <w:spacing w:after="0"/>
              <w:rPr>
                <w:rFonts w:ascii="Arial" w:cs="Arial" w:eastAsia="Arial" w:hAnsi="Arial"/>
                <w:sz w:val="18"/>
                <w:szCs w:val="18"/>
                <w:color w:val="0000EE"/>
                <w:w w:val="94"/>
              </w:rPr>
            </w:pPr>
            <w:hyperlink w:anchor="page64">
              <w:r>
                <w:rPr>
                  <w:rFonts w:ascii="Arial" w:cs="Arial" w:eastAsia="Arial" w:hAnsi="Arial"/>
                  <w:sz w:val="18"/>
                  <w:szCs w:val="18"/>
                  <w:color w:val="0000EE"/>
                  <w:w w:val="94"/>
                </w:rPr>
                <w:t>Item 5.</w:t>
              </w:r>
            </w:hyperlink>
          </w:p>
        </w:tc>
        <w:tc>
          <w:tcPr>
            <w:tcW w:w="500" w:type="dxa"/>
            <w:vAlign w:val="bottom"/>
            <w:gridSpan w:val="3"/>
          </w:tcPr>
          <w:p>
            <w:pPr>
              <w:spacing w:after="0"/>
              <w:rPr>
                <w:sz w:val="24"/>
                <w:szCs w:val="24"/>
                <w:color w:val="auto"/>
              </w:rPr>
            </w:pPr>
          </w:p>
        </w:tc>
        <w:tc>
          <w:tcPr>
            <w:tcW w:w="1760" w:type="dxa"/>
            <w:vAlign w:val="bottom"/>
            <w:tcBorders>
              <w:top w:val="single" w:sz="8" w:color="0000EE"/>
            </w:tcBorders>
            <w:gridSpan w:val="4"/>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Other Information</w:t>
              </w:r>
            </w:hyperlink>
          </w:p>
        </w:tc>
        <w:tc>
          <w:tcPr>
            <w:tcW w:w="822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54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4"/>
              </w:rPr>
            </w:pPr>
            <w:hyperlink w:anchor="page65">
              <w:r>
                <w:rPr>
                  <w:rFonts w:ascii="Arial" w:cs="Arial" w:eastAsia="Arial" w:hAnsi="Arial"/>
                  <w:sz w:val="18"/>
                  <w:szCs w:val="18"/>
                  <w:color w:val="0000EE"/>
                  <w:w w:val="94"/>
                </w:rPr>
                <w:t>Item 6.</w:t>
              </w:r>
            </w:hyperlink>
          </w:p>
        </w:tc>
        <w:tc>
          <w:tcPr>
            <w:tcW w:w="50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tcPr>
          <w:p>
            <w:pPr>
              <w:spacing w:after="0"/>
              <w:rPr>
                <w:rFonts w:ascii="Arial" w:cs="Arial" w:eastAsia="Arial" w:hAnsi="Arial"/>
                <w:sz w:val="18"/>
                <w:szCs w:val="18"/>
                <w:color w:val="0000EE"/>
                <w:w w:val="91"/>
              </w:rPr>
            </w:pPr>
            <w:hyperlink w:anchor="page65">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24"/>
                <w:szCs w:val="24"/>
                <w:color w:val="auto"/>
              </w:rPr>
            </w:pPr>
          </w:p>
        </w:tc>
        <w:tc>
          <w:tcPr>
            <w:tcW w:w="866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1040" w:type="dxa"/>
            <w:vAlign w:val="bottom"/>
            <w:gridSpan w:val="5"/>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Signatures</w:t>
              </w:r>
            </w:hyperlink>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5640" w:type="dxa"/>
            <w:vAlign w:val="bottom"/>
            <w:gridSpan w:val="10"/>
          </w:tcPr>
          <w:p>
            <w:pPr>
              <w:ind w:left="462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5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80" w:type="dxa"/>
            <w:vAlign w:val="bottom"/>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w w:val="95"/>
              </w:rPr>
              <w:t>August 31, 2016</w:t>
            </w:r>
          </w:p>
        </w:tc>
        <w:tc>
          <w:tcPr>
            <w:tcW w:w="14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29,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9"/>
              </w:rPr>
              <w:t>Non-control/Non-affiliate investments (amortized cost of $267,658,535 and $268,145,090, respectively)</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260,887,373</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271,168,186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Control investments (cost of $10,948,369 and $13,030,751, respectively)</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11,917,076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12,827,980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$278,606,904 and $281,175,841, respectively)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272,804,449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283,996,166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12,707,273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2,440,277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10,173,549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4,594,506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Interest receivable (net of reserve of $0 and $728,519, respectively)</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3,393,927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3,195,919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Management fee receivable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170,897</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312,184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350,368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unsettled trades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284,903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299,847,182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295,047,252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revolving credit facility</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(476,221)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(515,906)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SBA debentures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w w:val="93"/>
              </w:rPr>
              <w:t>103,660,000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103,660,000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SBA debentures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(2,527,859)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(2,493,303)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Notes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61,793,125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61,793,125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notes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(1,484,265)</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(1,694,586)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Dividend payable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1,151,061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875,599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and incentive fees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6,283,519</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5,593,956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631,840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855,873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fees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1,873,508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1,552,069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Payable for repurchases of common stock</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208"/>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20,957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payable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Due to manager</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333,852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218,093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171,283,560</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169,897,377</w:t>
            </w:r>
          </w:p>
        </w:tc>
        <w:tc>
          <w:tcPr>
            <w:tcW w:w="0" w:type="dxa"/>
            <w:vAlign w:val="bottom"/>
          </w:tcPr>
          <w:p>
            <w:pPr>
              <w:spacing w:after="0"/>
              <w:rPr>
                <w:sz w:val="1"/>
                <w:szCs w:val="1"/>
                <w:color w:val="auto"/>
              </w:rPr>
            </w:pPr>
          </w:p>
        </w:tc>
      </w:tr>
      <w:tr>
        <w:trPr>
          <w:trHeight w:val="20"/>
        </w:trPr>
        <w:tc>
          <w:tcPr>
            <w:tcW w:w="854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(See Note 7)</w:t>
            </w: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5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20" w:type="dxa"/>
            <w:vAlign w:val="bottom"/>
          </w:tcPr>
          <w:p>
            <w:pPr>
              <w:spacing w:after="0" w:line="201" w:lineRule="exact"/>
              <w:rPr>
                <w:sz w:val="20"/>
                <w:szCs w:val="20"/>
                <w:color w:val="auto"/>
              </w:rPr>
            </w:pPr>
            <w:r>
              <w:rPr>
                <w:rFonts w:ascii="Arial" w:cs="Arial" w:eastAsia="Arial" w:hAnsi="Arial"/>
                <w:sz w:val="18"/>
                <w:szCs w:val="18"/>
                <w:color w:val="auto"/>
                <w:w w:val="91"/>
              </w:rPr>
              <w:t>Common stock, par value $.001, 100,000,000 common shares authorized, 5,740,810 and 5,672,227 common shares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20" w:type="dxa"/>
            <w:vAlign w:val="bottom"/>
          </w:tcPr>
          <w:p>
            <w:pPr>
              <w:ind w:left="160"/>
              <w:spacing w:after="0"/>
              <w:rPr>
                <w:sz w:val="20"/>
                <w:szCs w:val="20"/>
                <w:color w:val="auto"/>
              </w:rPr>
            </w:pPr>
            <w:r>
              <w:rPr>
                <w:rFonts w:ascii="Arial" w:cs="Arial" w:eastAsia="Arial" w:hAnsi="Arial"/>
                <w:sz w:val="18"/>
                <w:szCs w:val="18"/>
                <w:color w:val="auto"/>
              </w:rPr>
              <w:t>issued and outstanding, respectively</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5,741</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189,532,044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188,714,329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Distribution in excess of net investment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w w:val="97"/>
              </w:rPr>
              <w:t>(27,038,814)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(26,217,902)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7"/>
              </w:rPr>
              <w:t>(28,132,894)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(40,172,549)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20" w:type="dxa"/>
            <w:vAlign w:val="bottom"/>
          </w:tcPr>
          <w:p>
            <w:pPr>
              <w:spacing w:after="0"/>
              <w:rPr>
                <w:sz w:val="20"/>
                <w:szCs w:val="20"/>
                <w:color w:val="auto"/>
              </w:rPr>
            </w:pPr>
            <w:r>
              <w:rPr>
                <w:rFonts w:ascii="Arial" w:cs="Arial" w:eastAsia="Arial" w:hAnsi="Arial"/>
                <w:sz w:val="18"/>
                <w:szCs w:val="18"/>
                <w:color w:val="auto"/>
              </w:rPr>
              <w:t>Accumulated net unrealized appreciation (depreciation) on investments and derivatives</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(5,802,455)</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2,820,325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128,563,622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125,149,875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540" w:type="dxa"/>
            <w:vAlign w:val="bottom"/>
            <w:gridSpan w:val="2"/>
          </w:tcPr>
          <w:p>
            <w:pPr>
              <w:spacing w:after="0"/>
              <w:rPr>
                <w:sz w:val="20"/>
                <w:szCs w:val="20"/>
                <w:color w:val="auto"/>
              </w:rPr>
            </w:pPr>
            <w:r>
              <w:rPr>
                <w:rFonts w:ascii="Arial" w:cs="Arial" w:eastAsia="Arial" w:hAnsi="Arial"/>
                <w:sz w:val="18"/>
                <w:szCs w:val="18"/>
                <w:color w:val="auto"/>
              </w:rPr>
              <w:t>Total liabilities and net assets</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299,847,182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295,047,252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22.39</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500"/>
              <w:spacing w:after="0"/>
              <w:rPr>
                <w:sz w:val="20"/>
                <w:szCs w:val="20"/>
                <w:color w:val="auto"/>
              </w:rPr>
            </w:pPr>
            <w:r>
              <w:rPr>
                <w:rFonts w:ascii="Arial" w:cs="Arial" w:eastAsia="Arial" w:hAnsi="Arial"/>
                <w:sz w:val="14"/>
                <w:szCs w:val="14"/>
                <w:b w:val="1"/>
                <w:bCs w:val="1"/>
                <w:color w:val="auto"/>
                <w:w w:val="96"/>
              </w:rPr>
              <w:t>For the three months ended</w:t>
            </w:r>
          </w:p>
        </w:tc>
        <w:tc>
          <w:tcPr>
            <w:tcW w:w="80" w:type="dxa"/>
            <w:vAlign w:val="bottom"/>
          </w:tcPr>
          <w:p>
            <w:pPr>
              <w:spacing w:after="0"/>
              <w:rPr>
                <w:sz w:val="14"/>
                <w:szCs w:val="14"/>
                <w:color w:val="auto"/>
              </w:rPr>
            </w:pPr>
          </w:p>
        </w:tc>
        <w:tc>
          <w:tcPr>
            <w:tcW w:w="2140" w:type="dxa"/>
            <w:vAlign w:val="bottom"/>
            <w:gridSpan w:val="6"/>
          </w:tcPr>
          <w:p>
            <w:pPr>
              <w:jc w:val="right"/>
              <w:ind w:right="400"/>
              <w:spacing w:after="0"/>
              <w:rPr>
                <w:sz w:val="20"/>
                <w:szCs w:val="20"/>
                <w:color w:val="auto"/>
              </w:rPr>
            </w:pPr>
            <w:r>
              <w:rPr>
                <w:rFonts w:ascii="Arial" w:cs="Arial" w:eastAsia="Arial" w:hAnsi="Arial"/>
                <w:sz w:val="14"/>
                <w:szCs w:val="14"/>
                <w:b w:val="1"/>
                <w:bCs w:val="1"/>
                <w:color w:val="auto"/>
              </w:rPr>
              <w:t>For the six months ended</w:t>
            </w:r>
          </w:p>
        </w:tc>
      </w:tr>
      <w:tr>
        <w:trPr>
          <w:trHeight w:val="171"/>
        </w:trPr>
        <w:tc>
          <w:tcPr>
            <w:tcW w:w="2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00" w:type="dxa"/>
            <w:vAlign w:val="bottom"/>
            <w:gridSpan w:val="5"/>
          </w:tcPr>
          <w:p>
            <w:pPr>
              <w:jc w:val="right"/>
              <w:ind w:right="1040"/>
              <w:spacing w:after="0"/>
              <w:rPr>
                <w:sz w:val="20"/>
                <w:szCs w:val="20"/>
                <w:color w:val="auto"/>
              </w:rPr>
            </w:pPr>
            <w:r>
              <w:rPr>
                <w:rFonts w:ascii="Arial" w:cs="Arial" w:eastAsia="Arial" w:hAnsi="Arial"/>
                <w:sz w:val="14"/>
                <w:szCs w:val="14"/>
                <w:b w:val="1"/>
                <w:bCs w:val="1"/>
                <w:color w:val="auto"/>
              </w:rPr>
              <w:t>August 31</w:t>
            </w:r>
          </w:p>
        </w:tc>
        <w:tc>
          <w:tcPr>
            <w:tcW w:w="80" w:type="dxa"/>
            <w:vAlign w:val="bottom"/>
          </w:tcPr>
          <w:p>
            <w:pPr>
              <w:spacing w:after="0"/>
              <w:rPr>
                <w:sz w:val="14"/>
                <w:szCs w:val="14"/>
                <w:color w:val="auto"/>
              </w:rPr>
            </w:pPr>
          </w:p>
        </w:tc>
        <w:tc>
          <w:tcPr>
            <w:tcW w:w="2140" w:type="dxa"/>
            <w:vAlign w:val="bottom"/>
            <w:gridSpan w:val="6"/>
          </w:tcPr>
          <w:p>
            <w:pPr>
              <w:jc w:val="right"/>
              <w:ind w:right="860"/>
              <w:spacing w:after="0"/>
              <w:rPr>
                <w:sz w:val="20"/>
                <w:szCs w:val="20"/>
                <w:color w:val="auto"/>
              </w:rPr>
            </w:pPr>
            <w:r>
              <w:rPr>
                <w:rFonts w:ascii="Arial" w:cs="Arial" w:eastAsia="Arial" w:hAnsi="Arial"/>
                <w:sz w:val="14"/>
                <w:szCs w:val="14"/>
                <w:b w:val="1"/>
                <w:bCs w:val="1"/>
                <w:color w:val="auto"/>
              </w:rPr>
              <w:t>August 31</w:t>
            </w:r>
          </w:p>
        </w:tc>
      </w:tr>
      <w:tr>
        <w:trPr>
          <w:trHeight w:val="142"/>
        </w:trPr>
        <w:tc>
          <w:tcPr>
            <w:tcW w:w="20" w:type="dxa"/>
            <w:vAlign w:val="bottom"/>
          </w:tcPr>
          <w:p>
            <w:pPr>
              <w:spacing w:after="0"/>
              <w:rPr>
                <w:sz w:val="12"/>
                <w:szCs w:val="12"/>
                <w:color w:val="auto"/>
              </w:rPr>
            </w:pPr>
          </w:p>
        </w:tc>
        <w:tc>
          <w:tcPr>
            <w:tcW w:w="6380" w:type="dxa"/>
            <w:vAlign w:val="bottom"/>
            <w:tcBorders>
              <w:bottom w:val="single" w:sz="8" w:color="CCEEFF"/>
            </w:tcBorders>
          </w:tcPr>
          <w:p>
            <w:pPr>
              <w:spacing w:after="0"/>
              <w:rPr>
                <w:sz w:val="12"/>
                <w:szCs w:val="12"/>
                <w:color w:val="auto"/>
              </w:rPr>
            </w:pPr>
          </w:p>
        </w:tc>
        <w:tc>
          <w:tcPr>
            <w:tcW w:w="4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2016</w:t>
            </w:r>
          </w:p>
        </w:tc>
        <w:tc>
          <w:tcPr>
            <w:tcW w:w="3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3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bottom w:val="single" w:sz="8" w:color="CCEEFF"/>
            </w:tcBorders>
          </w:tcPr>
          <w:p>
            <w:pPr>
              <w:spacing w:after="0"/>
              <w:rPr>
                <w:sz w:val="12"/>
                <w:szCs w:val="12"/>
                <w:color w:val="auto"/>
              </w:rPr>
            </w:pPr>
          </w:p>
        </w:tc>
        <w:tc>
          <w:tcPr>
            <w:tcW w:w="12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12"/>
                <w:szCs w:val="12"/>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6,561,838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5,877,682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13,181,951</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11,526,661</w:t>
            </w:r>
          </w:p>
        </w:tc>
      </w:tr>
      <w:tr>
        <w:trPr>
          <w:trHeight w:val="216"/>
        </w:trPr>
        <w:tc>
          <w:tcPr>
            <w:tcW w:w="20" w:type="dxa"/>
            <w:vAlign w:val="bottom"/>
          </w:tcPr>
          <w:p>
            <w:pPr>
              <w:spacing w:after="0"/>
              <w:rPr>
                <w:sz w:val="18"/>
                <w:szCs w:val="18"/>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184,265</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262,991</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313,355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954,143</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557,200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678,706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1,089,326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1,269,696</w:t>
            </w:r>
          </w:p>
        </w:tc>
      </w:tr>
      <w:tr>
        <w:trPr>
          <w:trHeight w:val="223"/>
        </w:trPr>
        <w:tc>
          <w:tcPr>
            <w:tcW w:w="20" w:type="dxa"/>
            <w:vAlign w:val="bottom"/>
          </w:tcPr>
          <w:p>
            <w:pPr>
              <w:spacing w:after="0"/>
              <w:rPr>
                <w:sz w:val="19"/>
                <w:szCs w:val="19"/>
                <w:color w:val="auto"/>
              </w:rPr>
            </w:pPr>
          </w:p>
        </w:tc>
        <w:tc>
          <w:tcPr>
            <w:tcW w:w="638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7"/>
              </w:rPr>
              <w:t>7,303,303</w:t>
            </w: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6,819,379</w:t>
            </w: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14,584,632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13,750,500</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6,401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731</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1,467</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Management fee income</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374,657</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373,152</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748,341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751,898</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763,633</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565,055</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1,013,229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815,619</w:t>
            </w:r>
          </w:p>
        </w:tc>
      </w:tr>
      <w:tr>
        <w:trPr>
          <w:trHeight w:val="230"/>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8,447,994</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7,758,317</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16,356,389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15,319,484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2,369,705</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2,147,976</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4,737,761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4,111,841</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1,202,794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1,151,236</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2,429,951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2,275,334</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Professional fees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302,227</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349,533</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661,526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682,977</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325,000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275,000</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650,000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525,000</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1,208,452</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(41,279)</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1,936,732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1,756,554</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70,658</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87,316</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141,316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174,633</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rPr>
              <w:t>60,422</w:t>
            </w:r>
          </w:p>
        </w:tc>
        <w:tc>
          <w:tcPr>
            <w:tcW w:w="100" w:type="dxa"/>
            <w:vAlign w:val="bottom"/>
          </w:tcPr>
          <w:p>
            <w:pPr>
              <w:spacing w:after="0"/>
              <w:rPr>
                <w:sz w:val="18"/>
                <w:szCs w:val="18"/>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rPr>
              <w:t>51,000</w:t>
            </w:r>
          </w:p>
        </w:tc>
        <w:tc>
          <w:tcPr>
            <w:tcW w:w="8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126,422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102,000</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304,955</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203,449</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517,164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386,369</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Excise tax expense (credit)</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(123,338)</w:t>
            </w:r>
          </w:p>
        </w:tc>
        <w:tc>
          <w:tcPr>
            <w:tcW w:w="80" w:type="dxa"/>
            <w:vAlign w:val="bottom"/>
          </w:tcPr>
          <w:p>
            <w:pPr>
              <w:spacing w:after="0"/>
              <w:rPr>
                <w:sz w:val="18"/>
                <w:szCs w:val="18"/>
                <w:color w:val="auto"/>
              </w:rPr>
            </w:pPr>
          </w:p>
        </w:tc>
        <w:tc>
          <w:tcPr>
            <w:tcW w:w="10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(123,338)</w:t>
            </w: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expense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13,187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30"/>
        </w:trPr>
        <w:tc>
          <w:tcPr>
            <w:tcW w:w="20" w:type="dxa"/>
            <w:vAlign w:val="bottom"/>
          </w:tcPr>
          <w:p>
            <w:pPr>
              <w:spacing w:after="0"/>
              <w:rPr>
                <w:sz w:val="20"/>
                <w:szCs w:val="20"/>
                <w:color w:val="auto"/>
              </w:rPr>
            </w:pPr>
          </w:p>
        </w:tc>
        <w:tc>
          <w:tcPr>
            <w:tcW w:w="6380" w:type="dxa"/>
            <w:vAlign w:val="bottom"/>
          </w:tcPr>
          <w:p>
            <w:pPr>
              <w:ind w:left="340"/>
              <w:spacing w:after="0"/>
              <w:rPr>
                <w:sz w:val="20"/>
                <w:szCs w:val="20"/>
                <w:color w:val="auto"/>
              </w:rPr>
            </w:pPr>
            <w:r>
              <w:rPr>
                <w:rFonts w:ascii="Arial" w:cs="Arial" w:eastAsia="Arial" w:hAnsi="Arial"/>
                <w:sz w:val="18"/>
                <w:szCs w:val="18"/>
                <w:color w:val="auto"/>
              </w:rPr>
              <w:t>Total expenses</w:t>
            </w:r>
          </w:p>
        </w:tc>
        <w:tc>
          <w:tcPr>
            <w:tcW w:w="4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5,844,213</w:t>
            </w:r>
          </w:p>
        </w:tc>
        <w:tc>
          <w:tcPr>
            <w:tcW w:w="3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4,100,893</w:t>
            </w:r>
          </w:p>
        </w:tc>
        <w:tc>
          <w:tcPr>
            <w:tcW w:w="3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11,214,059</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9,891,370</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INVESTMENT INCOME</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2,603,781</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3,657,424</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5,142,330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5,428,114</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REALIZED AND UNREALIZED GAIN (LOSS) ON INVESTMENTS:</w:t>
            </w:r>
          </w:p>
        </w:tc>
        <w:tc>
          <w:tcPr>
            <w:tcW w:w="4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97"/>
              </w:rPr>
              <w:t>5,936,750</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4"/>
              </w:rPr>
              <w:t>3,709,947</w:t>
            </w:r>
          </w:p>
        </w:tc>
        <w:tc>
          <w:tcPr>
            <w:tcW w:w="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12,039,655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3,783,193</w:t>
            </w: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(3,268,913)</w:t>
            </w:r>
          </w:p>
        </w:tc>
        <w:tc>
          <w:tcPr>
            <w:tcW w:w="100" w:type="dxa"/>
            <w:vAlign w:val="bottom"/>
          </w:tcPr>
          <w:p>
            <w:pPr>
              <w:spacing w:after="0"/>
              <w:rPr>
                <w:sz w:val="18"/>
                <w:szCs w:val="18"/>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(6,124,708)</w:t>
            </w:r>
          </w:p>
        </w:tc>
        <w:tc>
          <w:tcPr>
            <w:tcW w:w="80" w:type="dxa"/>
            <w:vAlign w:val="bottom"/>
          </w:tcPr>
          <w:p>
            <w:pPr>
              <w:spacing w:after="0"/>
              <w:rPr>
                <w:sz w:val="18"/>
                <w:szCs w:val="18"/>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w w:val="93"/>
              </w:rPr>
              <w:t>(8,622,780)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(583,739)</w:t>
            </w:r>
          </w:p>
        </w:tc>
      </w:tr>
      <w:tr>
        <w:trPr>
          <w:trHeight w:val="27"/>
        </w:trPr>
        <w:tc>
          <w:tcPr>
            <w:tcW w:w="20" w:type="dxa"/>
            <w:vAlign w:val="bottom"/>
          </w:tcPr>
          <w:p>
            <w:pPr>
              <w:spacing w:after="0"/>
              <w:rPr>
                <w:sz w:val="2"/>
                <w:szCs w:val="2"/>
                <w:color w:val="auto"/>
              </w:rPr>
            </w:pPr>
          </w:p>
        </w:tc>
        <w:tc>
          <w:tcPr>
            <w:tcW w:w="63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gain (loss) on investments</w:t>
            </w: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2,667,837</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9"/>
              </w:rPr>
              <w:t>(2,414,761)</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3,416,875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3,199,454</w:t>
            </w:r>
          </w:p>
        </w:tc>
      </w:tr>
      <w:tr>
        <w:trPr>
          <w:trHeight w:val="223"/>
        </w:trPr>
        <w:tc>
          <w:tcPr>
            <w:tcW w:w="64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4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5,271,618</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1,242,663</w:t>
            </w:r>
          </w:p>
        </w:tc>
        <w:tc>
          <w:tcPr>
            <w:tcW w:w="32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8,559,205</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8,627,568</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638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 BASIC AND DILUTED EARNINGS PER COMMON</w:t>
            </w: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0.92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r>
      <w:tr>
        <w:trPr>
          <w:trHeight w:val="202"/>
        </w:trPr>
        <w:tc>
          <w:tcPr>
            <w:tcW w:w="20" w:type="dxa"/>
            <w:vAlign w:val="bottom"/>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rPr>
              <w:t>WEIGHTED AVERAGE COMMON SHARES OUTSTANDING - BASIC AND</w:t>
            </w: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DILUTED</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300"/>
              <w:spacing w:after="0"/>
              <w:rPr>
                <w:sz w:val="20"/>
                <w:szCs w:val="20"/>
                <w:color w:val="auto"/>
              </w:rPr>
            </w:pPr>
            <w:r>
              <w:rPr>
                <w:rFonts w:ascii="Arial" w:cs="Arial" w:eastAsia="Arial" w:hAnsi="Arial"/>
                <w:sz w:val="18"/>
                <w:szCs w:val="18"/>
                <w:color w:val="auto"/>
                <w:w w:val="97"/>
              </w:rPr>
              <w:t>5,740,816</w:t>
            </w:r>
          </w:p>
        </w:tc>
        <w:tc>
          <w:tcPr>
            <w:tcW w:w="100" w:type="dxa"/>
            <w:vAlign w:val="bottom"/>
          </w:tcPr>
          <w:p>
            <w:pPr>
              <w:spacing w:after="0"/>
              <w:rPr>
                <w:sz w:val="20"/>
                <w:szCs w:val="20"/>
                <w:color w:val="auto"/>
              </w:rPr>
            </w:pPr>
          </w:p>
        </w:tc>
        <w:tc>
          <w:tcPr>
            <w:tcW w:w="1100" w:type="dxa"/>
            <w:vAlign w:val="bottom"/>
            <w:gridSpan w:val="2"/>
          </w:tcPr>
          <w:p>
            <w:pPr>
              <w:jc w:val="right"/>
              <w:ind w:right="320"/>
              <w:spacing w:after="0"/>
              <w:rPr>
                <w:sz w:val="20"/>
                <w:szCs w:val="20"/>
                <w:color w:val="auto"/>
              </w:rPr>
            </w:pPr>
            <w:r>
              <w:rPr>
                <w:rFonts w:ascii="Arial" w:cs="Arial" w:eastAsia="Arial" w:hAnsi="Arial"/>
                <w:sz w:val="18"/>
                <w:szCs w:val="18"/>
                <w:color w:val="auto"/>
                <w:w w:val="94"/>
              </w:rPr>
              <w:t>5,583,795</w:t>
            </w: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5,739,157</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5,492,491</w:t>
            </w: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line="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Consolidated Schedule of Investments</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August 31, 2016</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ectPr>
          <w:pgSz w:w="11900" w:h="16864" w:orient="portrait"/>
          <w:cols w:equalWidth="0" w:num="1">
            <w:col w:w="11420"/>
          </w:cols>
          <w:pgMar w:left="240" w:top="459" w:right="239" w:bottom="0" w:gutter="0" w:footer="0" w:header="0"/>
        </w:sect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640" w:type="dxa"/>
            <w:vAlign w:val="bottom"/>
            <w:gridSpan w:val="2"/>
            <w:vMerge w:val="restart"/>
          </w:tcPr>
          <w:p>
            <w:pPr>
              <w:ind w:left="500"/>
              <w:spacing w:after="0"/>
              <w:rPr>
                <w:sz w:val="20"/>
                <w:szCs w:val="20"/>
                <w:color w:val="auto"/>
              </w:rPr>
            </w:pPr>
            <w:r>
              <w:rPr>
                <w:rFonts w:ascii="Arial" w:cs="Arial" w:eastAsia="Arial" w:hAnsi="Arial"/>
                <w:sz w:val="14"/>
                <w:szCs w:val="14"/>
                <w:b w:val="1"/>
                <w:bCs w:val="1"/>
                <w:color w:val="auto"/>
              </w:rPr>
              <w:t>Industry</w:t>
            </w: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w w:val="93"/>
              </w:rPr>
              <w:t>Investment Interest Rate /</w:t>
            </w:r>
          </w:p>
        </w:tc>
        <w:tc>
          <w:tcPr>
            <w:tcW w:w="0" w:type="dxa"/>
            <w:vAlign w:val="bottom"/>
          </w:tcPr>
          <w:p>
            <w:pPr>
              <w:spacing w:after="0"/>
              <w:rPr>
                <w:sz w:val="1"/>
                <w:szCs w:val="1"/>
                <w:color w:val="auto"/>
              </w:rPr>
            </w:pPr>
          </w:p>
        </w:tc>
      </w:tr>
      <w:tr>
        <w:trPr>
          <w:trHeight w:val="185"/>
        </w:trPr>
        <w:tc>
          <w:tcPr>
            <w:tcW w:w="3160" w:type="dxa"/>
            <w:vAlign w:val="bottom"/>
            <w:gridSpan w:val="2"/>
            <w:vMerge w:val="continue"/>
          </w:tcPr>
          <w:p>
            <w:pPr>
              <w:spacing w:after="0"/>
              <w:rPr>
                <w:sz w:val="16"/>
                <w:szCs w:val="16"/>
                <w:color w:val="auto"/>
              </w:rPr>
            </w:pPr>
          </w:p>
        </w:tc>
        <w:tc>
          <w:tcPr>
            <w:tcW w:w="1640" w:type="dxa"/>
            <w:vAlign w:val="bottom"/>
            <w:gridSpan w:val="2"/>
            <w:vMerge w:val="continue"/>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4"/>
                <w:szCs w:val="14"/>
                <w:b w:val="1"/>
                <w:bCs w:val="1"/>
                <w:color w:val="auto"/>
              </w:rPr>
              <w:t>Maturity</w:t>
            </w:r>
          </w:p>
        </w:tc>
        <w:tc>
          <w:tcPr>
            <w:tcW w:w="0" w:type="dxa"/>
            <w:vAlign w:val="bottom"/>
          </w:tcPr>
          <w:p>
            <w:pPr>
              <w:spacing w:after="0"/>
              <w:rPr>
                <w:sz w:val="1"/>
                <w:szCs w:val="1"/>
                <w:color w:val="auto"/>
              </w:rPr>
            </w:pPr>
          </w:p>
        </w:tc>
      </w:tr>
      <w:tr>
        <w:trPr>
          <w:trHeight w:val="20"/>
        </w:trPr>
        <w:tc>
          <w:tcPr>
            <w:tcW w:w="600" w:type="dxa"/>
            <w:vAlign w:val="bottom"/>
            <w:shd w:val="clear" w:color="auto" w:fill="000000"/>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0"/>
        </w:trPr>
        <w:tc>
          <w:tcPr>
            <w:tcW w:w="4800" w:type="dxa"/>
            <w:vAlign w:val="bottom"/>
            <w:gridSpan w:val="4"/>
          </w:tcPr>
          <w:p>
            <w:pPr>
              <w:spacing w:after="0" w:line="110" w:lineRule="exact"/>
              <w:rPr>
                <w:sz w:val="20"/>
                <w:szCs w:val="20"/>
                <w:color w:val="auto"/>
              </w:rPr>
            </w:pPr>
            <w:r>
              <w:rPr>
                <w:rFonts w:ascii="Arial" w:cs="Arial" w:eastAsia="Arial" w:hAnsi="Arial"/>
                <w:sz w:val="12"/>
                <w:szCs w:val="12"/>
                <w:b w:val="1"/>
                <w:bCs w:val="1"/>
                <w:color w:val="auto"/>
              </w:rPr>
              <w:t>Non-control/Non-affiliated investments - 202.9% (b)</w:t>
            </w:r>
          </w:p>
        </w:tc>
        <w:tc>
          <w:tcPr>
            <w:tcW w:w="2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3160" w:type="dxa"/>
            <w:vAlign w:val="bottom"/>
            <w:gridSpan w:val="2"/>
          </w:tcPr>
          <w:p>
            <w:pPr>
              <w:spacing w:after="0" w:line="149" w:lineRule="exact"/>
              <w:rPr>
                <w:sz w:val="20"/>
                <w:szCs w:val="20"/>
                <w:color w:val="auto"/>
              </w:rPr>
            </w:pPr>
            <w:r>
              <w:rPr>
                <w:rFonts w:ascii="Arial" w:cs="Arial" w:eastAsia="Arial" w:hAnsi="Arial"/>
                <w:sz w:val="14"/>
                <w:szCs w:val="14"/>
                <w:color w:val="auto"/>
              </w:rPr>
              <w:t>CAMP International Systems (d)</w:t>
            </w:r>
          </w:p>
        </w:tc>
        <w:tc>
          <w:tcPr>
            <w:tcW w:w="164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2560" w:type="dxa"/>
            <w:vAlign w:val="bottom"/>
          </w:tcPr>
          <w:p>
            <w:pPr>
              <w:spacing w:after="0" w:line="149" w:lineRule="exact"/>
              <w:rPr>
                <w:sz w:val="20"/>
                <w:szCs w:val="20"/>
                <w:color w:val="auto"/>
              </w:rPr>
            </w:pPr>
            <w:r>
              <w:rPr>
                <w:rFonts w:ascii="Arial" w:cs="Arial" w:eastAsia="Arial" w:hAnsi="Arial"/>
                <w:sz w:val="14"/>
                <w:szCs w:val="14"/>
                <w:color w:val="auto"/>
              </w:rPr>
              <w:t>Second Lien Term Loan 8.25% Cash,</w:t>
            </w:r>
          </w:p>
        </w:tc>
        <w:tc>
          <w:tcPr>
            <w:tcW w:w="0" w:type="dxa"/>
            <w:vAlign w:val="bottom"/>
          </w:tcPr>
          <w:p>
            <w:pPr>
              <w:spacing w:after="0"/>
              <w:rPr>
                <w:sz w:val="1"/>
                <w:szCs w:val="1"/>
                <w:color w:val="auto"/>
              </w:rPr>
            </w:pPr>
          </w:p>
        </w:tc>
      </w:tr>
      <w:tr>
        <w:trPr>
          <w:trHeight w:val="167"/>
        </w:trPr>
        <w:tc>
          <w:tcPr>
            <w:tcW w:w="6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tcPr>
          <w:p>
            <w:pPr>
              <w:spacing w:after="0"/>
              <w:rPr>
                <w:sz w:val="20"/>
                <w:szCs w:val="20"/>
                <w:color w:val="auto"/>
              </w:rPr>
            </w:pPr>
            <w:r>
              <w:rPr>
                <w:rFonts w:ascii="Arial" w:cs="Arial" w:eastAsia="Arial" w:hAnsi="Arial"/>
                <w:sz w:val="14"/>
                <w:szCs w:val="14"/>
                <w:color w:val="auto"/>
              </w:rPr>
              <w:t>8/18/2024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-282575</wp:posOffset>
            </wp:positionV>
            <wp:extent cx="7246620" cy="946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Principal /</w:t>
            </w:r>
          </w:p>
        </w:tc>
        <w:tc>
          <w:tcPr>
            <w:tcW w:w="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10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4"/>
              </w:rPr>
              <w:t>Number of</w:t>
            </w:r>
          </w:p>
        </w:tc>
        <w:tc>
          <w:tcPr>
            <w:tcW w:w="88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Cost</w:t>
            </w:r>
          </w:p>
        </w:tc>
        <w:tc>
          <w:tcPr>
            <w:tcW w:w="180" w:type="dxa"/>
            <w:vAlign w:val="bottom"/>
            <w:vMerge w:val="restart"/>
          </w:tcPr>
          <w:p>
            <w:pPr>
              <w:spacing w:after="0"/>
              <w:rPr>
                <w:sz w:val="12"/>
                <w:szCs w:val="12"/>
                <w:color w:val="auto"/>
              </w:rPr>
            </w:pPr>
          </w:p>
        </w:tc>
        <w:tc>
          <w:tcPr>
            <w:tcW w:w="88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5"/>
              </w:rPr>
              <w:t>Fair Value (c)</w:t>
            </w:r>
          </w:p>
        </w:tc>
        <w:tc>
          <w:tcPr>
            <w:tcW w:w="200" w:type="dxa"/>
            <w:vAlign w:val="bottom"/>
            <w:vMerge w:val="restart"/>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Shares</w:t>
            </w:r>
          </w:p>
        </w:tc>
        <w:tc>
          <w:tcPr>
            <w:tcW w:w="180" w:type="dxa"/>
            <w:vAlign w:val="bottom"/>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180" w:type="dxa"/>
            <w:vAlign w:val="bottom"/>
            <w:vMerge w:val="continue"/>
          </w:tcPr>
          <w:p>
            <w:pPr>
              <w:spacing w:after="0"/>
              <w:rPr>
                <w:sz w:val="14"/>
                <w:szCs w:val="14"/>
                <w:color w:val="auto"/>
              </w:rPr>
            </w:pPr>
          </w:p>
        </w:tc>
        <w:tc>
          <w:tcPr>
            <w:tcW w:w="880" w:type="dxa"/>
            <w:vAlign w:val="bottom"/>
            <w:tcBorders>
              <w:bottom w:val="single" w:sz="8" w:color="auto"/>
            </w:tcBorders>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Net Assets</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6"/>
        </w:trPr>
        <w:tc>
          <w:tcPr>
            <w:tcW w:w="820" w:type="dxa"/>
            <w:vAlign w:val="bottom"/>
          </w:tcPr>
          <w:p>
            <w:pPr>
              <w:jc w:val="center"/>
              <w:spacing w:after="0"/>
              <w:rPr>
                <w:sz w:val="20"/>
                <w:szCs w:val="20"/>
                <w:color w:val="auto"/>
              </w:rPr>
            </w:pPr>
            <w:r>
              <w:rPr>
                <w:rFonts w:ascii="Arial" w:cs="Arial" w:eastAsia="Arial" w:hAnsi="Arial"/>
                <w:sz w:val="14"/>
                <w:szCs w:val="14"/>
                <w:color w:val="auto"/>
              </w:rPr>
              <w:t>$  1,000,000</w:t>
            </w:r>
          </w:p>
        </w:tc>
        <w:tc>
          <w:tcPr>
            <w:tcW w:w="180" w:type="dxa"/>
            <w:vAlign w:val="bottom"/>
          </w:tcPr>
          <w:p>
            <w:pPr>
              <w:spacing w:after="0"/>
              <w:rPr>
                <w:sz w:val="24"/>
                <w:szCs w:val="24"/>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995,002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997,500</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64" w:orient="portrait"/>
          <w:cols w:equalWidth="0" w:num="2">
            <w:col w:w="7360" w:space="100"/>
            <w:col w:w="3960"/>
          </w:cols>
          <w:pgMar w:left="240" w:top="459" w:right="239" w:bottom="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302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2840" w:type="dxa"/>
            <w:vAlign w:val="bottom"/>
            <w:shd w:val="clear" w:color="auto" w:fill="CCEEFF"/>
          </w:tcPr>
          <w:p>
            <w:pPr>
              <w:jc w:val="right"/>
              <w:spacing w:after="0" w:line="136" w:lineRule="exact"/>
              <w:rPr>
                <w:sz w:val="20"/>
                <w:szCs w:val="20"/>
                <w:color w:val="auto"/>
              </w:rPr>
            </w:pPr>
            <w:r>
              <w:rPr>
                <w:rFonts w:ascii="Arial" w:cs="Arial" w:eastAsia="Arial" w:hAnsi="Arial"/>
                <w:sz w:val="14"/>
                <w:szCs w:val="14"/>
                <w:color w:val="auto"/>
              </w:rPr>
              <w:t>Total Aerospace and Defense</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60" w:type="dxa"/>
            <w:vAlign w:val="bottom"/>
            <w:gridSpan w:val="2"/>
            <w:shd w:val="clear" w:color="auto" w:fill="CCEEFF"/>
          </w:tcPr>
          <w:p>
            <w:pPr>
              <w:jc w:val="right"/>
              <w:ind w:right="180"/>
              <w:spacing w:after="0" w:line="136" w:lineRule="exact"/>
              <w:rPr>
                <w:sz w:val="20"/>
                <w:szCs w:val="20"/>
                <w:color w:val="auto"/>
              </w:rPr>
            </w:pPr>
            <w:r>
              <w:rPr>
                <w:rFonts w:ascii="Arial" w:cs="Arial" w:eastAsia="Arial" w:hAnsi="Arial"/>
                <w:sz w:val="14"/>
                <w:szCs w:val="14"/>
                <w:color w:val="auto"/>
              </w:rPr>
              <w:t>995,002</w:t>
            </w:r>
          </w:p>
        </w:tc>
        <w:tc>
          <w:tcPr>
            <w:tcW w:w="1080" w:type="dxa"/>
            <w:vAlign w:val="bottom"/>
            <w:gridSpan w:val="2"/>
            <w:shd w:val="clear" w:color="auto" w:fill="CCEEFF"/>
          </w:tcPr>
          <w:p>
            <w:pPr>
              <w:jc w:val="right"/>
              <w:ind w:right="200"/>
              <w:spacing w:after="0" w:line="136" w:lineRule="exact"/>
              <w:rPr>
                <w:sz w:val="20"/>
                <w:szCs w:val="20"/>
                <w:color w:val="auto"/>
              </w:rPr>
            </w:pPr>
            <w:r>
              <w:rPr>
                <w:rFonts w:ascii="Arial" w:cs="Arial" w:eastAsia="Arial" w:hAnsi="Arial"/>
                <w:sz w:val="14"/>
                <w:szCs w:val="14"/>
                <w:color w:val="auto"/>
              </w:rPr>
              <w:t>997,500</w:t>
            </w:r>
          </w:p>
        </w:tc>
        <w:tc>
          <w:tcPr>
            <w:tcW w:w="820" w:type="dxa"/>
            <w:vAlign w:val="bottom"/>
            <w:gridSpan w:val="2"/>
            <w:shd w:val="clear" w:color="auto" w:fill="CCEEFF"/>
          </w:tcPr>
          <w:p>
            <w:pPr>
              <w:jc w:val="right"/>
              <w:ind w:right="60"/>
              <w:spacing w:after="0" w:line="136" w:lineRule="exact"/>
              <w:rPr>
                <w:sz w:val="20"/>
                <w:szCs w:val="20"/>
                <w:color w:val="auto"/>
              </w:rPr>
            </w:pPr>
            <w:r>
              <w:rPr>
                <w:rFonts w:ascii="Arial" w:cs="Arial" w:eastAsia="Arial" w:hAnsi="Arial"/>
                <w:sz w:val="14"/>
                <w:szCs w:val="14"/>
                <w:color w:val="auto"/>
              </w:rPr>
              <w:t>0.8%</w:t>
            </w:r>
          </w:p>
        </w:tc>
        <w:tc>
          <w:tcPr>
            <w:tcW w:w="0" w:type="dxa"/>
            <w:vAlign w:val="bottom"/>
          </w:tcPr>
          <w:p>
            <w:pPr>
              <w:spacing w:after="0"/>
              <w:rPr>
                <w:sz w:val="1"/>
                <w:szCs w:val="1"/>
                <w:color w:val="auto"/>
              </w:rPr>
            </w:pPr>
          </w:p>
        </w:tc>
      </w:tr>
      <w:tr>
        <w:trPr>
          <w:trHeight w:val="137"/>
        </w:trPr>
        <w:tc>
          <w:tcPr>
            <w:tcW w:w="3040" w:type="dxa"/>
            <w:vAlign w:val="bottom"/>
            <w:gridSpan w:val="2"/>
          </w:tcPr>
          <w:p>
            <w:pPr>
              <w:spacing w:after="0" w:line="137" w:lineRule="exact"/>
              <w:rPr>
                <w:sz w:val="20"/>
                <w:szCs w:val="20"/>
                <w:color w:val="auto"/>
              </w:rPr>
            </w:pPr>
            <w:r>
              <w:rPr>
                <w:rFonts w:ascii="Arial" w:cs="Arial" w:eastAsia="Arial" w:hAnsi="Arial"/>
                <w:sz w:val="14"/>
                <w:szCs w:val="14"/>
                <w:color w:val="auto"/>
              </w:rPr>
              <w:t>Polar Holding Company, Ltd. (a), (d), (i)</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Building Products</w:t>
            </w:r>
          </w:p>
        </w:tc>
        <w:tc>
          <w:tcPr>
            <w:tcW w:w="2840" w:type="dxa"/>
            <w:vAlign w:val="bottom"/>
          </w:tcPr>
          <w:p>
            <w:pPr>
              <w:ind w:left="240"/>
              <w:spacing w:after="0" w:line="137" w:lineRule="exact"/>
              <w:rPr>
                <w:sz w:val="20"/>
                <w:szCs w:val="20"/>
                <w:color w:val="auto"/>
              </w:rPr>
            </w:pPr>
            <w:r>
              <w:rPr>
                <w:rFonts w:ascii="Arial" w:cs="Arial" w:eastAsia="Arial" w:hAnsi="Arial"/>
                <w:sz w:val="14"/>
                <w:szCs w:val="14"/>
                <w:color w:val="auto"/>
              </w:rPr>
              <w:t>First Lien Term Loan 10.00%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9/30/2016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2,000,000</w:t>
            </w:r>
          </w:p>
        </w:tc>
        <w:tc>
          <w:tcPr>
            <w:tcW w:w="88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Building Products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2,000,000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2,000,000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Avionte Holdings, LLC (g)</w:t>
            </w:r>
          </w:p>
        </w:tc>
        <w:tc>
          <w:tcPr>
            <w:tcW w:w="1520" w:type="dxa"/>
            <w:vAlign w:val="bottom"/>
            <w:vMerge w:val="restart"/>
          </w:tcPr>
          <w:p>
            <w:pPr>
              <w:ind w:left="120"/>
              <w:spacing w:after="0"/>
              <w:rPr>
                <w:sz w:val="20"/>
                <w:szCs w:val="20"/>
                <w:color w:val="auto"/>
              </w:rPr>
            </w:pPr>
            <w:r>
              <w:rPr>
                <w:rFonts w:ascii="Arial" w:cs="Arial" w:eastAsia="Arial" w:hAnsi="Arial"/>
                <w:sz w:val="14"/>
                <w:szCs w:val="14"/>
                <w:color w:val="auto"/>
              </w:rPr>
              <w:t>Business Services</w:t>
            </w:r>
          </w:p>
        </w:tc>
        <w:tc>
          <w:tcPr>
            <w:tcW w:w="2840" w:type="dxa"/>
            <w:vAlign w:val="bottom"/>
            <w:vMerge w:val="restart"/>
          </w:tcPr>
          <w:p>
            <w:pPr>
              <w:ind w:left="2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line="20" w:lineRule="exact"/>
              <w:rPr>
                <w:sz w:val="1"/>
                <w:szCs w:val="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100,000</w:t>
            </w: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1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247,782</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First Lien Term Loan 9.75% Cash, 1/8/2019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2,279,278</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2,255,168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2,287,483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Avionte Holdings, LLC (j), (k)</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Delayed Draw Term Loan A 9.75%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1/8/2019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BoardEffect, Inc.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10.00%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6/17/2021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12,000,000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11,883,243</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11,880,000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BoardEffect, Inc. (j), (k)</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w w:val="97"/>
              </w:rPr>
              <w:t>Delayed Draw Term Loan B 10.00%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6/17/2021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88"/>
              <w:spacing w:after="0"/>
              <w:rPr>
                <w:sz w:val="20"/>
                <w:szCs w:val="20"/>
                <w:color w:val="auto"/>
              </w:rPr>
            </w:pPr>
            <w:r>
              <w:rPr>
                <w:rFonts w:ascii="Arial" w:cs="Arial" w:eastAsia="Arial" w:hAnsi="Arial"/>
                <w:sz w:val="14"/>
                <w:szCs w:val="14"/>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BMC Software, Inc.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5.00%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9/10/2020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5,641,667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5,607,859</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5,379,329</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Courion Corporation</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11.00%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6/1/2021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15,000,000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14,866,381</w:t>
            </w:r>
          </w:p>
        </w:tc>
        <w:tc>
          <w:tcPr>
            <w:tcW w:w="880" w:type="dxa"/>
            <w:vAlign w:val="bottom"/>
          </w:tcPr>
          <w:p>
            <w:pPr>
              <w:jc w:val="right"/>
              <w:spacing w:after="0"/>
              <w:rPr>
                <w:sz w:val="20"/>
                <w:szCs w:val="20"/>
                <w:color w:val="auto"/>
              </w:rPr>
            </w:pPr>
            <w:r>
              <w:rPr>
                <w:rFonts w:ascii="Arial" w:cs="Arial" w:eastAsia="Arial" w:hAnsi="Arial"/>
                <w:sz w:val="14"/>
                <w:szCs w:val="14"/>
                <w:color w:val="auto"/>
              </w:rPr>
              <w:t>14,529,000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Dispensing Dynamics International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Senior Secured Note 12.50%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1/1/2018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12,000,000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12,018,538</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11,530,800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Easy Ice, LLC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9.50%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1/15/2020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16,000,000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15,868,493</w:t>
            </w:r>
          </w:p>
        </w:tc>
        <w:tc>
          <w:tcPr>
            <w:tcW w:w="880" w:type="dxa"/>
            <w:vAlign w:val="bottom"/>
          </w:tcPr>
          <w:p>
            <w:pPr>
              <w:jc w:val="right"/>
              <w:spacing w:after="0"/>
              <w:rPr>
                <w:sz w:val="20"/>
                <w:szCs w:val="20"/>
                <w:color w:val="auto"/>
              </w:rPr>
            </w:pPr>
            <w:r>
              <w:rPr>
                <w:rFonts w:ascii="Arial" w:cs="Arial" w:eastAsia="Arial" w:hAnsi="Arial"/>
                <w:sz w:val="14"/>
                <w:szCs w:val="14"/>
                <w:color w:val="auto"/>
              </w:rPr>
              <w:t>16,057,493</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12.5%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Emily Street Enterprises,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Senior Secured Note 10.00%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1/23/2020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3,300,000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3,272,264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3,355,372</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Warrant Membership Interests</w:t>
            </w:r>
          </w:p>
        </w:tc>
        <w:tc>
          <w:tcPr>
            <w:tcW w:w="18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49,318</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459,791</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Help/Systems Holdings, Inc. (Help/Systems,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6.25%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10/8/2021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4,975,000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4,887,402</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4,919,031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7"/>
              </w:rPr>
              <w:t>Help/Systems Holdings, Inc. (Help/Systems,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10.50%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10/8/2022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2,917,626</w:t>
            </w:r>
          </w:p>
        </w:tc>
        <w:tc>
          <w:tcPr>
            <w:tcW w:w="880" w:type="dxa"/>
            <w:vAlign w:val="bottom"/>
          </w:tcPr>
          <w:p>
            <w:pPr>
              <w:jc w:val="right"/>
              <w:spacing w:after="0"/>
              <w:rPr>
                <w:sz w:val="20"/>
                <w:szCs w:val="20"/>
                <w:color w:val="auto"/>
              </w:rPr>
            </w:pPr>
            <w:r>
              <w:rPr>
                <w:rFonts w:ascii="Arial" w:cs="Arial" w:eastAsia="Arial" w:hAnsi="Arial"/>
                <w:sz w:val="14"/>
                <w:szCs w:val="14"/>
                <w:color w:val="auto"/>
              </w:rPr>
              <w:t>2,850,000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Convertible Promissory Note 13.50%</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(6.75% Cash/6.75% PIK), 8/18/2018</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611,517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611,517</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611,517</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Common Stock Class A Units</w:t>
            </w:r>
          </w:p>
        </w:tc>
        <w:tc>
          <w:tcPr>
            <w:tcW w:w="18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232,616</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495,686</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12.00% (10.25%</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Cash/1.75% PIK) 12/18/2020</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96"/>
              </w:rPr>
              <w:t>10,203,683</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10,121,194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10,171,110</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Knowland Technology Holdings,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9.75%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11/29/2017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17,777,730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17,637,107</w:t>
            </w:r>
          </w:p>
        </w:tc>
        <w:tc>
          <w:tcPr>
            <w:tcW w:w="880" w:type="dxa"/>
            <w:vAlign w:val="bottom"/>
          </w:tcPr>
          <w:p>
            <w:pPr>
              <w:jc w:val="right"/>
              <w:spacing w:after="0"/>
              <w:rPr>
                <w:sz w:val="20"/>
                <w:szCs w:val="20"/>
                <w:color w:val="auto"/>
              </w:rPr>
            </w:pPr>
            <w:r>
              <w:rPr>
                <w:rFonts w:ascii="Arial" w:cs="Arial" w:eastAsia="Arial" w:hAnsi="Arial"/>
                <w:sz w:val="14"/>
                <w:szCs w:val="14"/>
                <w:color w:val="auto"/>
              </w:rPr>
              <w:t>17,652,317</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Microsystems Company</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Second Lien Term Loan 11.00%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8,000,000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7,922,051</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7,920,000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PCF Number 4, Inc.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13.50% (12.50%</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Cash/1.00% PIK), 8/28/2021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13,044,083</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12,918,979</w:t>
            </w:r>
          </w:p>
        </w:tc>
        <w:tc>
          <w:tcPr>
            <w:tcW w:w="880" w:type="dxa"/>
            <w:vAlign w:val="bottom"/>
          </w:tcPr>
          <w:p>
            <w:pPr>
              <w:jc w:val="right"/>
              <w:spacing w:after="0"/>
              <w:rPr>
                <w:sz w:val="20"/>
                <w:szCs w:val="20"/>
                <w:color w:val="auto"/>
              </w:rPr>
            </w:pPr>
            <w:r>
              <w:rPr>
                <w:rFonts w:ascii="Arial" w:cs="Arial" w:eastAsia="Arial" w:hAnsi="Arial"/>
                <w:sz w:val="14"/>
                <w:szCs w:val="14"/>
                <w:color w:val="auto"/>
              </w:rPr>
              <w:t>13,044,083</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First Lien Term Loan, 14.00% (12.00%</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Cash/2.00% PIK), 3/6/2018</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8,967,996</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8,905,587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8,967,996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Business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Warrants to Purchase Limited Liability</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Company Interests</w:t>
            </w:r>
          </w:p>
        </w:tc>
        <w:tc>
          <w:tcPr>
            <w:tcW w:w="180" w:type="dxa"/>
            <w:vAlign w:val="bottom"/>
          </w:tcPr>
          <w:p>
            <w:pPr>
              <w:spacing w:after="0"/>
              <w:rPr>
                <w:sz w:val="14"/>
                <w:szCs w:val="14"/>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343</w:t>
            </w:r>
          </w:p>
        </w:tc>
        <w:tc>
          <w:tcPr>
            <w:tcW w:w="8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350,212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Business Services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132,426,025</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132,709,002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Targus Holdings, Inc. (d), (g)</w:t>
            </w:r>
          </w:p>
        </w:tc>
        <w:tc>
          <w:tcPr>
            <w:tcW w:w="1520" w:type="dxa"/>
            <w:vAlign w:val="bottom"/>
            <w:vMerge w:val="restart"/>
          </w:tcPr>
          <w:p>
            <w:pPr>
              <w:ind w:left="120"/>
              <w:spacing w:after="0"/>
              <w:rPr>
                <w:sz w:val="20"/>
                <w:szCs w:val="20"/>
                <w:color w:val="auto"/>
              </w:rPr>
            </w:pPr>
            <w:r>
              <w:rPr>
                <w:rFonts w:ascii="Arial" w:cs="Arial" w:eastAsia="Arial" w:hAnsi="Arial"/>
                <w:sz w:val="14"/>
                <w:szCs w:val="14"/>
                <w:color w:val="auto"/>
              </w:rPr>
              <w:t>Consumer Products</w:t>
            </w:r>
          </w:p>
        </w:tc>
        <w:tc>
          <w:tcPr>
            <w:tcW w:w="2840" w:type="dxa"/>
            <w:vAlign w:val="bottom"/>
            <w:vMerge w:val="restart"/>
          </w:tcPr>
          <w:p>
            <w:pPr>
              <w:ind w:left="240"/>
              <w:spacing w:after="0"/>
              <w:rPr>
                <w:sz w:val="20"/>
                <w:szCs w:val="20"/>
                <w:color w:val="auto"/>
              </w:rPr>
            </w:pPr>
            <w:r>
              <w:rPr>
                <w:rFonts w:ascii="Arial" w:cs="Arial" w:eastAsia="Arial" w:hAnsi="Arial"/>
                <w:sz w:val="14"/>
                <w:szCs w:val="14"/>
                <w:color w:val="auto"/>
              </w:rPr>
              <w:t>Common Stock</w:t>
            </w:r>
          </w:p>
        </w:tc>
        <w:tc>
          <w:tcPr>
            <w:tcW w:w="180" w:type="dxa"/>
            <w:vAlign w:val="bottom"/>
          </w:tcPr>
          <w:p>
            <w:pPr>
              <w:spacing w:after="0" w:line="20" w:lineRule="exact"/>
              <w:rPr>
                <w:sz w:val="1"/>
                <w:szCs w:val="1"/>
                <w:color w:val="auto"/>
              </w:rPr>
            </w:pPr>
          </w:p>
        </w:tc>
        <w:tc>
          <w:tcPr>
            <w:tcW w:w="880" w:type="dxa"/>
            <w:vAlign w:val="bottom"/>
            <w:vMerge w:val="restart"/>
          </w:tcPr>
          <w:p>
            <w:pPr>
              <w:jc w:val="right"/>
              <w:ind w:right="108"/>
              <w:spacing w:after="0"/>
              <w:rPr>
                <w:sz w:val="20"/>
                <w:szCs w:val="20"/>
                <w:color w:val="auto"/>
              </w:rPr>
            </w:pPr>
            <w:r>
              <w:rPr>
                <w:rFonts w:ascii="Arial" w:cs="Arial" w:eastAsia="Arial" w:hAnsi="Arial"/>
                <w:sz w:val="14"/>
                <w:szCs w:val="14"/>
                <w:color w:val="auto"/>
              </w:rPr>
              <w:t>210,456</w:t>
            </w: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2"/>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2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1,791,242</w:t>
            </w:r>
          </w:p>
        </w:tc>
        <w:tc>
          <w:tcPr>
            <w:tcW w:w="1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1,847</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 Products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Second Lien Term Loan A-2 15.00% PIK,</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12/31/2019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220,644</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220,644</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220,644</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Targus Holdings, Inc.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Consumer Products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B 15.00% PIK,</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12/31/2019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661,932</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661,932</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661,932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Consumer Products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2,673,818</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884,423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7"/>
        </w:trPr>
        <w:tc>
          <w:tcPr>
            <w:tcW w:w="3040" w:type="dxa"/>
            <w:vAlign w:val="bottom"/>
            <w:gridSpan w:val="2"/>
          </w:tcPr>
          <w:p>
            <w:pPr>
              <w:spacing w:after="0" w:line="137" w:lineRule="exact"/>
              <w:rPr>
                <w:sz w:val="20"/>
                <w:szCs w:val="20"/>
                <w:color w:val="auto"/>
              </w:rPr>
            </w:pPr>
            <w:r>
              <w:rPr>
                <w:rFonts w:ascii="Arial" w:cs="Arial" w:eastAsia="Arial" w:hAnsi="Arial"/>
                <w:sz w:val="14"/>
                <w:szCs w:val="14"/>
                <w:color w:val="auto"/>
              </w:rPr>
              <w:t>My Alarm Center, LLC</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Consumer Services</w:t>
            </w:r>
          </w:p>
        </w:tc>
        <w:tc>
          <w:tcPr>
            <w:tcW w:w="2840" w:type="dxa"/>
            <w:vAlign w:val="bottom"/>
          </w:tcPr>
          <w:p>
            <w:pPr>
              <w:ind w:left="240"/>
              <w:spacing w:after="0" w:line="137" w:lineRule="exact"/>
              <w:rPr>
                <w:sz w:val="20"/>
                <w:szCs w:val="20"/>
                <w:color w:val="auto"/>
              </w:rPr>
            </w:pPr>
            <w:r>
              <w:rPr>
                <w:rFonts w:ascii="Arial" w:cs="Arial" w:eastAsia="Arial" w:hAnsi="Arial"/>
                <w:sz w:val="14"/>
                <w:szCs w:val="14"/>
                <w:color w:val="auto"/>
              </w:rPr>
              <w:t>Second Lien Term Loan 12.00%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7/9/2019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9,375,000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9,356,295</w:t>
            </w:r>
          </w:p>
        </w:tc>
        <w:tc>
          <w:tcPr>
            <w:tcW w:w="880" w:type="dxa"/>
            <w:vAlign w:val="bottom"/>
          </w:tcPr>
          <w:p>
            <w:pPr>
              <w:jc w:val="right"/>
              <w:spacing w:after="0"/>
              <w:rPr>
                <w:sz w:val="20"/>
                <w:szCs w:val="20"/>
                <w:color w:val="auto"/>
              </w:rPr>
            </w:pPr>
            <w:r>
              <w:rPr>
                <w:rFonts w:ascii="Arial" w:cs="Arial" w:eastAsia="Arial" w:hAnsi="Arial"/>
                <w:sz w:val="14"/>
                <w:szCs w:val="14"/>
                <w:color w:val="auto"/>
              </w:rPr>
              <w:t>9,299,063</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 (d)</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Consumer Services</w:t>
            </w:r>
          </w:p>
        </w:tc>
        <w:tc>
          <w:tcPr>
            <w:tcW w:w="2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4"/>
              </w:rPr>
              <w:t>First Lien Term Loan 6.50% Cash, 7/1/2019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1,489,199</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1,481,070</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1,482,051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10.25%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7/1/2020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10,000,000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9,966,163</w:t>
            </w:r>
          </w:p>
        </w:tc>
        <w:tc>
          <w:tcPr>
            <w:tcW w:w="880" w:type="dxa"/>
            <w:vAlign w:val="bottom"/>
          </w:tcPr>
          <w:p>
            <w:pPr>
              <w:jc w:val="right"/>
              <w:spacing w:after="0"/>
              <w:rPr>
                <w:sz w:val="20"/>
                <w:szCs w:val="20"/>
                <w:color w:val="auto"/>
              </w:rPr>
            </w:pPr>
            <w:r>
              <w:rPr>
                <w:rFonts w:ascii="Arial" w:cs="Arial" w:eastAsia="Arial" w:hAnsi="Arial"/>
                <w:sz w:val="14"/>
                <w:szCs w:val="14"/>
                <w:color w:val="auto"/>
              </w:rPr>
              <w:t>9,846,000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Consumer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Second Lien Term Loan 9.75%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7/1/2022</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6,230,769</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6,138,694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6,268,416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840" w:type="dxa"/>
            <w:vAlign w:val="bottom"/>
            <w:vMerge w:val="restart"/>
          </w:tcPr>
          <w:p>
            <w:pPr>
              <w:jc w:val="right"/>
              <w:spacing w:after="0"/>
              <w:rPr>
                <w:sz w:val="20"/>
                <w:szCs w:val="20"/>
                <w:color w:val="auto"/>
              </w:rPr>
            </w:pPr>
            <w:r>
              <w:rPr>
                <w:rFonts w:ascii="Arial" w:cs="Arial" w:eastAsia="Arial" w:hAnsi="Arial"/>
                <w:sz w:val="14"/>
                <w:szCs w:val="14"/>
                <w:color w:val="auto"/>
              </w:rPr>
              <w:t>Total Consumer Services</w:t>
            </w: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84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26,942,222</w:t>
            </w:r>
          </w:p>
        </w:tc>
        <w:tc>
          <w:tcPr>
            <w:tcW w:w="180" w:type="dxa"/>
            <w:vAlign w:val="bottom"/>
            <w:vMerge w:val="continue"/>
          </w:tcPr>
          <w:p>
            <w:pPr>
              <w:spacing w:after="0"/>
              <w:rPr>
                <w:sz w:val="13"/>
                <w:szCs w:val="13"/>
                <w:color w:val="auto"/>
              </w:rPr>
            </w:pPr>
          </w:p>
        </w:tc>
        <w:tc>
          <w:tcPr>
            <w:tcW w:w="880" w:type="dxa"/>
            <w:vAlign w:val="bottom"/>
          </w:tcPr>
          <w:p>
            <w:pPr>
              <w:jc w:val="right"/>
              <w:spacing w:after="0" w:line="155" w:lineRule="exact"/>
              <w:rPr>
                <w:sz w:val="20"/>
                <w:szCs w:val="20"/>
                <w:color w:val="auto"/>
              </w:rPr>
            </w:pPr>
            <w:r>
              <w:rPr>
                <w:rFonts w:ascii="Arial" w:cs="Arial" w:eastAsia="Arial" w:hAnsi="Arial"/>
                <w:sz w:val="14"/>
                <w:szCs w:val="14"/>
                <w:color w:val="auto"/>
              </w:rPr>
              <w:t>26,895,530</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20.9%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 (g)</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Education</w:t>
            </w:r>
          </w:p>
        </w:tc>
        <w:tc>
          <w:tcPr>
            <w:tcW w:w="2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Class A Common Stock</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544,761</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30,241</w:t>
            </w:r>
          </w:p>
        </w:tc>
        <w:tc>
          <w:tcPr>
            <w:tcW w:w="10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M/C Acquisition Corp., L.L.C.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Education</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1.00%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3/31/2016</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2,321,073</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1,193,791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8,087</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Texas Teachers of Tomorrow, LLC (g), (h)</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Education</w:t>
            </w:r>
          </w:p>
        </w:tc>
        <w:tc>
          <w:tcPr>
            <w:tcW w:w="2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750,000</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750,000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933,960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Education</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Second Lien Term Loan 10.75%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6/2/2021</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10,000,000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9,910,300</w:t>
            </w:r>
          </w:p>
        </w:tc>
        <w:tc>
          <w:tcPr>
            <w:tcW w:w="880" w:type="dxa"/>
            <w:vAlign w:val="bottom"/>
          </w:tcPr>
          <w:p>
            <w:pPr>
              <w:jc w:val="right"/>
              <w:spacing w:after="0"/>
              <w:rPr>
                <w:sz w:val="20"/>
                <w:szCs w:val="20"/>
                <w:color w:val="auto"/>
              </w:rPr>
            </w:pPr>
            <w:r>
              <w:rPr>
                <w:rFonts w:ascii="Arial" w:cs="Arial" w:eastAsia="Arial" w:hAnsi="Arial"/>
                <w:sz w:val="14"/>
                <w:szCs w:val="14"/>
                <w:color w:val="auto"/>
              </w:rPr>
              <w:t>10,000,000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Education</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11,884,332</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10,942,047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37"/>
        </w:trPr>
        <w:tc>
          <w:tcPr>
            <w:tcW w:w="3040" w:type="dxa"/>
            <w:vAlign w:val="bottom"/>
            <w:gridSpan w:val="2"/>
          </w:tcPr>
          <w:p>
            <w:pPr>
              <w:spacing w:after="0" w:line="137" w:lineRule="exact"/>
              <w:rPr>
                <w:sz w:val="20"/>
                <w:szCs w:val="20"/>
                <w:color w:val="auto"/>
              </w:rPr>
            </w:pPr>
            <w:r>
              <w:rPr>
                <w:rFonts w:ascii="Arial" w:cs="Arial" w:eastAsia="Arial" w:hAnsi="Arial"/>
                <w:sz w:val="14"/>
                <w:szCs w:val="14"/>
                <w:color w:val="auto"/>
              </w:rPr>
              <w:t>TM Restaurant Group L.L.C.</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Food and Beverage</w:t>
            </w:r>
          </w:p>
        </w:tc>
        <w:tc>
          <w:tcPr>
            <w:tcW w:w="2840" w:type="dxa"/>
            <w:vAlign w:val="bottom"/>
          </w:tcPr>
          <w:p>
            <w:pPr>
              <w:ind w:left="240"/>
              <w:spacing w:after="0" w:line="137" w:lineRule="exact"/>
              <w:rPr>
                <w:sz w:val="20"/>
                <w:szCs w:val="20"/>
                <w:color w:val="auto"/>
              </w:rPr>
            </w:pPr>
            <w:r>
              <w:rPr>
                <w:rFonts w:ascii="Arial" w:cs="Arial" w:eastAsia="Arial" w:hAnsi="Arial"/>
                <w:sz w:val="14"/>
                <w:szCs w:val="14"/>
                <w:color w:val="auto"/>
              </w:rPr>
              <w:t>First Lien Term Loan 9.75%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7/16/2017</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9,490,507</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9,428,277</w:t>
            </w:r>
          </w:p>
        </w:tc>
        <w:tc>
          <w:tcPr>
            <w:tcW w:w="880" w:type="dxa"/>
            <w:vAlign w:val="bottom"/>
          </w:tcPr>
          <w:p>
            <w:pPr>
              <w:jc w:val="right"/>
              <w:spacing w:after="0"/>
              <w:rPr>
                <w:sz w:val="20"/>
                <w:szCs w:val="20"/>
                <w:color w:val="auto"/>
              </w:rPr>
            </w:pPr>
            <w:r>
              <w:rPr>
                <w:rFonts w:ascii="Arial" w:cs="Arial" w:eastAsia="Arial" w:hAnsi="Arial"/>
                <w:sz w:val="14"/>
                <w:szCs w:val="14"/>
                <w:color w:val="auto"/>
              </w:rPr>
              <w:t>9,276,541</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Food and Beverage</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9,428,277</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9,276,541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7"/>
        </w:trPr>
        <w:tc>
          <w:tcPr>
            <w:tcW w:w="3040" w:type="dxa"/>
            <w:vAlign w:val="bottom"/>
            <w:gridSpan w:val="2"/>
          </w:tcPr>
          <w:p>
            <w:pPr>
              <w:spacing w:after="0" w:line="137" w:lineRule="exact"/>
              <w:rPr>
                <w:sz w:val="20"/>
                <w:szCs w:val="20"/>
                <w:color w:val="auto"/>
              </w:rPr>
            </w:pPr>
            <w:r>
              <w:rPr>
                <w:rFonts w:ascii="Arial" w:cs="Arial" w:eastAsia="Arial" w:hAnsi="Arial"/>
                <w:sz w:val="14"/>
                <w:szCs w:val="14"/>
                <w:color w:val="auto"/>
              </w:rPr>
              <w:t>Censis Technologies, Inc.</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240"/>
              <w:spacing w:after="0" w:line="137" w:lineRule="exact"/>
              <w:rPr>
                <w:sz w:val="20"/>
                <w:szCs w:val="20"/>
                <w:color w:val="auto"/>
              </w:rPr>
            </w:pPr>
            <w:r>
              <w:rPr>
                <w:rFonts w:ascii="Arial" w:cs="Arial" w:eastAsia="Arial" w:hAnsi="Arial"/>
                <w:sz w:val="14"/>
                <w:szCs w:val="14"/>
                <w:color w:val="auto"/>
              </w:rPr>
              <w:t>First Lien Term Loan B 11.00%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7/24/2019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w w:val="96"/>
              </w:rPr>
              <w:t>11,400,000</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11,251,423</w:t>
            </w:r>
          </w:p>
        </w:tc>
        <w:tc>
          <w:tcPr>
            <w:tcW w:w="880" w:type="dxa"/>
            <w:vAlign w:val="bottom"/>
          </w:tcPr>
          <w:p>
            <w:pPr>
              <w:jc w:val="right"/>
              <w:spacing w:after="0"/>
              <w:rPr>
                <w:sz w:val="20"/>
                <w:szCs w:val="20"/>
                <w:color w:val="auto"/>
              </w:rPr>
            </w:pPr>
            <w:r>
              <w:rPr>
                <w:rFonts w:ascii="Arial" w:cs="Arial" w:eastAsia="Arial" w:hAnsi="Arial"/>
                <w:sz w:val="14"/>
                <w:szCs w:val="14"/>
                <w:color w:val="auto"/>
              </w:rPr>
              <w:t>10,962,652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Limited Partner Interests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999</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704,187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Roscoe Medical, Inc. (d), (g)</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5,081</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508,077</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598,710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Second Lien Term Loan 11.25% Cash,</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9/26/2019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4,200,000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4,148,231</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4,113,761</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Ohio Medical, LLC (g)</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Common Stock</w:t>
            </w:r>
          </w:p>
        </w:tc>
        <w:tc>
          <w:tcPr>
            <w:tcW w:w="18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5,000</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459,409</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Ohio Medical,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Senior Subordinated Note 12.00%,</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7/15/2021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7,300,000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7,233,876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7,273,756</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5.7%</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rPr>
              <w:t>Zest Holdings, LLC (d)</w:t>
            </w:r>
          </w:p>
        </w:tc>
        <w:tc>
          <w:tcPr>
            <w:tcW w:w="1520" w:type="dxa"/>
            <w:vAlign w:val="bottom"/>
          </w:tcPr>
          <w:p>
            <w:pPr>
              <w:ind w:left="120"/>
              <w:spacing w:after="0" w:line="130" w:lineRule="exact"/>
              <w:rPr>
                <w:sz w:val="20"/>
                <w:szCs w:val="20"/>
                <w:color w:val="auto"/>
              </w:rPr>
            </w:pPr>
            <w:r>
              <w:rPr>
                <w:rFonts w:ascii="Arial" w:cs="Arial" w:eastAsia="Arial" w:hAnsi="Arial"/>
                <w:sz w:val="14"/>
                <w:szCs w:val="14"/>
                <w:color w:val="auto"/>
              </w:rPr>
              <w:t>Healthcare Services</w:t>
            </w:r>
          </w:p>
        </w:tc>
        <w:tc>
          <w:tcPr>
            <w:tcW w:w="2840" w:type="dxa"/>
            <w:vAlign w:val="bottom"/>
          </w:tcPr>
          <w:p>
            <w:pPr>
              <w:ind w:left="240"/>
              <w:spacing w:after="0" w:line="130" w:lineRule="exact"/>
              <w:rPr>
                <w:sz w:val="20"/>
                <w:szCs w:val="20"/>
                <w:color w:val="auto"/>
              </w:rPr>
            </w:pPr>
            <w:r>
              <w:rPr>
                <w:rFonts w:ascii="Arial" w:cs="Arial" w:eastAsia="Arial" w:hAnsi="Arial"/>
                <w:sz w:val="14"/>
                <w:szCs w:val="14"/>
                <w:color w:val="auto"/>
              </w:rPr>
              <w:t>First Lien Term Loan 5.25%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8/16/2020</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4,136,911</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4,078,941</w:t>
            </w: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4,136,911</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2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Healthcare Services</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28,719,548</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28,249,386</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137"/>
        </w:trPr>
        <w:tc>
          <w:tcPr>
            <w:tcW w:w="3040" w:type="dxa"/>
            <w:vAlign w:val="bottom"/>
            <w:gridSpan w:val="2"/>
          </w:tcPr>
          <w:p>
            <w:pPr>
              <w:spacing w:after="0" w:line="137" w:lineRule="exact"/>
              <w:rPr>
                <w:sz w:val="20"/>
                <w:szCs w:val="20"/>
                <w:color w:val="auto"/>
              </w:rPr>
            </w:pPr>
            <w:r>
              <w:rPr>
                <w:rFonts w:ascii="Arial" w:cs="Arial" w:eastAsia="Arial" w:hAnsi="Arial"/>
                <w:sz w:val="14"/>
                <w:szCs w:val="14"/>
                <w:color w:val="auto"/>
              </w:rPr>
              <w:t>HMN Holdco, LLC</w:t>
            </w:r>
          </w:p>
        </w:tc>
        <w:tc>
          <w:tcPr>
            <w:tcW w:w="1520" w:type="dxa"/>
            <w:vAlign w:val="bottom"/>
          </w:tcPr>
          <w:p>
            <w:pPr>
              <w:ind w:left="120"/>
              <w:spacing w:after="0" w:line="137" w:lineRule="exact"/>
              <w:rPr>
                <w:sz w:val="20"/>
                <w:szCs w:val="20"/>
                <w:color w:val="auto"/>
              </w:rPr>
            </w:pPr>
            <w:r>
              <w:rPr>
                <w:rFonts w:ascii="Arial" w:cs="Arial" w:eastAsia="Arial" w:hAnsi="Arial"/>
                <w:sz w:val="14"/>
                <w:szCs w:val="14"/>
                <w:color w:val="auto"/>
              </w:rPr>
              <w:t>Media</w:t>
            </w:r>
          </w:p>
        </w:tc>
        <w:tc>
          <w:tcPr>
            <w:tcW w:w="2840" w:type="dxa"/>
            <w:vAlign w:val="bottom"/>
          </w:tcPr>
          <w:p>
            <w:pPr>
              <w:ind w:left="240"/>
              <w:spacing w:after="0" w:line="137" w:lineRule="exact"/>
              <w:rPr>
                <w:sz w:val="20"/>
                <w:szCs w:val="20"/>
                <w:color w:val="auto"/>
              </w:rPr>
            </w:pPr>
            <w:r>
              <w:rPr>
                <w:rFonts w:ascii="Arial" w:cs="Arial" w:eastAsia="Arial" w:hAnsi="Arial"/>
                <w:sz w:val="14"/>
                <w:szCs w:val="14"/>
                <w:color w:val="auto"/>
              </w:rPr>
              <w:t>First Lien Term Loan 10.00% Cash,</w:t>
            </w: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840" w:type="dxa"/>
            <w:vAlign w:val="bottom"/>
          </w:tcPr>
          <w:p>
            <w:pPr>
              <w:ind w:left="240"/>
              <w:spacing w:after="0"/>
              <w:rPr>
                <w:sz w:val="20"/>
                <w:szCs w:val="20"/>
                <w:color w:val="auto"/>
              </w:rPr>
            </w:pPr>
            <w:r>
              <w:rPr>
                <w:rFonts w:ascii="Arial" w:cs="Arial" w:eastAsia="Arial" w:hAnsi="Arial"/>
                <w:sz w:val="14"/>
                <w:szCs w:val="14"/>
                <w:color w:val="auto"/>
              </w:rPr>
              <w:t>5/16/2019</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8,700,232</w:t>
            </w: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8,594,607</w:t>
            </w:r>
          </w:p>
        </w:tc>
        <w:tc>
          <w:tcPr>
            <w:tcW w:w="880" w:type="dxa"/>
            <w:vAlign w:val="bottom"/>
          </w:tcPr>
          <w:p>
            <w:pPr>
              <w:jc w:val="right"/>
              <w:spacing w:after="0"/>
              <w:rPr>
                <w:sz w:val="20"/>
                <w:szCs w:val="20"/>
                <w:color w:val="auto"/>
              </w:rPr>
            </w:pPr>
            <w:r>
              <w:rPr>
                <w:rFonts w:ascii="Arial" w:cs="Arial" w:eastAsia="Arial" w:hAnsi="Arial"/>
                <w:sz w:val="14"/>
                <w:szCs w:val="14"/>
                <w:color w:val="auto"/>
              </w:rPr>
              <w:t>8,700,232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5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Media</w:t>
            </w:r>
          </w:p>
        </w:tc>
        <w:tc>
          <w:tcPr>
            <w:tcW w:w="2840" w:type="dxa"/>
            <w:vAlign w:val="bottom"/>
            <w:shd w:val="clear" w:color="auto" w:fill="CCEEFF"/>
          </w:tcPr>
          <w:p>
            <w:pPr>
              <w:ind w:left="240"/>
              <w:spacing w:after="0" w:line="130" w:lineRule="exact"/>
              <w:rPr>
                <w:sz w:val="20"/>
                <w:szCs w:val="20"/>
                <w:color w:val="auto"/>
              </w:rPr>
            </w:pPr>
            <w:r>
              <w:rPr>
                <w:rFonts w:ascii="Arial" w:cs="Arial" w:eastAsia="Arial" w:hAnsi="Arial"/>
                <w:sz w:val="14"/>
                <w:szCs w:val="14"/>
                <w:color w:val="auto"/>
              </w:rPr>
              <w:t>Delayed Draw First Lien Term Loan</w:t>
            </w: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520" w:type="dxa"/>
            <w:vAlign w:val="bottom"/>
            <w:shd w:val="clear" w:color="auto" w:fill="CCEEFF"/>
          </w:tcPr>
          <w:p>
            <w:pPr>
              <w:spacing w:after="0"/>
              <w:rPr>
                <w:sz w:val="14"/>
                <w:szCs w:val="14"/>
                <w:color w:val="auto"/>
              </w:rPr>
            </w:pPr>
          </w:p>
        </w:tc>
        <w:tc>
          <w:tcPr>
            <w:tcW w:w="28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10.00% Cash, 5/16/2019</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4,800,000</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4,744,654</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HMN Holdco, LLC</w:t>
            </w:r>
          </w:p>
        </w:tc>
        <w:tc>
          <w:tcPr>
            <w:tcW w:w="1520" w:type="dxa"/>
            <w:vAlign w:val="bottom"/>
          </w:tcPr>
          <w:p>
            <w:pPr>
              <w:ind w:left="120"/>
              <w:spacing w:after="0" w:line="149" w:lineRule="exact"/>
              <w:rPr>
                <w:sz w:val="20"/>
                <w:szCs w:val="20"/>
                <w:color w:val="auto"/>
              </w:rPr>
            </w:pPr>
            <w:r>
              <w:rPr>
                <w:rFonts w:ascii="Arial" w:cs="Arial" w:eastAsia="Arial" w:hAnsi="Arial"/>
                <w:sz w:val="14"/>
                <w:szCs w:val="14"/>
                <w:color w:val="auto"/>
              </w:rPr>
              <w:t>Media</w:t>
            </w:r>
          </w:p>
        </w:tc>
        <w:tc>
          <w:tcPr>
            <w:tcW w:w="2840" w:type="dxa"/>
            <w:vAlign w:val="bottom"/>
          </w:tcPr>
          <w:p>
            <w:pPr>
              <w:ind w:left="240"/>
              <w:spacing w:after="0" w:line="149" w:lineRule="exact"/>
              <w:rPr>
                <w:sz w:val="20"/>
                <w:szCs w:val="20"/>
                <w:color w:val="auto"/>
              </w:rPr>
            </w:pPr>
            <w:r>
              <w:rPr>
                <w:rFonts w:ascii="Arial" w:cs="Arial" w:eastAsia="Arial" w:hAnsi="Arial"/>
                <w:sz w:val="14"/>
                <w:szCs w:val="14"/>
                <w:color w:val="auto"/>
              </w:rPr>
              <w:t>Class A Series</w:t>
            </w:r>
          </w:p>
        </w:tc>
        <w:tc>
          <w:tcPr>
            <w:tcW w:w="180" w:type="dxa"/>
            <w:vAlign w:val="bottom"/>
          </w:tcPr>
          <w:p>
            <w:pPr>
              <w:spacing w:after="0"/>
              <w:rPr>
                <w:sz w:val="12"/>
                <w:szCs w:val="12"/>
                <w:color w:val="auto"/>
              </w:rPr>
            </w:pPr>
          </w:p>
        </w:tc>
        <w:tc>
          <w:tcPr>
            <w:tcW w:w="880" w:type="dxa"/>
            <w:vAlign w:val="bottom"/>
          </w:tcPr>
          <w:p>
            <w:pPr>
              <w:jc w:val="right"/>
              <w:ind w:right="108"/>
              <w:spacing w:after="0" w:line="149" w:lineRule="exact"/>
              <w:rPr>
                <w:sz w:val="20"/>
                <w:szCs w:val="20"/>
                <w:color w:val="auto"/>
              </w:rPr>
            </w:pPr>
            <w:r>
              <w:rPr>
                <w:rFonts w:ascii="Arial" w:cs="Arial" w:eastAsia="Arial" w:hAnsi="Arial"/>
                <w:sz w:val="14"/>
                <w:szCs w:val="14"/>
                <w:color w:val="auto"/>
              </w:rPr>
              <w:t>4,264</w:t>
            </w:r>
          </w:p>
        </w:tc>
        <w:tc>
          <w:tcPr>
            <w:tcW w:w="10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283,044</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5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Media</w:t>
            </w:r>
          </w:p>
        </w:tc>
        <w:tc>
          <w:tcPr>
            <w:tcW w:w="284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Class A Warrant</w:t>
            </w: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30,320</w:t>
            </w:r>
          </w:p>
        </w:tc>
        <w:tc>
          <w:tcPr>
            <w:tcW w:w="10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1,623,030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020" w:type="dxa"/>
            <w:vAlign w:val="bottom"/>
          </w:tcPr>
          <w:p>
            <w:pPr>
              <w:spacing w:after="0"/>
              <w:rPr>
                <w:sz w:val="20"/>
                <w:szCs w:val="20"/>
                <w:color w:val="auto"/>
              </w:rPr>
            </w:pPr>
            <w:r>
              <w:rPr>
                <w:rFonts w:ascii="Arial" w:cs="Arial" w:eastAsia="Arial" w:hAnsi="Arial"/>
                <w:sz w:val="14"/>
                <w:szCs w:val="14"/>
                <w:color w:val="auto"/>
              </w:rPr>
              <w:t>HMN Holdco, LLC (g)</w:t>
            </w:r>
          </w:p>
        </w:tc>
        <w:tc>
          <w:tcPr>
            <w:tcW w:w="1520" w:type="dxa"/>
            <w:vAlign w:val="bottom"/>
          </w:tcPr>
          <w:p>
            <w:pPr>
              <w:ind w:left="120"/>
              <w:spacing w:after="0"/>
              <w:rPr>
                <w:sz w:val="20"/>
                <w:szCs w:val="20"/>
                <w:color w:val="auto"/>
              </w:rPr>
            </w:pPr>
            <w:r>
              <w:rPr>
                <w:rFonts w:ascii="Arial" w:cs="Arial" w:eastAsia="Arial" w:hAnsi="Arial"/>
                <w:sz w:val="14"/>
                <w:szCs w:val="14"/>
                <w:color w:val="auto"/>
              </w:rPr>
              <w:t>Media</w:t>
            </w:r>
          </w:p>
        </w:tc>
        <w:tc>
          <w:tcPr>
            <w:tcW w:w="2840" w:type="dxa"/>
            <w:vAlign w:val="bottom"/>
          </w:tcPr>
          <w:p>
            <w:pPr>
              <w:ind w:left="240"/>
              <w:spacing w:after="0"/>
              <w:rPr>
                <w:sz w:val="20"/>
                <w:szCs w:val="20"/>
                <w:color w:val="auto"/>
              </w:rPr>
            </w:pPr>
            <w:r>
              <w:rPr>
                <w:rFonts w:ascii="Arial" w:cs="Arial" w:eastAsia="Arial" w:hAnsi="Arial"/>
                <w:sz w:val="14"/>
                <w:szCs w:val="14"/>
                <w:color w:val="auto"/>
              </w:rPr>
              <w:t>Warrants to Purchase Limited Liability</w:t>
            </w:r>
          </w:p>
        </w:tc>
        <w:tc>
          <w:tcPr>
            <w:tcW w:w="180" w:type="dxa"/>
            <w:vAlign w:val="bottom"/>
          </w:tcPr>
          <w:p>
            <w:pPr>
              <w:spacing w:after="0"/>
              <w:rPr>
                <w:sz w:val="15"/>
                <w:szCs w:val="15"/>
                <w:color w:val="auto"/>
              </w:rPr>
            </w:pPr>
          </w:p>
        </w:tc>
        <w:tc>
          <w:tcPr>
            <w:tcW w:w="880" w:type="dxa"/>
            <w:vAlign w:val="bottom"/>
          </w:tcPr>
          <w:p>
            <w:pPr>
              <w:jc w:val="right"/>
              <w:ind w:right="108"/>
              <w:spacing w:after="0"/>
              <w:rPr>
                <w:sz w:val="20"/>
                <w:szCs w:val="20"/>
                <w:color w:val="auto"/>
              </w:rPr>
            </w:pPr>
            <w:r>
              <w:rPr>
                <w:rFonts w:ascii="Arial" w:cs="Arial" w:eastAsia="Arial" w:hAnsi="Arial"/>
                <w:sz w:val="14"/>
                <w:szCs w:val="14"/>
                <w:color w:val="auto"/>
              </w:rPr>
              <w:t>57,872</w:t>
            </w:r>
          </w:p>
        </w:tc>
        <w:tc>
          <w:tcPr>
            <w:tcW w:w="106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2,802,162</w:t>
            </w:r>
          </w:p>
        </w:tc>
        <w:tc>
          <w:tcPr>
            <w:tcW w:w="200" w:type="dxa"/>
            <w:vAlign w:val="bottom"/>
          </w:tcPr>
          <w:p>
            <w:pPr>
              <w:spacing w:after="0"/>
              <w:rPr>
                <w:sz w:val="15"/>
                <w:szCs w:val="15"/>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bl>
    <w:p>
      <w:pPr>
        <w:sectPr>
          <w:pgSz w:w="11900" w:h="16864" w:orient="portrait"/>
          <w:cols w:equalWidth="0" w:num="1">
            <w:col w:w="11420"/>
          </w:cols>
          <w:pgMar w:left="240" w:top="459" w:right="239" w:bottom="0" w:gutter="0" w:footer="0" w:header="0"/>
          <w:type w:val="continuous"/>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tcPr>
          <w:p>
            <w:pPr>
              <w:ind w:left="280"/>
              <w:spacing w:after="0"/>
              <w:rPr>
                <w:sz w:val="20"/>
                <w:szCs w:val="20"/>
                <w:color w:val="auto"/>
              </w:rPr>
            </w:pPr>
            <w:r>
              <w:rPr>
                <w:rFonts w:ascii="Arial" w:cs="Arial" w:eastAsia="Arial" w:hAnsi="Arial"/>
                <w:sz w:val="14"/>
                <w:szCs w:val="14"/>
                <w:color w:val="auto"/>
              </w:rPr>
              <w:t>Company Interests (Common)</w:t>
            </w: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Media</w:t>
            </w:r>
          </w:p>
        </w:tc>
        <w:tc>
          <w:tcPr>
            <w:tcW w:w="29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Warrants to Purchase Limited Liability</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2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Company Interests (Preferred)</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8,139</w:t>
            </w: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451,308</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Media</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13,839,261</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18,659,776</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 (d)</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Metals</w:t>
            </w:r>
          </w:p>
        </w:tc>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35,000</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9,217,564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314,300</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Elyria Foundry Company, L.L.C. (d)</w:t>
            </w:r>
          </w:p>
        </w:tc>
        <w:tc>
          <w:tcPr>
            <w:tcW w:w="1420" w:type="dxa"/>
            <w:vAlign w:val="bottom"/>
          </w:tcPr>
          <w:p>
            <w:pPr>
              <w:ind w:left="60"/>
              <w:spacing w:after="0" w:line="149" w:lineRule="exact"/>
              <w:rPr>
                <w:sz w:val="20"/>
                <w:szCs w:val="20"/>
                <w:color w:val="auto"/>
              </w:rPr>
            </w:pPr>
            <w:r>
              <w:rPr>
                <w:rFonts w:ascii="Arial" w:cs="Arial" w:eastAsia="Arial" w:hAnsi="Arial"/>
                <w:sz w:val="14"/>
                <w:szCs w:val="14"/>
                <w:color w:val="auto"/>
              </w:rPr>
              <w:t>Metals</w:t>
            </w:r>
          </w:p>
        </w:tc>
        <w:tc>
          <w:tcPr>
            <w:tcW w:w="2940" w:type="dxa"/>
            <w:vAlign w:val="bottom"/>
          </w:tcPr>
          <w:p>
            <w:pPr>
              <w:ind w:left="280"/>
              <w:spacing w:after="0" w:line="149" w:lineRule="exact"/>
              <w:rPr>
                <w:sz w:val="20"/>
                <w:szCs w:val="20"/>
                <w:color w:val="auto"/>
              </w:rPr>
            </w:pPr>
            <w:r>
              <w:rPr>
                <w:rFonts w:ascii="Arial" w:cs="Arial" w:eastAsia="Arial" w:hAnsi="Arial"/>
                <w:sz w:val="14"/>
                <w:szCs w:val="14"/>
                <w:color w:val="auto"/>
              </w:rPr>
              <w:t>Revolver 10.00% Cash, 3/31/2017</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8,500,000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8,500,000</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2940" w:type="dxa"/>
            <w:vAlign w:val="bottom"/>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Total Metals</w:t>
            </w: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17,717,564</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8,814,300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37"/>
        </w:trPr>
        <w:tc>
          <w:tcPr>
            <w:tcW w:w="3100" w:type="dxa"/>
            <w:vAlign w:val="bottom"/>
            <w:gridSpan w:val="2"/>
          </w:tcPr>
          <w:p>
            <w:pPr>
              <w:spacing w:after="0" w:line="137" w:lineRule="exact"/>
              <w:rPr>
                <w:sz w:val="20"/>
                <w:szCs w:val="20"/>
                <w:color w:val="auto"/>
              </w:rPr>
            </w:pPr>
            <w:r>
              <w:rPr>
                <w:rFonts w:ascii="Arial" w:cs="Arial" w:eastAsia="Arial" w:hAnsi="Arial"/>
                <w:sz w:val="14"/>
                <w:szCs w:val="14"/>
                <w:color w:val="auto"/>
              </w:rPr>
              <w:t>Mercury Network, LLC</w:t>
            </w:r>
          </w:p>
        </w:tc>
        <w:tc>
          <w:tcPr>
            <w:tcW w:w="1420" w:type="dxa"/>
            <w:vAlign w:val="bottom"/>
          </w:tcPr>
          <w:p>
            <w:pPr>
              <w:ind w:left="60"/>
              <w:spacing w:after="0" w:line="137" w:lineRule="exact"/>
              <w:rPr>
                <w:sz w:val="20"/>
                <w:szCs w:val="20"/>
                <w:color w:val="auto"/>
              </w:rPr>
            </w:pPr>
            <w:r>
              <w:rPr>
                <w:rFonts w:ascii="Arial" w:cs="Arial" w:eastAsia="Arial" w:hAnsi="Arial"/>
                <w:sz w:val="14"/>
                <w:szCs w:val="14"/>
                <w:color w:val="auto"/>
              </w:rPr>
              <w:t>Real Estate</w:t>
            </w:r>
          </w:p>
        </w:tc>
        <w:tc>
          <w:tcPr>
            <w:tcW w:w="2940" w:type="dxa"/>
            <w:vAlign w:val="bottom"/>
          </w:tcPr>
          <w:p>
            <w:pPr>
              <w:ind w:left="280"/>
              <w:spacing w:after="0" w:line="137" w:lineRule="exact"/>
              <w:rPr>
                <w:sz w:val="20"/>
                <w:szCs w:val="20"/>
                <w:color w:val="auto"/>
              </w:rPr>
            </w:pPr>
            <w:r>
              <w:rPr>
                <w:rFonts w:ascii="Arial" w:cs="Arial" w:eastAsia="Arial" w:hAnsi="Arial"/>
                <w:sz w:val="14"/>
                <w:szCs w:val="14"/>
                <w:color w:val="auto"/>
              </w:rPr>
              <w:t>First Lien Term Loan 10.50% Cash,</w:t>
            </w: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8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tcPr>
          <w:p>
            <w:pPr>
              <w:ind w:left="280"/>
              <w:spacing w:after="0"/>
              <w:rPr>
                <w:sz w:val="20"/>
                <w:szCs w:val="20"/>
                <w:color w:val="auto"/>
              </w:rPr>
            </w:pPr>
            <w:r>
              <w:rPr>
                <w:rFonts w:ascii="Arial" w:cs="Arial" w:eastAsia="Arial" w:hAnsi="Arial"/>
                <w:sz w:val="14"/>
                <w:szCs w:val="14"/>
                <w:color w:val="auto"/>
              </w:rPr>
              <w:t>8/24/2021</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w w:val="99"/>
              </w:rPr>
              <w:t>20,808,696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20,619,443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20,724,932</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Mercury Network, LLC (g)</w:t>
            </w:r>
          </w:p>
        </w:tc>
        <w:tc>
          <w:tcPr>
            <w:tcW w:w="14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Real Estate</w:t>
            </w:r>
          </w:p>
        </w:tc>
        <w:tc>
          <w:tcPr>
            <w:tcW w:w="294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413,043</w:t>
            </w: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413,043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733,936</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vMerge w:val="restart"/>
          </w:tcPr>
          <w:p>
            <w:pPr>
              <w:jc w:val="right"/>
              <w:ind w:right="28"/>
              <w:spacing w:after="0"/>
              <w:rPr>
                <w:sz w:val="20"/>
                <w:szCs w:val="20"/>
                <w:color w:val="auto"/>
              </w:rPr>
            </w:pPr>
            <w:r>
              <w:rPr>
                <w:rFonts w:ascii="Arial" w:cs="Arial" w:eastAsia="Arial" w:hAnsi="Arial"/>
                <w:sz w:val="14"/>
                <w:szCs w:val="14"/>
                <w:color w:val="auto"/>
              </w:rPr>
              <w:t>Total Real Estate</w:t>
            </w: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8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29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21,032,486</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21,458,868</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w w:val="93"/>
              </w:rPr>
              <w:t>Sub Total Non-control/Non-affiliated investments</w:t>
            </w:r>
          </w:p>
        </w:tc>
        <w:tc>
          <w:tcPr>
            <w:tcW w:w="14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w w:val="95"/>
              </w:rPr>
              <w:t>267,658,535</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7"/>
              </w:rPr>
              <w:t>260,887,373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202.9%</w:t>
            </w:r>
          </w:p>
        </w:tc>
        <w:tc>
          <w:tcPr>
            <w:tcW w:w="0" w:type="dxa"/>
            <w:vAlign w:val="bottom"/>
          </w:tcPr>
          <w:p>
            <w:pPr>
              <w:spacing w:after="0"/>
              <w:rPr>
                <w:sz w:val="1"/>
                <w:szCs w:val="1"/>
                <w:color w:val="auto"/>
              </w:rPr>
            </w:pPr>
          </w:p>
        </w:tc>
      </w:tr>
      <w:tr>
        <w:trPr>
          <w:trHeight w:val="156"/>
        </w:trPr>
        <w:tc>
          <w:tcPr>
            <w:tcW w:w="31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Control investments - 9.3% (b)</w:t>
            </w:r>
          </w:p>
        </w:tc>
        <w:tc>
          <w:tcPr>
            <w:tcW w:w="1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Saratoga Investment Corp. CLO 2013-1, Ltd. (a),</w:t>
            </w:r>
          </w:p>
        </w:tc>
        <w:tc>
          <w:tcPr>
            <w:tcW w:w="1420" w:type="dxa"/>
            <w:vAlign w:val="bottom"/>
            <w:shd w:val="clear" w:color="auto" w:fill="CCEEFF"/>
          </w:tcPr>
          <w:p>
            <w:pPr>
              <w:ind w:left="60"/>
              <w:spacing w:after="0" w:line="130" w:lineRule="exact"/>
              <w:rPr>
                <w:sz w:val="20"/>
                <w:szCs w:val="20"/>
                <w:color w:val="auto"/>
              </w:rPr>
            </w:pPr>
            <w:r>
              <w:rPr>
                <w:rFonts w:ascii="Arial" w:cs="Arial" w:eastAsia="Arial" w:hAnsi="Arial"/>
                <w:sz w:val="14"/>
                <w:szCs w:val="14"/>
                <w:color w:val="auto"/>
              </w:rPr>
              <w:t>Structured Finance</w:t>
            </w:r>
          </w:p>
        </w:tc>
        <w:tc>
          <w:tcPr>
            <w:tcW w:w="2940" w:type="dxa"/>
            <w:vAlign w:val="bottom"/>
            <w:shd w:val="clear" w:color="auto" w:fill="CCEEFF"/>
          </w:tcPr>
          <w:p>
            <w:pPr>
              <w:ind w:left="280"/>
              <w:spacing w:after="0" w:line="130" w:lineRule="exact"/>
              <w:rPr>
                <w:sz w:val="20"/>
                <w:szCs w:val="20"/>
                <w:color w:val="auto"/>
              </w:rPr>
            </w:pPr>
            <w:r>
              <w:rPr>
                <w:rFonts w:ascii="Arial" w:cs="Arial" w:eastAsia="Arial" w:hAnsi="Arial"/>
                <w:sz w:val="14"/>
                <w:szCs w:val="14"/>
                <w:color w:val="auto"/>
              </w:rPr>
              <w:t>Other/Structured Finance Securities</w:t>
            </w:r>
          </w:p>
        </w:tc>
        <w:tc>
          <w:tcPr>
            <w:tcW w:w="10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 (e), (f)</w:t>
            </w:r>
          </w:p>
        </w:tc>
        <w:tc>
          <w:tcPr>
            <w:tcW w:w="1420" w:type="dxa"/>
            <w:vAlign w:val="bottom"/>
            <w:shd w:val="clear" w:color="auto" w:fill="CCEEFF"/>
          </w:tcPr>
          <w:p>
            <w:pPr>
              <w:ind w:left="60"/>
              <w:spacing w:after="0"/>
              <w:rPr>
                <w:sz w:val="20"/>
                <w:szCs w:val="20"/>
                <w:color w:val="auto"/>
              </w:rPr>
            </w:pPr>
            <w:r>
              <w:rPr>
                <w:rFonts w:ascii="Arial" w:cs="Arial" w:eastAsia="Arial" w:hAnsi="Arial"/>
                <w:sz w:val="14"/>
                <w:szCs w:val="14"/>
                <w:color w:val="auto"/>
              </w:rPr>
              <w:t>Securities</w:t>
            </w:r>
          </w:p>
        </w:tc>
        <w:tc>
          <w:tcPr>
            <w:tcW w:w="29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21.13%, 10/17/2023</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30,000,000</w:t>
            </w: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10,948,369</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11,917,076</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0"/>
        </w:trPr>
        <w:tc>
          <w:tcPr>
            <w:tcW w:w="3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Sub Total Control investments</w:t>
            </w:r>
          </w:p>
        </w:tc>
        <w:tc>
          <w:tcPr>
            <w:tcW w:w="1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100" w:type="dxa"/>
            <w:vAlign w:val="bottom"/>
            <w:gridSpan w:val="2"/>
            <w:vMerge w:val="continue"/>
          </w:tcPr>
          <w:p>
            <w:pPr>
              <w:spacing w:after="0"/>
              <w:rPr>
                <w:sz w:val="13"/>
                <w:szCs w:val="13"/>
                <w:color w:val="auto"/>
              </w:rPr>
            </w:pPr>
          </w:p>
        </w:tc>
        <w:tc>
          <w:tcPr>
            <w:tcW w:w="14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10,948,369</w:t>
            </w:r>
          </w:p>
        </w:tc>
        <w:tc>
          <w:tcPr>
            <w:tcW w:w="1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color w:val="auto"/>
              </w:rPr>
              <w:t>11,917,076</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INVESTMENTS - 212.2% (b)</w:t>
            </w:r>
          </w:p>
        </w:tc>
        <w:tc>
          <w:tcPr>
            <w:tcW w:w="1420" w:type="dxa"/>
            <w:vAlign w:val="bottom"/>
            <w:shd w:val="clear" w:color="auto" w:fill="CCEEFF"/>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w w:val="95"/>
              </w:rPr>
              <w:t>278,606,904</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7"/>
              </w:rPr>
              <w:t>272,804,449</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212.2%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24"/>
                <w:szCs w:val="24"/>
                <w:color w:val="auto"/>
              </w:rPr>
            </w:pPr>
          </w:p>
        </w:tc>
        <w:tc>
          <w:tcPr>
            <w:tcW w:w="86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w w:val="98"/>
              </w:rPr>
              <w:t>Fair Value</w:t>
            </w:r>
          </w:p>
        </w:tc>
        <w:tc>
          <w:tcPr>
            <w:tcW w:w="8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40" w:type="dxa"/>
            <w:vAlign w:val="bottom"/>
            <w:tcBorders>
              <w:top w:val="single" w:sz="8" w:color="CCEEFF"/>
            </w:tcBorders>
            <w:gridSpan w:val="3"/>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- 17.8%</w:t>
            </w: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8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14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w w:val="99"/>
              </w:rPr>
              <w:t>22,880,822</w:t>
            </w:r>
          </w:p>
        </w:tc>
        <w:tc>
          <w:tcPr>
            <w:tcW w:w="180" w:type="dxa"/>
            <w:vAlign w:val="bottom"/>
          </w:tcPr>
          <w:p>
            <w:pPr>
              <w:spacing w:after="0"/>
              <w:rPr>
                <w:sz w:val="12"/>
                <w:szCs w:val="12"/>
                <w:color w:val="auto"/>
              </w:rPr>
            </w:pP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22,880,822</w:t>
            </w:r>
          </w:p>
        </w:tc>
        <w:tc>
          <w:tcPr>
            <w:tcW w:w="18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22,880,822</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40" w:type="dxa"/>
            <w:vAlign w:val="bottom"/>
            <w:gridSpan w:val="3"/>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99"/>
              </w:rPr>
              <w:t>22,880,822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8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b w:val="1"/>
                <w:bCs w:val="1"/>
                <w:color w:val="auto"/>
              </w:rPr>
              <w:t>22,880,822</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22,880,822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b w:val="1"/>
                <w:bCs w:val="1"/>
                <w:color w:val="auto"/>
              </w:rPr>
              <w:t>17.8%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5.1%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$128,563,622 as of August 31,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21.13%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ind w:left="40"/>
              <w:spacing w:after="0"/>
              <w:rPr>
                <w:sz w:val="20"/>
                <w:szCs w:val="20"/>
                <w:color w:val="auto"/>
              </w:rPr>
            </w:pPr>
            <w:r>
              <w:rPr>
                <w:rFonts w:ascii="Arial" w:cs="Arial" w:eastAsia="Arial" w:hAnsi="Arial"/>
                <w:sz w:val="14"/>
                <w:szCs w:val="14"/>
                <w:b w:val="1"/>
                <w:bCs w:val="1"/>
                <w:color w:val="auto"/>
                <w:w w:val="87"/>
              </w:rPr>
              <w:t>Sales</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3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Management</w:t>
            </w:r>
          </w:p>
        </w:tc>
        <w:tc>
          <w:tcPr>
            <w:tcW w:w="900" w:type="dxa"/>
            <w:vAlign w:val="bottom"/>
            <w:gridSpan w:val="2"/>
          </w:tcPr>
          <w:p>
            <w:pPr>
              <w:ind w:left="60"/>
              <w:spacing w:after="0"/>
              <w:rPr>
                <w:sz w:val="20"/>
                <w:szCs w:val="20"/>
                <w:color w:val="auto"/>
              </w:rPr>
            </w:pPr>
            <w:r>
              <w:rPr>
                <w:rFonts w:ascii="Arial" w:cs="Arial" w:eastAsia="Arial" w:hAnsi="Arial"/>
                <w:sz w:val="14"/>
                <w:szCs w:val="14"/>
                <w:b w:val="1"/>
                <w:bCs w:val="1"/>
                <w:color w:val="auto"/>
                <w:w w:val="98"/>
              </w:rPr>
              <w:t>Net Realized</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920" w:type="dxa"/>
            <w:vAlign w:val="bottom"/>
            <w:gridSpan w:val="2"/>
            <w:vMerge w:val="continue"/>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Purchases</w:t>
            </w: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7"/>
              </w:rPr>
              <w:t>Redemptions</w:t>
            </w:r>
          </w:p>
        </w:tc>
        <w:tc>
          <w:tcPr>
            <w:tcW w:w="360" w:type="dxa"/>
            <w:vAlign w:val="bottom"/>
          </w:tcPr>
          <w:p>
            <w:pPr>
              <w:spacing w:after="0"/>
              <w:rPr>
                <w:sz w:val="14"/>
                <w:szCs w:val="14"/>
                <w:color w:val="auto"/>
              </w:rPr>
            </w:pPr>
          </w:p>
        </w:tc>
        <w:tc>
          <w:tcPr>
            <w:tcW w:w="380" w:type="dxa"/>
            <w:vAlign w:val="bottom"/>
          </w:tcPr>
          <w:p>
            <w:pPr>
              <w:spacing w:after="0"/>
              <w:rPr>
                <w:sz w:val="20"/>
                <w:szCs w:val="20"/>
                <w:color w:val="auto"/>
              </w:rPr>
            </w:pPr>
            <w:r>
              <w:rPr>
                <w:rFonts w:ascii="Arial" w:cs="Arial" w:eastAsia="Arial" w:hAnsi="Arial"/>
                <w:sz w:val="14"/>
                <w:szCs w:val="14"/>
                <w:b w:val="1"/>
                <w:bCs w:val="1"/>
                <w:color w:val="auto"/>
                <w:w w:val="88"/>
              </w:rPr>
              <w:t>(Cost)</w:t>
            </w:r>
          </w:p>
        </w:tc>
        <w:tc>
          <w:tcPr>
            <w:tcW w:w="34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89"/>
              </w:rPr>
              <w:t>Income</w:t>
            </w:r>
          </w:p>
        </w:tc>
        <w:tc>
          <w:tcPr>
            <w:tcW w:w="34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Fee Income</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w w:val="85"/>
              </w:rPr>
              <w:t>Gains (Losses)</w:t>
            </w:r>
          </w:p>
        </w:tc>
        <w:tc>
          <w:tcPr>
            <w:tcW w:w="3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332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3"/>
              </w:rPr>
              <w:t>$</w:t>
            </w:r>
            <w:r>
              <w:rPr>
                <w:rFonts w:ascii="Arial" w:cs="Arial" w:eastAsia="Arial" w:hAnsi="Arial"/>
                <w:sz w:val="18"/>
                <w:szCs w:val="18"/>
                <w:color w:val="auto"/>
                <w:w w:val="93"/>
              </w:rPr>
              <w:t>1,089,326</w:t>
            </w:r>
          </w:p>
        </w:tc>
        <w:tc>
          <w:tcPr>
            <w:tcW w:w="3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  748,341</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  1,171,478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August 31,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investment has an unfunded commitment as of August 31, 2016 (see Note 7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entire commitment was unfunded at August 31,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August 31,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sectPr>
      </w:pPr>
    </w:p>
    <w:bookmarkStart w:id="6" w:name="page7"/>
    <w:bookmarkEnd w:id="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vMerge w:val="restart"/>
          </w:tcPr>
          <w:p>
            <w:pPr>
              <w:ind w:left="540"/>
              <w:spacing w:after="0"/>
              <w:rPr>
                <w:sz w:val="20"/>
                <w:szCs w:val="20"/>
                <w:color w:val="auto"/>
              </w:rPr>
            </w:pPr>
            <w:r>
              <w:rPr>
                <w:rFonts w:ascii="Arial" w:cs="Arial" w:eastAsia="Arial" w:hAnsi="Arial"/>
                <w:sz w:val="14"/>
                <w:szCs w:val="14"/>
                <w:b w:val="1"/>
                <w:bCs w:val="1"/>
                <w:color w:val="auto"/>
              </w:rPr>
              <w:t>Investment Interest Rate /</w:t>
            </w:r>
          </w:p>
        </w:tc>
        <w:tc>
          <w:tcPr>
            <w:tcW w:w="86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5"/>
              </w:rPr>
              <w:t>Principal /</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4"/>
        </w:trPr>
        <w:tc>
          <w:tcPr>
            <w:tcW w:w="2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60" w:type="dxa"/>
            <w:vAlign w:val="bottom"/>
          </w:tcPr>
          <w:p>
            <w:pPr>
              <w:spacing w:after="0"/>
              <w:rPr>
                <w:sz w:val="12"/>
                <w:szCs w:val="12"/>
                <w:color w:val="auto"/>
              </w:rPr>
            </w:pPr>
          </w:p>
        </w:tc>
        <w:tc>
          <w:tcPr>
            <w:tcW w:w="168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Industry</w:t>
            </w:r>
          </w:p>
        </w:tc>
        <w:tc>
          <w:tcPr>
            <w:tcW w:w="28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8"/>
              </w:rPr>
              <w:t>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 (c)</w:t>
            </w: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98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1680" w:type="dxa"/>
            <w:vAlign w:val="bottom"/>
            <w:gridSpan w:val="2"/>
            <w:vMerge w:val="continue"/>
          </w:tcPr>
          <w:p>
            <w:pPr>
              <w:spacing w:after="0"/>
              <w:rPr>
                <w:sz w:val="15"/>
                <w:szCs w:val="15"/>
                <w:color w:val="auto"/>
              </w:rPr>
            </w:pPr>
          </w:p>
        </w:tc>
        <w:tc>
          <w:tcPr>
            <w:tcW w:w="2800" w:type="dxa"/>
            <w:vAlign w:val="bottom"/>
            <w:gridSpan w:val="2"/>
          </w:tcPr>
          <w:p>
            <w:pPr>
              <w:ind w:left="106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5"/>
                <w:szCs w:val="15"/>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7"/>
              </w:rPr>
              <w:t>of Shares</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040" w:type="dxa"/>
            <w:vAlign w:val="bottom"/>
            <w:gridSpan w:val="3"/>
            <w:vMerge w:val="continue"/>
          </w:tcPr>
          <w:p>
            <w:pPr>
              <w:spacing w:after="0"/>
              <w:rPr>
                <w:sz w:val="15"/>
                <w:szCs w:val="15"/>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440" w:type="dxa"/>
            <w:vAlign w:val="bottom"/>
            <w:gridSpan w:val="2"/>
            <w:shd w:val="clear" w:color="auto" w:fill="CCEEFF"/>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6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4700" w:type="dxa"/>
            <w:vAlign w:val="bottom"/>
            <w:gridSpan w:val="5"/>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Non-control/Non-affiliated investments - 216.6% (b)</w:t>
            </w:r>
          </w:p>
        </w:tc>
        <w:tc>
          <w:tcPr>
            <w:tcW w:w="26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National Truck Protection Co., Inc. (d), (g)</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Automotive Aftermarket</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1,116</w:t>
            </w:r>
          </w:p>
        </w:tc>
        <w:tc>
          <w:tcPr>
            <w:tcW w:w="140" w:type="dxa"/>
            <w:vAlign w:val="bottom"/>
          </w:tcPr>
          <w:p>
            <w:pPr>
              <w:spacing w:after="0"/>
              <w:rPr>
                <w:sz w:val="12"/>
                <w:szCs w:val="12"/>
                <w:color w:val="auto"/>
              </w:rPr>
            </w:pPr>
          </w:p>
        </w:tc>
        <w:tc>
          <w:tcPr>
            <w:tcW w:w="240" w:type="dxa"/>
            <w:vAlign w:val="bottom"/>
            <w:gridSpan w:val="2"/>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tcPr>
          <w:p>
            <w:pPr>
              <w:spacing w:after="0"/>
              <w:rPr>
                <w:sz w:val="12"/>
                <w:szCs w:val="12"/>
                <w:color w:val="auto"/>
              </w:rPr>
            </w:pPr>
          </w:p>
        </w:tc>
        <w:tc>
          <w:tcPr>
            <w:tcW w:w="10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1,695,303</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National Truck Protection Co., Inc. (d)</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Automotive Aftermarket</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15.50%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9/13/2018</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6,776,770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6,776,770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Take 5 Oil Change, L.L.C. (d), (g)</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Automotive Aftermarket</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7,128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480,535</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6,235,209</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Automotive Aftermarket</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8,257,305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14,707,282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11.8%</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Legacy Cabinets Holdings (d), (g)</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color w:val="auto"/>
              </w:rPr>
              <w:t>Building Products</w:t>
            </w:r>
          </w:p>
        </w:tc>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Common Stock Voting A-1</w:t>
            </w: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2,535</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220,900</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2,676,909</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Legacy Cabinets Holdings (d), (g)</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Building Products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 Voting B-1</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1,600</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139,424</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1,689,568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Polar Holding Company, Ltd. (a), (d), (i)</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Building Products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9/30/2016</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2,000,000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2,000,000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2,000,000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Building Products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2,360,324</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6,366,477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5.0%</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Avionte Holdings, LLC (g)</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color w:val="auto"/>
              </w:rPr>
              <w:t>Business Services</w:t>
            </w:r>
          </w:p>
        </w:tc>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Common Stock</w:t>
            </w: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100,000</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100,000</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169,850</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Avionte Holdings, LLC</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First Lien Term Loan 9.75% Cash, 1/8/2019</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2,406,342</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2,376,045</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2,382,844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Avionte Holdings, LLC (j), (k)</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A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1/8/2019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BMC Software, Inc. (d)</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Syndicated Loan 5.00% Cash, 9/10/2020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5,671,667</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5,633,920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4,520,318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Courion Corporation</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11.00%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6/1/2021</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15,000,000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14,856,720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14,850,000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Dispensing Dynamics International (d)</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Senior Secured Note 12.50% Cash, 1/1/2018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12,000,000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12,025,101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10,950,000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Easy Ice, LLC (d)</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9"/>
              </w:rPr>
              <w:t>First Lien Term Loan 9.50% Cash, 1/15/2020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88"/>
              </w:rPr>
              <w:t>14,000,000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13,873,485</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13,806,098</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Emily Street Enterprises, L.L.C.</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Senior Secured Note 10.00% Cash, 1/23/2020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8,400,000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8,305,033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8,568,000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Emily Street Enterprises, L.L.C. (g)</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Warrant Membership Interests</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49,318</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400,000</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577,020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Finalsite Holdings, Inc.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5/21/2020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7,440,729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w w:val="95"/>
              </w:rPr>
              <w:t>Help/Systems Holdings, Inc. (Help/Systems, LLC)</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w w:val="99"/>
              </w:rPr>
              <w:t>First Lien Term Loan 6.25% Cash, 10/8/2021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5,000,000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4,904,573</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4,895,000</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5"/>
              </w:rPr>
              <w:t>Help/Systems Holdings, Inc. (Help/Systems, LLC)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10.50%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10/8/2022</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3,000,000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2,912,784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2,910,000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Identity Automation Systems (g)</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 Class A Units</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232,616</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232,616</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427,409</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Identity Automation Systems</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10.25%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12/18/2020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6,900,000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6,842,573</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Identity Automation Systems (j), (k)</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Delayed Draw Term Loan 10.25%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12/18/2020</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Knowland Technology Holdings, L.L.C.</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6"/>
              </w:rPr>
              <w:t>First Lien Term Loan 8.00% Cash, 11/29/2017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5,259,171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5,224,422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5,259,171</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PCF Number 4, Inc.</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13.50% (12.50%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Cash/1.00% PIK), 8/28/2021</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13,000,000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12,870,023</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12,870,000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Vector Controls Holding Co., LLC (d)</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14.00% (12.00%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Cash/2.00% PIK), 3/6/2018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9,035,515</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8,952,442</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9,035,515</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Vector Controls Holding Co., LLC (d), (g)</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Business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343</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354,819</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Business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5"/>
              </w:rPr>
              <w:t>106,950,466</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2"/>
              </w:rPr>
              <w:t>105,976,044</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84.6%</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Advanced Air &amp; Heat of Florida, LLC</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color w:val="auto"/>
              </w:rPr>
              <w:t>Consumer Products</w:t>
            </w:r>
          </w:p>
        </w:tc>
        <w:tc>
          <w:tcPr>
            <w:tcW w:w="2800" w:type="dxa"/>
            <w:vAlign w:val="bottom"/>
            <w:gridSpan w:val="2"/>
            <w:vMerge w:val="restart"/>
          </w:tcPr>
          <w:p>
            <w:pPr>
              <w:spacing w:after="0"/>
              <w:rPr>
                <w:sz w:val="20"/>
                <w:szCs w:val="20"/>
                <w:color w:val="auto"/>
              </w:rPr>
            </w:pPr>
            <w:r>
              <w:rPr>
                <w:rFonts w:ascii="Arial" w:cs="Arial" w:eastAsia="Arial" w:hAnsi="Arial"/>
                <w:sz w:val="14"/>
                <w:szCs w:val="14"/>
                <w:color w:val="auto"/>
                <w:w w:val="99"/>
              </w:rPr>
              <w:t>First Lien Term Loan 9.50% Cash, 7/17/2020</w:t>
            </w:r>
          </w:p>
        </w:tc>
        <w:tc>
          <w:tcPr>
            <w:tcW w:w="80" w:type="dxa"/>
            <w:vAlign w:val="bottom"/>
            <w:vMerge w:val="restart"/>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vMerge w:val="restart"/>
          </w:tcPr>
          <w:p>
            <w:pPr>
              <w:jc w:val="right"/>
              <w:spacing w:after="0"/>
              <w:rPr>
                <w:sz w:val="20"/>
                <w:szCs w:val="20"/>
                <w:color w:val="auto"/>
              </w:rPr>
            </w:pPr>
            <w:r>
              <w:rPr>
                <w:rFonts w:ascii="Arial" w:cs="Arial" w:eastAsia="Arial" w:hAnsi="Arial"/>
                <w:sz w:val="14"/>
                <w:szCs w:val="14"/>
                <w:color w:val="auto"/>
                <w:w w:val="99"/>
              </w:rPr>
              <w:t>6,800,000</w:t>
            </w:r>
          </w:p>
        </w:tc>
        <w:tc>
          <w:tcPr>
            <w:tcW w:w="140" w:type="dxa"/>
            <w:vAlign w:val="bottom"/>
            <w:vMerge w:val="restart"/>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6,733,661</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6,800,000</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5.4%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Targus Holdings, Inc. (d), (g)</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Products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210,456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1,791,242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Targus Holdings, Inc. (d)</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Consumer Products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A-2 15.00% PIK,</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12/31/2019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210,456</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210,456</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210,456</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Targus Holdings, Inc. (d)</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Consumer Products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B 15.00% PIK,</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12/31/2019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631,369</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631,369</w:t>
            </w:r>
          </w:p>
        </w:tc>
        <w:tc>
          <w:tcPr>
            <w:tcW w:w="10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631,369</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Total Consumer Products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9,366,728</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7,641,825</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Expedited Travel L.L.C. (g)</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1,000,000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1,000,000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1,647,767</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Expedited Travel L.L.C.</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Consumer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10/10/2019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11,475,490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11,401,380</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11,647,623</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My Alarm Center, LLC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Consumer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12.00%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7/9/2019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7,500,000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7,500,000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7,450,500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PrePaid Legal Services, Inc. (d)</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Consumer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First Lien Term Loan 6.50% Cash, 7/1/2019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w w:val="99"/>
              </w:rPr>
              <w:t>1,572,921</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1,562,787</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1,556,248</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PrePaid Legal Services, Inc. (d)</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Consumer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7/1/2020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10,000,000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9,962,104</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9,827,000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Prime Security Services, LLC</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Consumer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Second Lien Term Loan 9.75%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7/1/2022</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88"/>
              </w:rPr>
              <w:t>12,000,000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11,829,030</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10,980,000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Total Consumer Services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43,255,301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43,109,138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34.5%</w:t>
            </w:r>
          </w:p>
        </w:tc>
        <w:tc>
          <w:tcPr>
            <w:tcW w:w="0" w:type="dxa"/>
            <w:vAlign w:val="bottom"/>
          </w:tcPr>
          <w:p>
            <w:pPr>
              <w:spacing w:after="0"/>
              <w:rPr>
                <w:sz w:val="1"/>
                <w:szCs w:val="1"/>
                <w:color w:val="auto"/>
              </w:rPr>
            </w:pPr>
          </w:p>
        </w:tc>
      </w:tr>
      <w:tr>
        <w:trPr>
          <w:trHeight w:val="20"/>
        </w:trPr>
        <w:tc>
          <w:tcPr>
            <w:tcW w:w="2980" w:type="dxa"/>
            <w:vAlign w:val="bottom"/>
            <w:gridSpan w:val="3"/>
            <w:vMerge w:val="restart"/>
          </w:tcPr>
          <w:p>
            <w:pPr>
              <w:spacing w:after="0"/>
              <w:rPr>
                <w:sz w:val="20"/>
                <w:szCs w:val="20"/>
                <w:color w:val="auto"/>
              </w:rPr>
            </w:pPr>
            <w:r>
              <w:rPr>
                <w:rFonts w:ascii="Arial" w:cs="Arial" w:eastAsia="Arial" w:hAnsi="Arial"/>
                <w:sz w:val="14"/>
                <w:szCs w:val="14"/>
                <w:color w:val="auto"/>
              </w:rPr>
              <w:t>M/C Acquisition Corp., L.L.C. (d), (g)</w:t>
            </w:r>
          </w:p>
        </w:tc>
        <w:tc>
          <w:tcPr>
            <w:tcW w:w="1740" w:type="dxa"/>
            <w:vAlign w:val="bottom"/>
            <w:gridSpan w:val="3"/>
            <w:vMerge w:val="restart"/>
          </w:tcPr>
          <w:p>
            <w:pPr>
              <w:ind w:left="60"/>
              <w:spacing w:after="0"/>
              <w:rPr>
                <w:sz w:val="20"/>
                <w:szCs w:val="20"/>
                <w:color w:val="auto"/>
              </w:rPr>
            </w:pPr>
            <w:r>
              <w:rPr>
                <w:rFonts w:ascii="Arial" w:cs="Arial" w:eastAsia="Arial" w:hAnsi="Arial"/>
                <w:sz w:val="14"/>
                <w:szCs w:val="14"/>
                <w:color w:val="auto"/>
              </w:rPr>
              <w:t>Education</w:t>
            </w:r>
          </w:p>
        </w:tc>
        <w:tc>
          <w:tcPr>
            <w:tcW w:w="2800" w:type="dxa"/>
            <w:vAlign w:val="bottom"/>
            <w:gridSpan w:val="2"/>
            <w:vMerge w:val="restart"/>
          </w:tcPr>
          <w:p>
            <w:pPr>
              <w:spacing w:after="0"/>
              <w:rPr>
                <w:sz w:val="20"/>
                <w:szCs w:val="20"/>
                <w:color w:val="auto"/>
              </w:rPr>
            </w:pPr>
            <w:r>
              <w:rPr>
                <w:rFonts w:ascii="Arial" w:cs="Arial" w:eastAsia="Arial" w:hAnsi="Arial"/>
                <w:sz w:val="14"/>
                <w:szCs w:val="14"/>
                <w:color w:val="auto"/>
              </w:rPr>
              <w:t>Class A Common Stock</w:t>
            </w:r>
          </w:p>
        </w:tc>
        <w:tc>
          <w:tcPr>
            <w:tcW w:w="80" w:type="dxa"/>
            <w:vAlign w:val="bottom"/>
          </w:tcPr>
          <w:p>
            <w:pPr>
              <w:spacing w:after="0" w:line="20" w:lineRule="exact"/>
              <w:rPr>
                <w:sz w:val="1"/>
                <w:szCs w:val="1"/>
                <w:color w:val="auto"/>
              </w:rPr>
            </w:pP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544,761</w:t>
            </w: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980" w:type="dxa"/>
            <w:vAlign w:val="bottom"/>
            <w:gridSpan w:val="3"/>
            <w:vMerge w:val="continue"/>
          </w:tcPr>
          <w:p>
            <w:pPr>
              <w:spacing w:after="0"/>
              <w:rPr>
                <w:sz w:val="13"/>
                <w:szCs w:val="13"/>
                <w:color w:val="auto"/>
              </w:rPr>
            </w:pPr>
          </w:p>
        </w:tc>
        <w:tc>
          <w:tcPr>
            <w:tcW w:w="1740" w:type="dxa"/>
            <w:vAlign w:val="bottom"/>
            <w:gridSpan w:val="3"/>
            <w:vMerge w:val="continue"/>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30,241</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M/C Acquisition Corp., L.L.C. (d)</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Education</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First Lien Term Loan 1.00% Cash, 3/31/2016</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2,321,073</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1,193,790</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8,087</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Texas Teachers of Tomorrow, LLC (g), (h)</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Education</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750</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750,000</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785,475</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Texas Teachers of Tomorrow, LLC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Education</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10.75%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6/2/2021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10,000,000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9,902,816</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9,900,000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Total Education</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11,876,847</w:t>
            </w:r>
          </w:p>
        </w:tc>
        <w:tc>
          <w:tcPr>
            <w:tcW w:w="1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10,693,562</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3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TM Restaurant Group L.L.C.</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Food and Beverage</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First Lien Term Loan 9.75% Cash, 7/16/2017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9,622,319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9,527,041</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9,131,048</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Total Food and Beverage</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9,527,041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9,131,048</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Bristol Hospice, LLC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Senior Secured Note 11.00% (10.00%</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Cash/1.00% PIK), 11/29/2018</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5,404,747</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5,339,820</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5,404,747</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Censis Technologies, Inc.</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B 11.00%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7/24/2019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w w:val="88"/>
              </w:rPr>
              <w:t>11,550,000</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4"/>
                <w:szCs w:val="14"/>
                <w:color w:val="auto"/>
              </w:rPr>
              <w:t>11,377,810</w:t>
            </w:r>
          </w:p>
        </w:tc>
        <w:tc>
          <w:tcPr>
            <w:tcW w:w="100" w:type="dxa"/>
            <w:vAlign w:val="bottom"/>
          </w:tcPr>
          <w:p>
            <w:pPr>
              <w:spacing w:after="0"/>
              <w:rPr>
                <w:sz w:val="14"/>
                <w:szCs w:val="14"/>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11,459,418</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Censis Technologies, Inc. (g), (h)</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Limited Partner Interests</w:t>
            </w:r>
          </w:p>
        </w:tc>
        <w:tc>
          <w:tcPr>
            <w:tcW w:w="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999</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999,000</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810,642</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Roscoe Medical, Inc. (d), (g)</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334,000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Roscoe Medical, Inc.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Second Lien Term Loan 11.25%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9/26/2019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4,200,000</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4,141,519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3,822,000</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Ohio Medical, LLC (g)</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5,000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00" w:type="dxa"/>
            <w:vAlign w:val="bottom"/>
          </w:tcPr>
          <w:p>
            <w:pPr>
              <w:spacing w:after="0"/>
              <w:rPr>
                <w:sz w:val="12"/>
                <w:szCs w:val="12"/>
                <w:color w:val="auto"/>
              </w:rPr>
            </w:pPr>
          </w:p>
        </w:tc>
        <w:tc>
          <w:tcPr>
            <w:tcW w:w="9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500,000</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Ohio Medical, LLC</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Senior Subordinated Note 12.00%, 7/15/2021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7,300,000</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7,228,452</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7,227,000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5.8%</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Smile Brands Group Inc. (d)</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w w:val="97"/>
              </w:rPr>
              <w:t>Syndicated Loan 10.50% (9.00% Cash/1.50%</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PIK), 8/16/2019</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4,420,900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4,362,266</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3,216,647</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Zest Holdings, LLC (d)</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Services</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Syndicated Loan 5.25% Cash, 8/16/2020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9"/>
              </w:rPr>
              <w:t>4,207,821</w:t>
            </w:r>
          </w:p>
        </w:tc>
        <w:tc>
          <w:tcPr>
            <w:tcW w:w="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4,142,093</w:t>
            </w:r>
          </w:p>
        </w:tc>
        <w:tc>
          <w:tcPr>
            <w:tcW w:w="1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4,130,692</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0" w:type="dxa"/>
            <w:vAlign w:val="bottom"/>
            <w:gridSpan w:val="2"/>
            <w:vMerge w:val="restart"/>
          </w:tcPr>
          <w:p>
            <w:pPr>
              <w:jc w:val="right"/>
              <w:ind w:right="120"/>
              <w:spacing w:after="0"/>
              <w:rPr>
                <w:sz w:val="20"/>
                <w:szCs w:val="20"/>
                <w:color w:val="auto"/>
              </w:rPr>
            </w:pPr>
            <w:r>
              <w:rPr>
                <w:rFonts w:ascii="Arial" w:cs="Arial" w:eastAsia="Arial" w:hAnsi="Arial"/>
                <w:sz w:val="14"/>
                <w:szCs w:val="14"/>
                <w:color w:val="auto"/>
              </w:rPr>
              <w:t>Total Healthcare Services</w:t>
            </w: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38,590,960</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36,905,146</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29.6%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HMN Holdco, LLC</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5/16/2019</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9"/>
              </w:rPr>
              <w:t>8,937,982</w:t>
            </w:r>
          </w:p>
        </w:tc>
        <w:tc>
          <w:tcPr>
            <w:tcW w:w="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8,812,479</w:t>
            </w:r>
          </w:p>
        </w:tc>
        <w:tc>
          <w:tcPr>
            <w:tcW w:w="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8,937,983</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HMN Holdco, LLC</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First Lien Term Loan 10.00% Cash,</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80" w:type="dxa"/>
            <w:vAlign w:val="bottom"/>
          </w:tcPr>
          <w:p>
            <w:pPr>
              <w:spacing w:after="0"/>
              <w:rPr>
                <w:sz w:val="20"/>
                <w:szCs w:val="20"/>
                <w:color w:val="auto"/>
              </w:rPr>
            </w:pPr>
            <w:r>
              <w:rPr>
                <w:rFonts w:ascii="Arial" w:cs="Arial" w:eastAsia="Arial" w:hAnsi="Arial"/>
                <w:sz w:val="14"/>
                <w:szCs w:val="14"/>
                <w:color w:val="auto"/>
              </w:rPr>
              <w:t>5/16/2019</w:t>
            </w:r>
          </w:p>
        </w:tc>
        <w:tc>
          <w:tcPr>
            <w:tcW w:w="1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9"/>
              </w:rPr>
              <w:t>1,600,000</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1,572,821</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1,600,000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HMN Holdco, LLC</w:t>
            </w:r>
          </w:p>
        </w:tc>
        <w:tc>
          <w:tcPr>
            <w:tcW w:w="1740" w:type="dxa"/>
            <w:vAlign w:val="bottom"/>
            <w:gridSpan w:val="3"/>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28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Class A Series</w:t>
            </w:r>
          </w:p>
        </w:tc>
        <w:tc>
          <w:tcPr>
            <w:tcW w:w="8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4,264</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61,647</w:t>
            </w: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314,683</w:t>
            </w: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0.3%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60" w:type="dxa"/>
            <w:vAlign w:val="bottom"/>
            <w:gridSpan w:val="2"/>
          </w:tcPr>
          <w:p>
            <w:pPr>
              <w:spacing w:after="0" w:line="149" w:lineRule="exact"/>
              <w:rPr>
                <w:sz w:val="20"/>
                <w:szCs w:val="20"/>
                <w:color w:val="auto"/>
              </w:rPr>
            </w:pPr>
            <w:r>
              <w:rPr>
                <w:rFonts w:ascii="Arial" w:cs="Arial" w:eastAsia="Arial" w:hAnsi="Arial"/>
                <w:sz w:val="14"/>
                <w:szCs w:val="14"/>
                <w:color w:val="auto"/>
              </w:rPr>
              <w:t>HMN Holdco, LLC</w:t>
            </w:r>
          </w:p>
        </w:tc>
        <w:tc>
          <w:tcPr>
            <w:tcW w:w="1740" w:type="dxa"/>
            <w:vAlign w:val="bottom"/>
            <w:gridSpan w:val="3"/>
          </w:tcPr>
          <w:p>
            <w:pPr>
              <w:ind w:left="60"/>
              <w:spacing w:after="0" w:line="149" w:lineRule="exact"/>
              <w:rPr>
                <w:sz w:val="20"/>
                <w:szCs w:val="20"/>
                <w:color w:val="auto"/>
              </w:rPr>
            </w:pPr>
            <w:r>
              <w:rPr>
                <w:rFonts w:ascii="Arial" w:cs="Arial" w:eastAsia="Arial" w:hAnsi="Arial"/>
                <w:sz w:val="14"/>
                <w:szCs w:val="14"/>
                <w:color w:val="auto"/>
              </w:rPr>
              <w:t>Media</w:t>
            </w:r>
          </w:p>
        </w:tc>
        <w:tc>
          <w:tcPr>
            <w:tcW w:w="2800" w:type="dxa"/>
            <w:vAlign w:val="bottom"/>
            <w:gridSpan w:val="2"/>
          </w:tcPr>
          <w:p>
            <w:pPr>
              <w:spacing w:after="0" w:line="149" w:lineRule="exact"/>
              <w:rPr>
                <w:sz w:val="20"/>
                <w:szCs w:val="20"/>
                <w:color w:val="auto"/>
              </w:rPr>
            </w:pPr>
            <w:r>
              <w:rPr>
                <w:rFonts w:ascii="Arial" w:cs="Arial" w:eastAsia="Arial" w:hAnsi="Arial"/>
                <w:sz w:val="14"/>
                <w:szCs w:val="14"/>
                <w:color w:val="auto"/>
              </w:rPr>
              <w:t>Class A Warrant</w:t>
            </w:r>
          </w:p>
        </w:tc>
        <w:tc>
          <w:tcPr>
            <w:tcW w:w="80" w:type="dxa"/>
            <w:vAlign w:val="bottom"/>
          </w:tcPr>
          <w:p>
            <w:pPr>
              <w:spacing w:after="0"/>
              <w:rPr>
                <w:sz w:val="12"/>
                <w:szCs w:val="12"/>
                <w:color w:val="auto"/>
              </w:rPr>
            </w:pPr>
          </w:p>
        </w:tc>
        <w:tc>
          <w:tcPr>
            <w:tcW w:w="7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30,320</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438,353</w:t>
            </w:r>
          </w:p>
        </w:tc>
        <w:tc>
          <w:tcPr>
            <w:tcW w:w="1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1,889,542</w:t>
            </w:r>
          </w:p>
        </w:tc>
        <w:tc>
          <w:tcPr>
            <w:tcW w:w="200" w:type="dxa"/>
            <w:vAlign w:val="bottom"/>
          </w:tcPr>
          <w:p>
            <w:pPr>
              <w:spacing w:after="0"/>
              <w:rPr>
                <w:sz w:val="12"/>
                <w:szCs w:val="12"/>
                <w:color w:val="auto"/>
              </w:rPr>
            </w:pP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HMN Holdco, LLC (g)</w:t>
            </w:r>
          </w:p>
        </w:tc>
        <w:tc>
          <w:tcPr>
            <w:tcW w:w="1740" w:type="dxa"/>
            <w:vAlign w:val="bottom"/>
            <w:gridSpan w:val="3"/>
            <w:shd w:val="clear" w:color="auto" w:fill="CCEEFF"/>
          </w:tcPr>
          <w:p>
            <w:pPr>
              <w:ind w:left="6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3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5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Company Interests (Common)</w:t>
            </w: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57,872</w:t>
            </w: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3,309,121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2960" w:type="dxa"/>
            <w:vAlign w:val="bottom"/>
            <w:gridSpan w:val="2"/>
          </w:tcPr>
          <w:p>
            <w:pPr>
              <w:spacing w:after="0" w:line="130" w:lineRule="exact"/>
              <w:rPr>
                <w:sz w:val="20"/>
                <w:szCs w:val="20"/>
                <w:color w:val="auto"/>
              </w:rPr>
            </w:pPr>
            <w:r>
              <w:rPr>
                <w:rFonts w:ascii="Arial" w:cs="Arial" w:eastAsia="Arial" w:hAnsi="Arial"/>
                <w:sz w:val="14"/>
                <w:szCs w:val="14"/>
                <w:color w:val="auto"/>
              </w:rPr>
              <w:t>HMN Holdco, LLC (g)</w:t>
            </w:r>
          </w:p>
        </w:tc>
        <w:tc>
          <w:tcPr>
            <w:tcW w:w="1740" w:type="dxa"/>
            <w:vAlign w:val="bottom"/>
            <w:gridSpan w:val="3"/>
          </w:tcPr>
          <w:p>
            <w:pPr>
              <w:ind w:left="60"/>
              <w:spacing w:after="0" w:line="130" w:lineRule="exact"/>
              <w:rPr>
                <w:sz w:val="20"/>
                <w:szCs w:val="20"/>
                <w:color w:val="auto"/>
              </w:rPr>
            </w:pPr>
            <w:r>
              <w:rPr>
                <w:rFonts w:ascii="Arial" w:cs="Arial" w:eastAsia="Arial" w:hAnsi="Arial"/>
                <w:sz w:val="14"/>
                <w:szCs w:val="14"/>
                <w:color w:val="auto"/>
              </w:rPr>
              <w:t>Media</w:t>
            </w:r>
          </w:p>
        </w:tc>
        <w:tc>
          <w:tcPr>
            <w:tcW w:w="2800" w:type="dxa"/>
            <w:vAlign w:val="bottom"/>
            <w:gridSpan w:val="2"/>
          </w:tcPr>
          <w:p>
            <w:pPr>
              <w:spacing w:after="0" w:line="130" w:lineRule="exact"/>
              <w:rPr>
                <w:sz w:val="20"/>
                <w:szCs w:val="20"/>
                <w:color w:val="auto"/>
              </w:rPr>
            </w:pPr>
            <w:r>
              <w:rPr>
                <w:rFonts w:ascii="Arial" w:cs="Arial" w:eastAsia="Arial" w:hAnsi="Arial"/>
                <w:sz w:val="14"/>
                <w:szCs w:val="14"/>
                <w:color w:val="auto"/>
              </w:rPr>
              <w:t>Warrants to Purchase Limited Liability</w:t>
            </w: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2"/>
          </w:tcPr>
          <w:p>
            <w:pPr>
              <w:spacing w:after="0"/>
              <w:rPr>
                <w:sz w:val="20"/>
                <w:szCs w:val="20"/>
                <w:color w:val="auto"/>
              </w:rPr>
            </w:pPr>
            <w:r>
              <w:rPr>
                <w:rFonts w:ascii="Arial" w:cs="Arial" w:eastAsia="Arial" w:hAnsi="Arial"/>
                <w:sz w:val="14"/>
                <w:szCs w:val="14"/>
                <w:color w:val="auto"/>
              </w:rPr>
              <w:t>Company Interests</w:t>
            </w:r>
          </w:p>
        </w:tc>
        <w:tc>
          <w:tcPr>
            <w:tcW w:w="80" w:type="dxa"/>
            <w:vAlign w:val="bottom"/>
          </w:tcPr>
          <w:p>
            <w:pPr>
              <w:spacing w:after="0"/>
              <w:rPr>
                <w:sz w:val="15"/>
                <w:szCs w:val="15"/>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8,139</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color w:val="auto"/>
              </w:rPr>
              <w:t>523,012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238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15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6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64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76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640" w:type="dxa"/>
            <w:vAlign w:val="bottom"/>
            <w:tcBorders>
              <w:top w:val="single" w:sz="8" w:color="auto"/>
            </w:tcBorders>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020" w:type="dxa"/>
            <w:vAlign w:val="bottom"/>
            <w:shd w:val="clear" w:color="auto" w:fill="CCEEFF"/>
          </w:tcPr>
          <w:p>
            <w:pPr>
              <w:spacing w:after="0"/>
              <w:rPr>
                <w:sz w:val="14"/>
                <w:szCs w:val="14"/>
                <w:color w:val="auto"/>
              </w:rPr>
            </w:pPr>
          </w:p>
        </w:tc>
        <w:tc>
          <w:tcPr>
            <w:tcW w:w="1380" w:type="dxa"/>
            <w:vAlign w:val="bottom"/>
            <w:shd w:val="clear" w:color="auto" w:fill="CCEEFF"/>
          </w:tcPr>
          <w:p>
            <w:pPr>
              <w:spacing w:after="0"/>
              <w:rPr>
                <w:sz w:val="14"/>
                <w:szCs w:val="14"/>
                <w:color w:val="auto"/>
              </w:rPr>
            </w:pPr>
          </w:p>
        </w:tc>
        <w:tc>
          <w:tcPr>
            <w:tcW w:w="3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Total Media</w:t>
            </w: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10,885,300</w:t>
            </w:r>
          </w:p>
        </w:tc>
        <w:tc>
          <w:tcPr>
            <w:tcW w:w="18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16,574,341</w:t>
            </w:r>
          </w:p>
        </w:tc>
        <w:tc>
          <w:tcPr>
            <w:tcW w:w="2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13.2%</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4"/>
                <w:szCs w:val="14"/>
                <w:color w:val="auto"/>
              </w:rPr>
              <w:t>Elyria Foundry Company, L.L.C. (d)</w:t>
            </w:r>
          </w:p>
        </w:tc>
        <w:tc>
          <w:tcPr>
            <w:tcW w:w="1380" w:type="dxa"/>
            <w:vAlign w:val="bottom"/>
            <w:vMerge w:val="restart"/>
          </w:tcPr>
          <w:p>
            <w:pPr>
              <w:spacing w:after="0"/>
              <w:rPr>
                <w:sz w:val="20"/>
                <w:szCs w:val="20"/>
                <w:color w:val="auto"/>
              </w:rPr>
            </w:pPr>
            <w:r>
              <w:rPr>
                <w:rFonts w:ascii="Arial" w:cs="Arial" w:eastAsia="Arial" w:hAnsi="Arial"/>
                <w:sz w:val="14"/>
                <w:szCs w:val="14"/>
                <w:color w:val="auto"/>
              </w:rPr>
              <w:t>Metals</w:t>
            </w:r>
          </w:p>
        </w:tc>
        <w:tc>
          <w:tcPr>
            <w:tcW w:w="3040" w:type="dxa"/>
            <w:vAlign w:val="bottom"/>
            <w:vMerge w:val="restart"/>
          </w:tcPr>
          <w:p>
            <w:pPr>
              <w:ind w:left="300"/>
              <w:spacing w:after="0"/>
              <w:rPr>
                <w:sz w:val="20"/>
                <w:szCs w:val="20"/>
                <w:color w:val="auto"/>
              </w:rPr>
            </w:pPr>
            <w:r>
              <w:rPr>
                <w:rFonts w:ascii="Arial" w:cs="Arial" w:eastAsia="Arial" w:hAnsi="Arial"/>
                <w:sz w:val="14"/>
                <w:szCs w:val="14"/>
                <w:color w:val="auto"/>
              </w:rPr>
              <w:t>Common Stock</w:t>
            </w:r>
          </w:p>
        </w:tc>
        <w:tc>
          <w:tcPr>
            <w:tcW w:w="140" w:type="dxa"/>
            <w:vAlign w:val="bottom"/>
          </w:tcPr>
          <w:p>
            <w:pPr>
              <w:spacing w:after="0" w:line="20" w:lineRule="exact"/>
              <w:rPr>
                <w:sz w:val="1"/>
                <w:szCs w:val="1"/>
                <w:color w:val="auto"/>
              </w:rPr>
            </w:pPr>
          </w:p>
        </w:tc>
        <w:tc>
          <w:tcPr>
            <w:tcW w:w="900" w:type="dxa"/>
            <w:vAlign w:val="bottom"/>
            <w:vMerge w:val="restart"/>
          </w:tcPr>
          <w:p>
            <w:pPr>
              <w:jc w:val="right"/>
              <w:ind w:right="188"/>
              <w:spacing w:after="0"/>
              <w:rPr>
                <w:sz w:val="20"/>
                <w:szCs w:val="20"/>
                <w:color w:val="auto"/>
              </w:rPr>
            </w:pPr>
            <w:r>
              <w:rPr>
                <w:rFonts w:ascii="Arial" w:cs="Arial" w:eastAsia="Arial" w:hAnsi="Arial"/>
                <w:sz w:val="14"/>
                <w:szCs w:val="14"/>
                <w:color w:val="auto"/>
              </w:rPr>
              <w:t>35,000</w:t>
            </w: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2"/>
            <w:vMerge w:val="continue"/>
          </w:tcPr>
          <w:p>
            <w:pPr>
              <w:spacing w:after="0"/>
              <w:rPr>
                <w:sz w:val="13"/>
                <w:szCs w:val="13"/>
                <w:color w:val="auto"/>
              </w:rPr>
            </w:pPr>
          </w:p>
        </w:tc>
        <w:tc>
          <w:tcPr>
            <w:tcW w:w="1380" w:type="dxa"/>
            <w:vAlign w:val="bottom"/>
            <w:vMerge w:val="continue"/>
          </w:tcPr>
          <w:p>
            <w:pPr>
              <w:spacing w:after="0"/>
              <w:rPr>
                <w:sz w:val="13"/>
                <w:szCs w:val="13"/>
                <w:color w:val="auto"/>
              </w:rPr>
            </w:pPr>
          </w:p>
        </w:tc>
        <w:tc>
          <w:tcPr>
            <w:tcW w:w="3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9,217,564</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2,026,150</w:t>
            </w:r>
          </w:p>
        </w:tc>
        <w:tc>
          <w:tcPr>
            <w:tcW w:w="200" w:type="dxa"/>
            <w:vAlign w:val="bottom"/>
            <w:vMerge w:val="continue"/>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Elyria Foundry Company, L.L.C. (d)</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Metals</w:t>
            </w:r>
          </w:p>
        </w:tc>
        <w:tc>
          <w:tcPr>
            <w:tcW w:w="3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Revolver 10.00% Cash, 3/31/2017</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9"/>
              </w:rPr>
              <w:t>8,500,000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8,500,000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6.8%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40" w:type="dxa"/>
            <w:vAlign w:val="bottom"/>
            <w:vMerge w:val="restart"/>
          </w:tcPr>
          <w:p>
            <w:pPr>
              <w:jc w:val="right"/>
              <w:spacing w:after="0"/>
              <w:rPr>
                <w:sz w:val="20"/>
                <w:szCs w:val="20"/>
                <w:color w:val="auto"/>
              </w:rPr>
            </w:pPr>
            <w:r>
              <w:rPr>
                <w:rFonts w:ascii="Arial" w:cs="Arial" w:eastAsia="Arial" w:hAnsi="Arial"/>
                <w:sz w:val="14"/>
                <w:szCs w:val="14"/>
                <w:color w:val="auto"/>
              </w:rPr>
              <w:t>Total Metals</w:t>
            </w: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30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304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rPr>
              <w:t>17,717,564</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10,526,150</w:t>
            </w:r>
          </w:p>
        </w:tc>
        <w:tc>
          <w:tcPr>
            <w:tcW w:w="200" w:type="dxa"/>
            <w:vAlign w:val="bottom"/>
          </w:tcPr>
          <w:p>
            <w:pPr>
              <w:spacing w:after="0"/>
              <w:rPr>
                <w:sz w:val="13"/>
                <w:szCs w:val="13"/>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8.4%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Mercury Network, LLC</w:t>
            </w:r>
          </w:p>
        </w:tc>
        <w:tc>
          <w:tcPr>
            <w:tcW w:w="13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Real Estate</w:t>
            </w:r>
          </w:p>
        </w:tc>
        <w:tc>
          <w:tcPr>
            <w:tcW w:w="30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97"/>
              </w:rPr>
              <w:t>First Lien Term Loan 9.75% Cash, 4/24/2020</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ind w:right="188"/>
              <w:spacing w:after="0" w:line="149" w:lineRule="exact"/>
              <w:rPr>
                <w:sz w:val="20"/>
                <w:szCs w:val="20"/>
                <w:color w:val="auto"/>
              </w:rPr>
            </w:pPr>
            <w:r>
              <w:rPr>
                <w:rFonts w:ascii="Arial" w:cs="Arial" w:eastAsia="Arial" w:hAnsi="Arial"/>
                <w:sz w:val="14"/>
                <w:szCs w:val="14"/>
                <w:color w:val="auto"/>
                <w:w w:val="99"/>
              </w:rPr>
              <w:t>9,025,000</w:t>
            </w: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8,944,211</w:t>
            </w: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9,025,000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tcPr>
          <w:p>
            <w:pPr>
              <w:spacing w:after="0" w:line="149" w:lineRule="exact"/>
              <w:rPr>
                <w:sz w:val="20"/>
                <w:szCs w:val="20"/>
                <w:color w:val="auto"/>
              </w:rPr>
            </w:pPr>
            <w:r>
              <w:rPr>
                <w:rFonts w:ascii="Arial" w:cs="Arial" w:eastAsia="Arial" w:hAnsi="Arial"/>
                <w:sz w:val="14"/>
                <w:szCs w:val="14"/>
                <w:color w:val="auto"/>
              </w:rPr>
              <w:t>Mercury Network, LLC (g)</w:t>
            </w:r>
          </w:p>
        </w:tc>
        <w:tc>
          <w:tcPr>
            <w:tcW w:w="1380" w:type="dxa"/>
            <w:vAlign w:val="bottom"/>
          </w:tcPr>
          <w:p>
            <w:pPr>
              <w:spacing w:after="0" w:line="149" w:lineRule="exact"/>
              <w:rPr>
                <w:sz w:val="20"/>
                <w:szCs w:val="20"/>
                <w:color w:val="auto"/>
              </w:rPr>
            </w:pPr>
            <w:r>
              <w:rPr>
                <w:rFonts w:ascii="Arial" w:cs="Arial" w:eastAsia="Arial" w:hAnsi="Arial"/>
                <w:sz w:val="14"/>
                <w:szCs w:val="14"/>
                <w:color w:val="auto"/>
              </w:rPr>
              <w:t>Real Estate</w:t>
            </w:r>
          </w:p>
        </w:tc>
        <w:tc>
          <w:tcPr>
            <w:tcW w:w="3040" w:type="dxa"/>
            <w:vAlign w:val="bottom"/>
          </w:tcPr>
          <w:p>
            <w:pPr>
              <w:ind w:left="300"/>
              <w:spacing w:after="0" w:line="149" w:lineRule="exact"/>
              <w:rPr>
                <w:sz w:val="20"/>
                <w:szCs w:val="20"/>
                <w:color w:val="auto"/>
              </w:rPr>
            </w:pPr>
            <w:r>
              <w:rPr>
                <w:rFonts w:ascii="Arial" w:cs="Arial" w:eastAsia="Arial" w:hAnsi="Arial"/>
                <w:sz w:val="14"/>
                <w:szCs w:val="14"/>
                <w:color w:val="auto"/>
              </w:rPr>
              <w:t>Common Stock</w:t>
            </w:r>
          </w:p>
        </w:tc>
        <w:tc>
          <w:tcPr>
            <w:tcW w:w="140" w:type="dxa"/>
            <w:vAlign w:val="bottom"/>
          </w:tcPr>
          <w:p>
            <w:pPr>
              <w:spacing w:after="0"/>
              <w:rPr>
                <w:sz w:val="12"/>
                <w:szCs w:val="12"/>
                <w:color w:val="auto"/>
              </w:rPr>
            </w:pPr>
          </w:p>
        </w:tc>
        <w:tc>
          <w:tcPr>
            <w:tcW w:w="900" w:type="dxa"/>
            <w:vAlign w:val="bottom"/>
          </w:tcPr>
          <w:p>
            <w:pPr>
              <w:jc w:val="right"/>
              <w:ind w:right="188"/>
              <w:spacing w:after="0" w:line="149" w:lineRule="exact"/>
              <w:rPr>
                <w:sz w:val="20"/>
                <w:szCs w:val="20"/>
                <w:color w:val="auto"/>
              </w:rPr>
            </w:pPr>
            <w:r>
              <w:rPr>
                <w:rFonts w:ascii="Arial" w:cs="Arial" w:eastAsia="Arial" w:hAnsi="Arial"/>
                <w:sz w:val="14"/>
                <w:szCs w:val="14"/>
                <w:color w:val="auto"/>
              </w:rPr>
              <w:t>413,043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413,043</w:t>
            </w:r>
          </w:p>
        </w:tc>
        <w:tc>
          <w:tcPr>
            <w:tcW w:w="104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512,173</w:t>
            </w:r>
          </w:p>
        </w:tc>
        <w:tc>
          <w:tcPr>
            <w:tcW w:w="8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0.4%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30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Total Real Estate</w:t>
            </w: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9,357,254</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9,537,173</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7.6%</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Sub Total Non-control/Non-affiliated investments</w:t>
            </w:r>
          </w:p>
        </w:tc>
        <w:tc>
          <w:tcPr>
            <w:tcW w:w="1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040" w:type="dxa"/>
            <w:vAlign w:val="bottom"/>
            <w:gridSpan w:val="2"/>
            <w:vMerge w:val="continue"/>
          </w:tcPr>
          <w:p>
            <w:pPr>
              <w:spacing w:after="0"/>
              <w:rPr>
                <w:sz w:val="14"/>
                <w:szCs w:val="14"/>
                <w:color w:val="auto"/>
              </w:rPr>
            </w:pPr>
          </w:p>
        </w:tc>
        <w:tc>
          <w:tcPr>
            <w:tcW w:w="138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line="155" w:lineRule="exact"/>
              <w:rPr>
                <w:sz w:val="20"/>
                <w:szCs w:val="20"/>
                <w:color w:val="auto"/>
              </w:rPr>
            </w:pPr>
            <w:r>
              <w:rPr>
                <w:rFonts w:ascii="Arial" w:cs="Arial" w:eastAsia="Arial" w:hAnsi="Arial"/>
                <w:sz w:val="14"/>
                <w:szCs w:val="14"/>
                <w:color w:val="auto"/>
                <w:w w:val="95"/>
              </w:rPr>
              <w:t>268,145,090</w:t>
            </w:r>
          </w:p>
        </w:tc>
        <w:tc>
          <w:tcPr>
            <w:tcW w:w="180" w:type="dxa"/>
            <w:vAlign w:val="bottom"/>
          </w:tcPr>
          <w:p>
            <w:pPr>
              <w:spacing w:after="0"/>
              <w:rPr>
                <w:sz w:val="14"/>
                <w:szCs w:val="14"/>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color w:val="auto"/>
              </w:rPr>
              <w:t>271,168,186</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216.6%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Control investments - 10.3% (b)</w:t>
            </w:r>
          </w:p>
        </w:tc>
        <w:tc>
          <w:tcPr>
            <w:tcW w:w="13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tcBorders>
              <w:top w:val="single" w:sz="8" w:color="auto"/>
            </w:tcBorders>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020" w:type="dxa"/>
            <w:vAlign w:val="bottom"/>
          </w:tcPr>
          <w:p>
            <w:pPr>
              <w:spacing w:after="0" w:line="130" w:lineRule="exact"/>
              <w:rPr>
                <w:sz w:val="20"/>
                <w:szCs w:val="20"/>
                <w:color w:val="auto"/>
              </w:rPr>
            </w:pPr>
            <w:r>
              <w:rPr>
                <w:rFonts w:ascii="Arial" w:cs="Arial" w:eastAsia="Arial" w:hAnsi="Arial"/>
                <w:sz w:val="14"/>
                <w:szCs w:val="14"/>
                <w:color w:val="auto"/>
                <w:w w:val="98"/>
              </w:rPr>
              <w:t>Saratoga Investment Corp. CLO 2013-1, Ltd. (a),</w:t>
            </w:r>
          </w:p>
        </w:tc>
        <w:tc>
          <w:tcPr>
            <w:tcW w:w="1380" w:type="dxa"/>
            <w:vAlign w:val="bottom"/>
          </w:tcPr>
          <w:p>
            <w:pPr>
              <w:spacing w:after="0" w:line="130" w:lineRule="exact"/>
              <w:rPr>
                <w:sz w:val="20"/>
                <w:szCs w:val="20"/>
                <w:color w:val="auto"/>
              </w:rPr>
            </w:pPr>
            <w:r>
              <w:rPr>
                <w:rFonts w:ascii="Arial" w:cs="Arial" w:eastAsia="Arial" w:hAnsi="Arial"/>
                <w:sz w:val="14"/>
                <w:szCs w:val="14"/>
                <w:color w:val="auto"/>
              </w:rPr>
              <w:t>Structured Finance</w:t>
            </w:r>
          </w:p>
        </w:tc>
        <w:tc>
          <w:tcPr>
            <w:tcW w:w="3040" w:type="dxa"/>
            <w:vAlign w:val="bottom"/>
          </w:tcPr>
          <w:p>
            <w:pPr>
              <w:ind w:left="300"/>
              <w:spacing w:after="0" w:line="130" w:lineRule="exact"/>
              <w:rPr>
                <w:sz w:val="20"/>
                <w:szCs w:val="20"/>
                <w:color w:val="auto"/>
              </w:rPr>
            </w:pPr>
            <w:r>
              <w:rPr>
                <w:rFonts w:ascii="Arial" w:cs="Arial" w:eastAsia="Arial" w:hAnsi="Arial"/>
                <w:sz w:val="14"/>
                <w:szCs w:val="14"/>
                <w:color w:val="auto"/>
                <w:w w:val="97"/>
              </w:rPr>
              <w:t>Other/Structured Finance Securities 16.14%,</w:t>
            </w:r>
          </w:p>
        </w:tc>
        <w:tc>
          <w:tcPr>
            <w:tcW w:w="1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020" w:type="dxa"/>
            <w:vAlign w:val="bottom"/>
          </w:tcPr>
          <w:p>
            <w:pPr>
              <w:ind w:left="140"/>
              <w:spacing w:after="0"/>
              <w:rPr>
                <w:sz w:val="20"/>
                <w:szCs w:val="20"/>
                <w:color w:val="auto"/>
              </w:rPr>
            </w:pPr>
            <w:r>
              <w:rPr>
                <w:rFonts w:ascii="Arial" w:cs="Arial" w:eastAsia="Arial" w:hAnsi="Arial"/>
                <w:sz w:val="14"/>
                <w:szCs w:val="14"/>
                <w:color w:val="auto"/>
              </w:rPr>
              <w:t>(d), (e), (f)</w:t>
            </w:r>
          </w:p>
        </w:tc>
        <w:tc>
          <w:tcPr>
            <w:tcW w:w="1380" w:type="dxa"/>
            <w:vAlign w:val="bottom"/>
          </w:tcPr>
          <w:p>
            <w:pPr>
              <w:spacing w:after="0"/>
              <w:rPr>
                <w:sz w:val="20"/>
                <w:szCs w:val="20"/>
                <w:color w:val="auto"/>
              </w:rPr>
            </w:pPr>
            <w:r>
              <w:rPr>
                <w:rFonts w:ascii="Arial" w:cs="Arial" w:eastAsia="Arial" w:hAnsi="Arial"/>
                <w:sz w:val="14"/>
                <w:szCs w:val="14"/>
                <w:color w:val="auto"/>
              </w:rPr>
              <w:t>Securities</w:t>
            </w:r>
          </w:p>
        </w:tc>
        <w:tc>
          <w:tcPr>
            <w:tcW w:w="3040" w:type="dxa"/>
            <w:vAlign w:val="bottom"/>
          </w:tcPr>
          <w:p>
            <w:pPr>
              <w:ind w:left="300"/>
              <w:spacing w:after="0"/>
              <w:rPr>
                <w:sz w:val="20"/>
                <w:szCs w:val="20"/>
                <w:color w:val="auto"/>
              </w:rPr>
            </w:pPr>
            <w:r>
              <w:rPr>
                <w:rFonts w:ascii="Arial" w:cs="Arial" w:eastAsia="Arial" w:hAnsi="Arial"/>
                <w:sz w:val="14"/>
                <w:szCs w:val="14"/>
                <w:color w:val="auto"/>
              </w:rPr>
              <w:t>10/17/2023</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ind w:right="188"/>
              <w:spacing w:after="0"/>
              <w:rPr>
                <w:sz w:val="20"/>
                <w:szCs w:val="20"/>
                <w:color w:val="auto"/>
              </w:rPr>
            </w:pPr>
            <w:r>
              <w:rPr>
                <w:rFonts w:ascii="Arial" w:cs="Arial" w:eastAsia="Arial" w:hAnsi="Arial"/>
                <w:sz w:val="14"/>
                <w:szCs w:val="14"/>
                <w:color w:val="auto"/>
                <w:w w:val="88"/>
              </w:rPr>
              <w:t>30,000,000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13,030,751</w:t>
            </w:r>
          </w:p>
        </w:tc>
        <w:tc>
          <w:tcPr>
            <w:tcW w:w="18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12,827,980</w:t>
            </w:r>
          </w:p>
        </w:tc>
        <w:tc>
          <w:tcPr>
            <w:tcW w:w="200" w:type="dxa"/>
            <w:vAlign w:val="bottom"/>
          </w:tcPr>
          <w:p>
            <w:pPr>
              <w:spacing w:after="0"/>
              <w:rPr>
                <w:sz w:val="14"/>
                <w:szCs w:val="14"/>
                <w:color w:val="auto"/>
              </w:rPr>
            </w:pP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0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30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Sub Total Control investments</w:t>
            </w:r>
          </w:p>
        </w:tc>
        <w:tc>
          <w:tcPr>
            <w:tcW w:w="1380" w:type="dxa"/>
            <w:vAlign w:val="bottom"/>
            <w:shd w:val="clear" w:color="auto" w:fill="CCEEFF"/>
          </w:tcPr>
          <w:p>
            <w:pPr>
              <w:spacing w:after="0"/>
              <w:rPr>
                <w:sz w:val="12"/>
                <w:szCs w:val="12"/>
                <w:color w:val="auto"/>
              </w:rPr>
            </w:pPr>
          </w:p>
        </w:tc>
        <w:tc>
          <w:tcPr>
            <w:tcW w:w="30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13,030,751</w:t>
            </w: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12,827,980</w:t>
            </w:r>
          </w:p>
        </w:tc>
        <w:tc>
          <w:tcPr>
            <w:tcW w:w="2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10.3%</w:t>
            </w: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TOTAL INVESTMENTS - 226.9% (b)</w:t>
            </w:r>
          </w:p>
        </w:tc>
        <w:tc>
          <w:tcPr>
            <w:tcW w:w="1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3040" w:type="dxa"/>
            <w:vAlign w:val="bottom"/>
            <w:gridSpan w:val="2"/>
            <w:vMerge w:val="continue"/>
          </w:tcPr>
          <w:p>
            <w:pPr>
              <w:spacing w:after="0"/>
              <w:rPr>
                <w:sz w:val="13"/>
                <w:szCs w:val="13"/>
                <w:color w:val="auto"/>
              </w:rPr>
            </w:pPr>
          </w:p>
        </w:tc>
        <w:tc>
          <w:tcPr>
            <w:tcW w:w="1380" w:type="dxa"/>
            <w:vAlign w:val="bottom"/>
          </w:tcPr>
          <w:p>
            <w:pPr>
              <w:spacing w:after="0"/>
              <w:rPr>
                <w:sz w:val="13"/>
                <w:szCs w:val="13"/>
                <w:color w:val="auto"/>
              </w:rPr>
            </w:pPr>
          </w:p>
        </w:tc>
        <w:tc>
          <w:tcPr>
            <w:tcW w:w="30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b w:val="1"/>
                <w:bCs w:val="1"/>
                <w:color w:val="auto"/>
                <w:w w:val="71"/>
              </w:rPr>
              <w:t>$</w:t>
            </w:r>
          </w:p>
        </w:tc>
        <w:tc>
          <w:tcPr>
            <w:tcW w:w="7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5"/>
              </w:rPr>
              <w:t>281,175,841</w:t>
            </w:r>
          </w:p>
        </w:tc>
        <w:tc>
          <w:tcPr>
            <w:tcW w:w="180" w:type="dxa"/>
            <w:vAlign w:val="bottom"/>
          </w:tcPr>
          <w:p>
            <w:pPr>
              <w:spacing w:after="0"/>
              <w:rPr>
                <w:sz w:val="13"/>
                <w:szCs w:val="13"/>
                <w:color w:val="auto"/>
              </w:rPr>
            </w:pPr>
          </w:p>
        </w:tc>
        <w:tc>
          <w:tcPr>
            <w:tcW w:w="84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91"/>
              </w:rPr>
              <w:t>$ 283,996,166</w:t>
            </w:r>
          </w:p>
        </w:tc>
        <w:tc>
          <w:tcPr>
            <w:tcW w:w="200" w:type="dxa"/>
            <w:vAlign w:val="bottom"/>
          </w:tcPr>
          <w:p>
            <w:pPr>
              <w:spacing w:after="0"/>
              <w:rPr>
                <w:sz w:val="13"/>
                <w:szCs w:val="13"/>
                <w:color w:val="auto"/>
              </w:rPr>
            </w:pPr>
          </w:p>
        </w:tc>
        <w:tc>
          <w:tcPr>
            <w:tcW w:w="820" w:type="dxa"/>
            <w:vAlign w:val="bottom"/>
            <w:gridSpan w:val="2"/>
          </w:tcPr>
          <w:p>
            <w:pPr>
              <w:jc w:val="right"/>
              <w:ind w:right="40"/>
              <w:spacing w:after="0" w:line="155" w:lineRule="exact"/>
              <w:rPr>
                <w:sz w:val="20"/>
                <w:szCs w:val="20"/>
                <w:color w:val="auto"/>
              </w:rPr>
            </w:pPr>
            <w:r>
              <w:rPr>
                <w:rFonts w:ascii="Arial" w:cs="Arial" w:eastAsia="Arial" w:hAnsi="Arial"/>
                <w:sz w:val="14"/>
                <w:szCs w:val="14"/>
                <w:b w:val="1"/>
                <w:bCs w:val="1"/>
                <w:color w:val="auto"/>
              </w:rPr>
              <w:t>226.9%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Principal</w:t>
            </w:r>
          </w:p>
        </w:tc>
        <w:tc>
          <w:tcPr>
            <w:tcW w:w="380" w:type="dxa"/>
            <w:vAlign w:val="bottom"/>
          </w:tcPr>
          <w:p>
            <w:pPr>
              <w:spacing w:after="0"/>
              <w:rPr>
                <w:sz w:val="14"/>
                <w:szCs w:val="14"/>
                <w:color w:val="auto"/>
              </w:rPr>
            </w:pPr>
          </w:p>
        </w:tc>
        <w:tc>
          <w:tcPr>
            <w:tcW w:w="1060" w:type="dxa"/>
            <w:vAlign w:val="bottom"/>
            <w:gridSpan w:val="2"/>
            <w:vMerge w:val="restart"/>
          </w:tcPr>
          <w:p>
            <w:pPr>
              <w:jc w:val="center"/>
              <w:ind w:right="380"/>
              <w:spacing w:after="0"/>
              <w:rPr>
                <w:sz w:val="20"/>
                <w:szCs w:val="20"/>
                <w:color w:val="auto"/>
              </w:rPr>
            </w:pPr>
            <w:r>
              <w:rPr>
                <w:rFonts w:ascii="Arial" w:cs="Arial" w:eastAsia="Arial" w:hAnsi="Arial"/>
                <w:sz w:val="14"/>
                <w:szCs w:val="14"/>
                <w:b w:val="1"/>
                <w:bCs w:val="1"/>
                <w:color w:val="auto"/>
                <w:w w:val="89"/>
              </w:rPr>
              <w:t>Cost</w:t>
            </w:r>
          </w:p>
        </w:tc>
        <w:tc>
          <w:tcPr>
            <w:tcW w:w="1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2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8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42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 and cash and cash equivalents, reserve accounts - 5.6%</w:t>
            </w:r>
          </w:p>
        </w:tc>
        <w:tc>
          <w:tcPr>
            <w:tcW w:w="66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38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spacing w:after="0"/>
              <w:rPr>
                <w:sz w:val="11"/>
                <w:szCs w:val="11"/>
                <w:color w:val="auto"/>
              </w:rPr>
            </w:pPr>
          </w:p>
        </w:tc>
        <w:tc>
          <w:tcPr>
            <w:tcW w:w="400" w:type="dxa"/>
            <w:vAlign w:val="bottom"/>
            <w:tcBorders>
              <w:top w:val="single" w:sz="8" w:color="CCEEFF"/>
            </w:tcBorders>
            <w:shd w:val="clear" w:color="auto" w:fill="CCEEFF"/>
          </w:tcPr>
          <w:p>
            <w:pPr>
              <w:spacing w:after="0"/>
              <w:rPr>
                <w:sz w:val="11"/>
                <w:szCs w:val="11"/>
                <w:color w:val="auto"/>
              </w:rPr>
            </w:pPr>
          </w:p>
        </w:tc>
        <w:tc>
          <w:tcPr>
            <w:tcW w:w="640" w:type="dxa"/>
            <w:vAlign w:val="bottom"/>
            <w:tcBorders>
              <w:top w:val="single" w:sz="8" w:color="auto"/>
            </w:tcBorders>
            <w:shd w:val="clear" w:color="auto" w:fill="CCEEFF"/>
          </w:tcPr>
          <w:p>
            <w:pPr>
              <w:spacing w:after="0"/>
              <w:rPr>
                <w:sz w:val="11"/>
                <w:szCs w:val="11"/>
                <w:color w:val="auto"/>
              </w:rPr>
            </w:pPr>
          </w:p>
        </w:tc>
        <w:tc>
          <w:tcPr>
            <w:tcW w:w="18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420" w:type="dxa"/>
            <w:vAlign w:val="bottom"/>
          </w:tcPr>
          <w:p>
            <w:pPr>
              <w:spacing w:after="0" w:line="149" w:lineRule="exact"/>
              <w:rPr>
                <w:sz w:val="20"/>
                <w:szCs w:val="20"/>
                <w:color w:val="auto"/>
              </w:rPr>
            </w:pPr>
            <w:r>
              <w:rPr>
                <w:rFonts w:ascii="Arial" w:cs="Arial" w:eastAsia="Arial" w:hAnsi="Arial"/>
                <w:sz w:val="14"/>
                <w:szCs w:val="14"/>
                <w:color w:val="auto"/>
              </w:rPr>
              <w:t>U.S. Bank Money Market (l)</w:t>
            </w:r>
          </w:p>
        </w:tc>
        <w:tc>
          <w:tcPr>
            <w:tcW w:w="660" w:type="dxa"/>
            <w:vAlign w:val="bottom"/>
          </w:tcPr>
          <w:p>
            <w:pPr>
              <w:jc w:val="center"/>
              <w:spacing w:after="0" w:line="149" w:lineRule="exact"/>
              <w:rPr>
                <w:sz w:val="20"/>
                <w:szCs w:val="20"/>
                <w:color w:val="auto"/>
              </w:rPr>
            </w:pPr>
            <w:r>
              <w:rPr>
                <w:rFonts w:ascii="Arial" w:cs="Arial" w:eastAsia="Arial" w:hAnsi="Arial"/>
                <w:sz w:val="14"/>
                <w:szCs w:val="14"/>
                <w:u w:val="single" w:color="auto"/>
                <w:color w:val="auto"/>
                <w:w w:val="94"/>
              </w:rPr>
              <w:t>$</w:t>
            </w:r>
            <w:r>
              <w:rPr>
                <w:rFonts w:ascii="Arial" w:cs="Arial" w:eastAsia="Arial" w:hAnsi="Arial"/>
                <w:sz w:val="14"/>
                <w:szCs w:val="14"/>
                <w:color w:val="auto"/>
                <w:w w:val="94"/>
              </w:rPr>
              <w:t>7,034,783</w:t>
            </w:r>
          </w:p>
        </w:tc>
        <w:tc>
          <w:tcPr>
            <w:tcW w:w="380" w:type="dxa"/>
            <w:vAlign w:val="bottom"/>
          </w:tcPr>
          <w:p>
            <w:pPr>
              <w:spacing w:after="0"/>
              <w:rPr>
                <w:sz w:val="12"/>
                <w:szCs w:val="12"/>
                <w:color w:val="auto"/>
              </w:rPr>
            </w:pPr>
          </w:p>
        </w:tc>
        <w:tc>
          <w:tcPr>
            <w:tcW w:w="680" w:type="dxa"/>
            <w:vAlign w:val="bottom"/>
          </w:tcPr>
          <w:p>
            <w:pPr>
              <w:jc w:val="center"/>
              <w:spacing w:after="0" w:line="149" w:lineRule="exact"/>
              <w:rPr>
                <w:sz w:val="20"/>
                <w:szCs w:val="20"/>
                <w:color w:val="auto"/>
              </w:rPr>
            </w:pPr>
            <w:r>
              <w:rPr>
                <w:rFonts w:ascii="Arial" w:cs="Arial" w:eastAsia="Arial" w:hAnsi="Arial"/>
                <w:sz w:val="14"/>
                <w:szCs w:val="14"/>
                <w:u w:val="single" w:color="auto"/>
                <w:color w:val="auto"/>
                <w:w w:val="96"/>
              </w:rPr>
              <w:t>$</w:t>
            </w:r>
            <w:r>
              <w:rPr>
                <w:rFonts w:ascii="Arial" w:cs="Arial" w:eastAsia="Arial" w:hAnsi="Arial"/>
                <w:sz w:val="14"/>
                <w:szCs w:val="14"/>
                <w:color w:val="auto"/>
                <w:w w:val="96"/>
              </w:rPr>
              <w:t>7,034,783</w:t>
            </w:r>
          </w:p>
        </w:tc>
        <w:tc>
          <w:tcPr>
            <w:tcW w:w="380" w:type="dxa"/>
            <w:vAlign w:val="bottom"/>
          </w:tcPr>
          <w:p>
            <w:pPr>
              <w:spacing w:after="0"/>
              <w:rPr>
                <w:sz w:val="12"/>
                <w:szCs w:val="12"/>
                <w:color w:val="auto"/>
              </w:rPr>
            </w:pPr>
          </w:p>
        </w:tc>
        <w:tc>
          <w:tcPr>
            <w:tcW w:w="1060" w:type="dxa"/>
            <w:vAlign w:val="bottom"/>
            <w:gridSpan w:val="2"/>
          </w:tcPr>
          <w:p>
            <w:pPr>
              <w:spacing w:after="0" w:line="149" w:lineRule="exact"/>
              <w:rPr>
                <w:sz w:val="20"/>
                <w:szCs w:val="20"/>
                <w:color w:val="auto"/>
              </w:rPr>
            </w:pPr>
            <w:r>
              <w:rPr>
                <w:rFonts w:ascii="Arial" w:cs="Arial" w:eastAsia="Arial" w:hAnsi="Arial"/>
                <w:sz w:val="14"/>
                <w:szCs w:val="14"/>
                <w:u w:val="single" w:color="auto"/>
                <w:color w:val="auto"/>
              </w:rPr>
              <w:t>$</w:t>
            </w:r>
            <w:r>
              <w:rPr>
                <w:rFonts w:ascii="Arial" w:cs="Arial" w:eastAsia="Arial" w:hAnsi="Arial"/>
                <w:sz w:val="14"/>
                <w:szCs w:val="14"/>
                <w:color w:val="auto"/>
              </w:rPr>
              <w:t>7,034,783</w:t>
            </w:r>
          </w:p>
        </w:tc>
        <w:tc>
          <w:tcPr>
            <w:tcW w:w="820" w:type="dxa"/>
            <w:vAlign w:val="bottom"/>
            <w:gridSpan w:val="2"/>
          </w:tcPr>
          <w:p>
            <w:pPr>
              <w:ind w:left="460"/>
              <w:spacing w:after="0" w:line="149" w:lineRule="exact"/>
              <w:rPr>
                <w:sz w:val="20"/>
                <w:szCs w:val="20"/>
                <w:color w:val="auto"/>
              </w:rPr>
            </w:pPr>
            <w:r>
              <w:rPr>
                <w:rFonts w:ascii="Arial" w:cs="Arial" w:eastAsia="Arial" w:hAnsi="Arial"/>
                <w:sz w:val="14"/>
                <w:szCs w:val="14"/>
                <w:color w:val="auto"/>
              </w:rPr>
              <w:t>5.6%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42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742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 and cash and cash equivalents, reserve accounts</w:t>
            </w:r>
          </w:p>
        </w:tc>
        <w:tc>
          <w:tcPr>
            <w:tcW w:w="66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u w:val="single" w:color="auto"/>
                <w:color w:val="auto"/>
                <w:w w:val="94"/>
              </w:rPr>
              <w:t>$</w:t>
            </w:r>
            <w:r>
              <w:rPr>
                <w:rFonts w:ascii="Arial" w:cs="Arial" w:eastAsia="Arial" w:hAnsi="Arial"/>
                <w:sz w:val="14"/>
                <w:szCs w:val="14"/>
                <w:b w:val="1"/>
                <w:bCs w:val="1"/>
                <w:color w:val="auto"/>
                <w:w w:val="94"/>
              </w:rPr>
              <w:t>7,034,783</w:t>
            </w:r>
          </w:p>
        </w:tc>
        <w:tc>
          <w:tcPr>
            <w:tcW w:w="380" w:type="dxa"/>
            <w:vAlign w:val="bottom"/>
            <w:shd w:val="clear" w:color="auto" w:fill="CCEEFF"/>
          </w:tcPr>
          <w:p>
            <w:pPr>
              <w:spacing w:after="0"/>
              <w:rPr>
                <w:sz w:val="12"/>
                <w:szCs w:val="12"/>
                <w:color w:val="auto"/>
              </w:rPr>
            </w:pPr>
          </w:p>
        </w:tc>
        <w:tc>
          <w:tcPr>
            <w:tcW w:w="680" w:type="dxa"/>
            <w:vAlign w:val="bottom"/>
            <w:shd w:val="clear" w:color="auto" w:fill="CCEEFF"/>
          </w:tcPr>
          <w:p>
            <w:pPr>
              <w:jc w:val="center"/>
              <w:spacing w:after="0" w:line="149" w:lineRule="exact"/>
              <w:rPr>
                <w:sz w:val="20"/>
                <w:szCs w:val="20"/>
                <w:color w:val="auto"/>
              </w:rPr>
            </w:pP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7,034,783</w:t>
            </w:r>
          </w:p>
        </w:tc>
        <w:tc>
          <w:tcPr>
            <w:tcW w:w="38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7,034,783</w:t>
            </w:r>
          </w:p>
        </w:tc>
        <w:tc>
          <w:tcPr>
            <w:tcW w:w="820" w:type="dxa"/>
            <w:vAlign w:val="bottom"/>
            <w:gridSpan w:val="2"/>
            <w:shd w:val="clear" w:color="auto" w:fill="CCEEFF"/>
          </w:tcPr>
          <w:p>
            <w:pPr>
              <w:ind w:left="460"/>
              <w:spacing w:after="0" w:line="149" w:lineRule="exact"/>
              <w:rPr>
                <w:sz w:val="20"/>
                <w:szCs w:val="20"/>
                <w:color w:val="auto"/>
              </w:rPr>
            </w:pPr>
            <w:r>
              <w:rPr>
                <w:rFonts w:ascii="Arial" w:cs="Arial" w:eastAsia="Arial" w:hAnsi="Arial"/>
                <w:sz w:val="14"/>
                <w:szCs w:val="14"/>
                <w:b w:val="1"/>
                <w:bCs w:val="1"/>
                <w:color w:val="auto"/>
              </w:rPr>
              <w:t>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5.2%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$125,149,875 as of February 29, 2016.</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26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16.14% interest rate in the table above represents the effective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180" w:type="dxa"/>
            <w:vAlign w:val="bottom"/>
          </w:tcPr>
          <w:p>
            <w:pPr>
              <w:spacing w:after="0"/>
              <w:rPr>
                <w:sz w:val="14"/>
                <w:szCs w:val="14"/>
                <w:color w:val="auto"/>
              </w:rPr>
            </w:pPr>
          </w:p>
        </w:tc>
        <w:tc>
          <w:tcPr>
            <w:tcW w:w="8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7"/>
              </w:rPr>
              <w:t>Redemptions</w:t>
            </w:r>
          </w:p>
        </w:tc>
        <w:tc>
          <w:tcPr>
            <w:tcW w:w="38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7"/>
              </w:rPr>
              <w:t>Sales</w:t>
            </w:r>
          </w:p>
        </w:tc>
        <w:tc>
          <w:tcPr>
            <w:tcW w:w="380" w:type="dxa"/>
            <w:vAlign w:val="bottom"/>
          </w:tcPr>
          <w:p>
            <w:pPr>
              <w:spacing w:after="0"/>
              <w:rPr>
                <w:sz w:val="14"/>
                <w:szCs w:val="14"/>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4"/>
              </w:rPr>
              <w:t>Interest</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Management</w:t>
            </w:r>
          </w:p>
        </w:tc>
        <w:tc>
          <w:tcPr>
            <w:tcW w:w="38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Net Realized</w:t>
            </w:r>
          </w:p>
        </w:tc>
        <w:tc>
          <w:tcPr>
            <w:tcW w:w="360" w:type="dxa"/>
            <w:vAlign w:val="bottom"/>
          </w:tcPr>
          <w:p>
            <w:pPr>
              <w:spacing w:after="0"/>
              <w:rPr>
                <w:sz w:val="14"/>
                <w:szCs w:val="14"/>
                <w:color w:val="auto"/>
              </w:rPr>
            </w:pPr>
          </w:p>
        </w:tc>
        <w:tc>
          <w:tcPr>
            <w:tcW w:w="10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3880" w:type="dxa"/>
            <w:vAlign w:val="bottom"/>
            <w:gridSpan w:val="2"/>
            <w:vMerge w:val="continue"/>
          </w:tcPr>
          <w:p>
            <w:pPr>
              <w:spacing w:after="0"/>
              <w:rPr>
                <w:sz w:val="14"/>
                <w:szCs w:val="14"/>
                <w:color w:val="auto"/>
              </w:rPr>
            </w:pPr>
          </w:p>
        </w:tc>
        <w:tc>
          <w:tcPr>
            <w:tcW w:w="80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20"/>
                <w:szCs w:val="20"/>
                <w:color w:val="auto"/>
              </w:rPr>
            </w:pPr>
            <w:r>
              <w:rPr>
                <w:rFonts w:ascii="Arial" w:cs="Arial" w:eastAsia="Arial" w:hAnsi="Arial"/>
                <w:sz w:val="14"/>
                <w:szCs w:val="14"/>
                <w:b w:val="1"/>
                <w:bCs w:val="1"/>
                <w:color w:val="auto"/>
                <w:w w:val="83"/>
              </w:rPr>
              <w:t>(Cost)</w:t>
            </w:r>
          </w:p>
        </w:tc>
        <w:tc>
          <w:tcPr>
            <w:tcW w:w="380" w:type="dxa"/>
            <w:vAlign w:val="bottom"/>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Income</w:t>
            </w: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0"/>
              </w:rPr>
              <w:t>Fee Income</w:t>
            </w:r>
          </w:p>
        </w:tc>
        <w:tc>
          <w:tcPr>
            <w:tcW w:w="3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87"/>
              </w:rPr>
              <w:t>Gains(Losses)</w:t>
            </w:r>
          </w:p>
        </w:tc>
        <w:tc>
          <w:tcPr>
            <w:tcW w:w="360" w:type="dxa"/>
            <w:vAlign w:val="bottom"/>
          </w:tcPr>
          <w:p>
            <w:pPr>
              <w:spacing w:after="0"/>
              <w:rPr>
                <w:sz w:val="14"/>
                <w:szCs w:val="14"/>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Depreciation</w:t>
            </w:r>
          </w:p>
        </w:tc>
        <w:tc>
          <w:tcPr>
            <w:tcW w:w="0" w:type="dxa"/>
            <w:vAlign w:val="bottom"/>
          </w:tcPr>
          <w:p>
            <w:pPr>
              <w:spacing w:after="0"/>
              <w:rPr>
                <w:sz w:val="1"/>
                <w:szCs w:val="1"/>
                <w:color w:val="auto"/>
              </w:rPr>
            </w:pPr>
          </w:p>
        </w:tc>
      </w:tr>
      <w:tr>
        <w:trPr>
          <w:trHeight w:val="210"/>
        </w:trPr>
        <w:tc>
          <w:tcPr>
            <w:tcW w:w="6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Saratoga</w:t>
            </w:r>
          </w:p>
        </w:tc>
        <w:tc>
          <w:tcPr>
            <w:tcW w:w="3280" w:type="dxa"/>
            <w:vAlign w:val="bottom"/>
            <w:tcBorders>
              <w:top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Investment Corp. CLO 2013-1, Ltd.</w:t>
            </w: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tcBorders>
              <w:top w:val="single" w:sz="8" w:color="auto"/>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2,665,648</w:t>
            </w:r>
          </w:p>
        </w:tc>
        <w:tc>
          <w:tcPr>
            <w:tcW w:w="3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1,494,779</w:t>
            </w:r>
          </w:p>
        </w:tc>
        <w:tc>
          <w:tcPr>
            <w:tcW w:w="3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(1,280,916</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29, 2016.</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Non-U.S. company. The principal place of business for Polar Holding Company, Ltd. is Canada.</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investment has an unfunded commitment as of February 29, 2016 (see Note 7 to the consolidated financial statements).</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entire commitment was unfunded at February 29, 2016. As such, no interest is being earned on this investment.</w:t>
      </w:r>
    </w:p>
    <w:p>
      <w:pPr>
        <w:spacing w:after="0" w:line="9" w:lineRule="exact"/>
        <w:rPr>
          <w:rFonts w:ascii="Arial" w:cs="Arial" w:eastAsia="Arial" w:hAnsi="Arial"/>
          <w:sz w:val="18"/>
          <w:szCs w:val="18"/>
          <w:color w:val="auto"/>
        </w:rPr>
      </w:pPr>
    </w:p>
    <w:p>
      <w:pPr>
        <w:ind w:left="460" w:right="280" w:hanging="452"/>
        <w:spacing w:after="0" w:line="261"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Included within cash and cash equivalents and cash and cash equivalents, reserve accounts in the Company’s Consolidated Statements of Assets and Liabilities as of February 29, 2016.</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7"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six months ended</w:t>
            </w:r>
          </w:p>
        </w:tc>
        <w:tc>
          <w:tcPr>
            <w:tcW w:w="4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2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August 31, 2016</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August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2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20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2280" w:type="dxa"/>
            <w:vAlign w:val="bottom"/>
            <w:gridSpan w:val="2"/>
          </w:tcPr>
          <w:p>
            <w:pPr>
              <w:ind w:left="20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5,142,330</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5,428,114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12,039,655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Net unrealized depreciation on investments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00"/>
              <w:spacing w:after="0"/>
              <w:rPr>
                <w:sz w:val="20"/>
                <w:szCs w:val="20"/>
                <w:color w:val="auto"/>
              </w:rPr>
            </w:pPr>
            <w:r>
              <w:rPr>
                <w:rFonts w:ascii="Arial" w:cs="Arial" w:eastAsia="Arial" w:hAnsi="Arial"/>
                <w:sz w:val="18"/>
                <w:szCs w:val="18"/>
                <w:color w:val="auto"/>
              </w:rPr>
              <w:t>(8,622,780)</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(583,739)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8,559,205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8,627,568</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DECREASE FROM SHAREHOLDER DISTRIBUTIONS:</w:t>
            </w:r>
          </w:p>
        </w:tc>
        <w:tc>
          <w:tcPr>
            <w:tcW w:w="2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Distributions declared</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(5,963,242)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(8,738,812)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w w:val="98"/>
              </w:rPr>
              <w:t>Net decrease in net assets from shareholder distributions</w:t>
            </w:r>
          </w:p>
        </w:tc>
        <w:tc>
          <w:tcPr>
            <w:tcW w:w="208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(5,963,242)</w:t>
            </w:r>
          </w:p>
        </w:tc>
        <w:tc>
          <w:tcPr>
            <w:tcW w:w="4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(8,738,812)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SHARE TRANSACTIONS: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Stock dividend distribution</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2,700,351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3,047,190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Repurchases of common stock</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(1,882,567)</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340"/>
              <w:spacing w:after="0"/>
              <w:rPr>
                <w:sz w:val="20"/>
                <w:szCs w:val="20"/>
                <w:color w:val="auto"/>
              </w:rPr>
            </w:pPr>
            <w:r>
              <w:rPr>
                <w:rFonts w:ascii="Arial" w:cs="Arial" w:eastAsia="Arial" w:hAnsi="Arial"/>
                <w:sz w:val="18"/>
                <w:szCs w:val="18"/>
                <w:color w:val="auto"/>
              </w:rPr>
              <w:t>Offering costs</w:t>
            </w:r>
          </w:p>
        </w:tc>
        <w:tc>
          <w:tcPr>
            <w:tcW w:w="2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(237,287)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700"/>
              <w:spacing w:after="0"/>
              <w:rPr>
                <w:sz w:val="20"/>
                <w:szCs w:val="20"/>
                <w:color w:val="auto"/>
              </w:rPr>
            </w:pPr>
            <w:r>
              <w:rPr>
                <w:rFonts w:ascii="Arial" w:cs="Arial" w:eastAsia="Arial" w:hAnsi="Arial"/>
                <w:sz w:val="18"/>
                <w:szCs w:val="18"/>
                <w:color w:val="auto"/>
                <w:w w:val="98"/>
              </w:rPr>
              <w:t>Net increase in net assets from capital share transactions</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817,784</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2,770,922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20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3,413,747</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2,659,678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2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125,149,875</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122,598,742</w:t>
            </w:r>
          </w:p>
        </w:tc>
        <w:tc>
          <w:tcPr>
            <w:tcW w:w="0" w:type="dxa"/>
            <w:vAlign w:val="bottom"/>
          </w:tcPr>
          <w:p>
            <w:pPr>
              <w:spacing w:after="0"/>
              <w:rPr>
                <w:sz w:val="1"/>
                <w:szCs w:val="1"/>
                <w:color w:val="auto"/>
              </w:rPr>
            </w:pPr>
          </w:p>
        </w:tc>
      </w:tr>
      <w:tr>
        <w:trPr>
          <w:trHeight w:val="223"/>
        </w:trPr>
        <w:tc>
          <w:tcPr>
            <w:tcW w:w="524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20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128,563,622</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125,258,420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22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22.39</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22.42</w:t>
            </w:r>
          </w:p>
        </w:tc>
        <w:tc>
          <w:tcPr>
            <w:tcW w:w="0" w:type="dxa"/>
            <w:vAlign w:val="bottom"/>
          </w:tcPr>
          <w:p>
            <w:pPr>
              <w:spacing w:after="0"/>
              <w:rPr>
                <w:sz w:val="1"/>
                <w:szCs w:val="1"/>
                <w:color w:val="auto"/>
              </w:rPr>
            </w:pPr>
          </w:p>
        </w:tc>
      </w:tr>
      <w:tr>
        <w:trPr>
          <w:trHeight w:val="324"/>
        </w:trPr>
        <w:tc>
          <w:tcPr>
            <w:tcW w:w="5240" w:type="dxa"/>
            <w:vAlign w:val="bottom"/>
            <w:gridSpan w:val="2"/>
          </w:tcPr>
          <w:p>
            <w:pPr>
              <w:spacing w:after="0"/>
              <w:rPr>
                <w:sz w:val="20"/>
                <w:szCs w:val="20"/>
                <w:color w:val="auto"/>
              </w:rPr>
            </w:pPr>
            <w:r>
              <w:rPr>
                <w:rFonts w:ascii="Arial" w:cs="Arial" w:eastAsia="Arial" w:hAnsi="Arial"/>
                <w:sz w:val="18"/>
                <w:szCs w:val="18"/>
                <w:color w:val="auto"/>
              </w:rPr>
              <w:t>Common shares outstanding at end of period</w:t>
            </w:r>
          </w:p>
        </w:tc>
        <w:tc>
          <w:tcPr>
            <w:tcW w:w="2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5,740,810</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5,586,254</w:t>
            </w: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52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2280" w:type="dxa"/>
            <w:vAlign w:val="bottom"/>
            <w:gridSpan w:val="2"/>
            <w:shd w:val="clear" w:color="auto" w:fill="CCEEFF"/>
          </w:tcPr>
          <w:p>
            <w:pPr>
              <w:ind w:left="20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(27,038,814)</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(27,216,301)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320" w:type="dxa"/>
            <w:vAlign w:val="bottom"/>
            <w:gridSpan w:val="5"/>
          </w:tcPr>
          <w:p>
            <w:pPr>
              <w:jc w:val="center"/>
              <w:ind w:left="199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2080" w:type="dxa"/>
            <w:vAlign w:val="bottom"/>
          </w:tcPr>
          <w:p>
            <w:pPr>
              <w:jc w:val="right"/>
              <w:ind w:right="147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August 31, 2016</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August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8,559,205</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8,627,568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PROVIDED BY (USED IN) OPERATING</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Payment-in-kind interest income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(276,597)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(828,420)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(254,323)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528,850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Amortization of premium on notes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Net realized gain from investments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(12,039,655)</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(3,783,193)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unrealized depreciation on investments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8,622,780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583,739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Proceeds from sales and redemptions of investments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70,867,907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34,772,774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Purchase of investments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(55,728,395)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(42,118,806)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(Increase) decrease in operating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Cash and cash equivalents, reserve accounts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(5,579,043)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6,086,197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Interest receivable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(198,008)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(220,056)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Management fee receivable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(881)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38,184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(228,717)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 from unsettled trades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15,097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Base management and incentive fees payable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689,563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(224,033)</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(260,729)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and debt fees payable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321,439</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139,806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Payable for repurchases of common stock</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(20,957)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Directors fees payable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13,500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Due to manager</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115,759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(13,141)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15,450,392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3,022,919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Borrowings on debt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Paydowns on debt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(18,200,000)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Issuance of notes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8,945,175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Payments of deferred debt financing costs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(313,400)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(350,607)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Repurchases of common stock</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(1,882,567)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(38,981)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Payments of cash dividends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(2,987,429)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(5,362,381)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(5,183,396)</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(4,406,794)</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10,266,996</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(1,383,875)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2,440,277</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1,888,158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12,707,273</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504,283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information: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Interest paid during the period</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3,887,472</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3,529,114</w:t>
            </w:r>
          </w:p>
        </w:tc>
        <w:tc>
          <w:tcPr>
            <w:tcW w:w="0" w:type="dxa"/>
            <w:vAlign w:val="bottom"/>
          </w:tcPr>
          <w:p>
            <w:pPr>
              <w:spacing w:after="0"/>
              <w:rPr>
                <w:sz w:val="1"/>
                <w:szCs w:val="1"/>
                <w:color w:val="auto"/>
              </w:rPr>
            </w:pPr>
          </w:p>
        </w:tc>
      </w:tr>
      <w:tr>
        <w:trPr>
          <w:trHeight w:val="94"/>
        </w:trPr>
        <w:tc>
          <w:tcPr>
            <w:tcW w:w="20" w:type="dxa"/>
            <w:vAlign w:val="bottom"/>
            <w:vMerge w:val="restart"/>
          </w:tcPr>
          <w:p>
            <w:pPr>
              <w:spacing w:after="0"/>
              <w:rPr>
                <w:sz w:val="8"/>
                <w:szCs w:val="8"/>
                <w:color w:val="auto"/>
              </w:rPr>
            </w:pPr>
          </w:p>
        </w:tc>
        <w:tc>
          <w:tcPr>
            <w:tcW w:w="65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Supplemental non-cash information:</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Payment-in-kind interest income</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276,597</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828,420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254,323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528,850</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442,921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Stock dividend distribution</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2,700,351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3,047,190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August 31, 2016</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Saratoga Investment Corp. (the “Company”, “we”, “our” and “us”) is a non-diversified closed-end management investment company incorporated in Maryland that has elected to be treated and is regulated as a business development company (“BDC”) under the Investment Company Act of 1940 (the “1940 Act”). The Company commenced operations on March 23, 2007 as GSC Investment Corp. and completed the initial public offering (“IPO”) on March 28, 2007. The Company has elected to be treated as a regulated investment company (“RIC”) under subchapter M of the Internal Revenue Code (the “Code”). The Company expects to continue to qualify and to elect to be treated, for tax purposes, as a RIC. The Company’s investment objective is to generate current income and, to a lesser extent, capital appreciation from its investments.</w:t>
      </w:r>
    </w:p>
    <w:p>
      <w:pPr>
        <w:spacing w:after="0" w:line="178"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connection with the consummation of a recapitalization transaction.</w:t>
      </w:r>
    </w:p>
    <w:p>
      <w:pPr>
        <w:spacing w:after="0" w:line="170" w:lineRule="exact"/>
        <w:rPr>
          <w:sz w:val="20"/>
          <w:szCs w:val="20"/>
          <w:color w:val="auto"/>
        </w:rPr>
      </w:pPr>
    </w:p>
    <w:p>
      <w:pPr>
        <w:ind w:right="540" w:firstLine="456"/>
        <w:spacing w:after="0" w:line="342" w:lineRule="auto"/>
        <w:rPr>
          <w:sz w:val="20"/>
          <w:szCs w:val="20"/>
          <w:color w:val="auto"/>
        </w:rPr>
      </w:pPr>
      <w:r>
        <w:rPr>
          <w:rFonts w:ascii="Arial" w:cs="Arial" w:eastAsia="Arial" w:hAnsi="Arial"/>
          <w:sz w:val="16"/>
          <w:szCs w:val="16"/>
          <w:color w:val="auto"/>
        </w:rPr>
        <w:t>The Company is externally managed and advised by the investment adviser, Saratoga Investment Advisors, LLC (the “Manager”), pursuant to a management agreement (the “Management Agreement”). Prior to July 30, 2010, the Company was managed and advised by GSCP (NJ), L.P.</w:t>
      </w:r>
    </w:p>
    <w:p>
      <w:pPr>
        <w:spacing w:after="0" w:line="124"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The Company has established wholly-owned subsidiaries, SIA Avionte, Inc., SIA Mercury, Inc., SIA TT, Inc., and SIA Vector, Inc., which are structured as Delaware entities, or tax blockers, to hold equity or equity-like investments in portfolio companies organized as limited liability companies, or LLCs (or other forms of pass through entities). Tax blockers are consolidated for accounting purposes, but are not consolidated for income tax purposes and may incur income tax expense as a result of their ownership of portfolio companies.</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(“U.S. GAAP”), are stated in U.S. Dollars and include the accounts of the Company and its special purpose financing subsidiary, Saratoga Investment Funding, LLC (previously known as GSC Investment Funding LLC). All intercompany accounts and transactions have been eliminated in consolidation. All references made to the “Company,” “we,” and “us” herein include Saratoga Investment Corp. and its consolidated subsidiaries, except as stated otherwise.</w:t>
      </w:r>
    </w:p>
    <w:p>
      <w:pPr>
        <w:spacing w:after="0" w:line="12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 xml:space="preserve">The Company and SBIC LP are both considered to be investment companies for financial reporting purposes and have applied the guidance in the Financial Accounting Standards Board (“FASB”) Accounting Standards Codification (“ASC”) Topic 946, </w:t>
      </w:r>
      <w:r>
        <w:rPr>
          <w:rFonts w:ascii="Arial" w:cs="Arial" w:eastAsia="Arial" w:hAnsi="Arial"/>
          <w:sz w:val="16"/>
          <w:szCs w:val="16"/>
          <w:i w:val="1"/>
          <w:iCs w:val="1"/>
          <w:color w:val="auto"/>
        </w:rPr>
        <w:t>“Financial Services — Investment Companies”</w:t>
      </w:r>
      <w:r>
        <w:rPr>
          <w:rFonts w:ascii="Arial" w:cs="Arial" w:eastAsia="Arial" w:hAnsi="Arial"/>
          <w:sz w:val="16"/>
          <w:szCs w:val="16"/>
          <w:color w:val="auto"/>
        </w:rPr>
        <w:t xml:space="preserve"> (“ASC Topic 946”). There have been no changes to the Company or SBIC LP’s status as investment companies during the six months ended August 31, 2016.</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140" w:firstLine="456"/>
        <w:spacing w:after="0" w:line="286" w:lineRule="auto"/>
        <w:rPr>
          <w:sz w:val="20"/>
          <w:szCs w:val="20"/>
          <w:color w:val="auto"/>
        </w:rPr>
      </w:pPr>
      <w:r>
        <w:rPr>
          <w:rFonts w:ascii="Arial" w:cs="Arial" w:eastAsia="Arial" w:hAnsi="Arial"/>
          <w:sz w:val="17"/>
          <w:szCs w:val="17"/>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the money market fund having an aggregate value in excess of 5.0% of the value of our total assets; or</w:t>
      </w:r>
    </w:p>
    <w:p>
      <w:pPr>
        <w:spacing w:after="0" w:line="130" w:lineRule="exact"/>
        <w:rPr>
          <w:rFonts w:ascii="Arial" w:cs="Arial" w:eastAsia="Arial" w:hAnsi="Arial"/>
          <w:sz w:val="18"/>
          <w:szCs w:val="18"/>
          <w:color w:val="auto"/>
        </w:rPr>
      </w:pPr>
    </w:p>
    <w:p>
      <w:pPr>
        <w:ind w:left="900" w:right="2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August 31, 2016, the Company did not exceed any of these limitations.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187"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In addition, cash and cash equivalents, reserve accounts also include amounts held in designated bank accounts, in the form of cash and short-term liquid investments in money market funds, within our wholly-owned subsidiary, SBIC LP.</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 xml:space="preserve">The Company accounts for its investments at fair value in accordance with the FASB ASC Topic 820, </w:t>
      </w:r>
      <w:r>
        <w:rPr>
          <w:rFonts w:ascii="Arial" w:cs="Arial" w:eastAsia="Arial" w:hAnsi="Arial"/>
          <w:sz w:val="17"/>
          <w:szCs w:val="17"/>
          <w:i w:val="1"/>
          <w:iCs w:val="1"/>
          <w:color w:val="auto"/>
        </w:rPr>
        <w:t>Fair Value Measurements and Disclosures</w:t>
      </w:r>
      <w:r>
        <w:rPr>
          <w:rFonts w:ascii="Arial" w:cs="Arial" w:eastAsia="Arial" w:hAnsi="Arial"/>
          <w:sz w:val="17"/>
          <w:szCs w:val="17"/>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60" w:hanging="325"/>
        <w:spacing w:after="0" w:line="27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900" w:right="140" w:hanging="325"/>
        <w:spacing w:after="0" w:line="264"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2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and approves each preliminary valuation and our Manager and independent valuation firm (if applicable) will supplement the preliminary valuation to reflect any comments provided by the audit committee; and</w:t>
      </w:r>
    </w:p>
    <w:p>
      <w:pPr>
        <w:spacing w:after="0" w:line="75"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7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rates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166" w:lineRule="exact"/>
        <w:rPr>
          <w:sz w:val="20"/>
          <w:szCs w:val="20"/>
          <w:color w:val="auto"/>
        </w:rPr>
      </w:pPr>
    </w:p>
    <w:p>
      <w:pPr>
        <w:ind w:right="100" w:firstLine="456"/>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Derivative Financial Instruments</w:t>
      </w:r>
    </w:p>
    <w:p>
      <w:pPr>
        <w:spacing w:after="0" w:line="12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 xml:space="preserve">We account for derivative financial instruments in accordance with ASC Topic 815, </w:t>
      </w:r>
      <w:r>
        <w:rPr>
          <w:rFonts w:ascii="Arial" w:cs="Arial" w:eastAsia="Arial" w:hAnsi="Arial"/>
          <w:sz w:val="18"/>
          <w:szCs w:val="18"/>
          <w:i w:val="1"/>
          <w:iCs w:val="1"/>
          <w:color w:val="auto"/>
        </w:rPr>
        <w:t>Derivatives and Hedging</w:t>
      </w:r>
      <w:r>
        <w:rPr>
          <w:rFonts w:ascii="Arial" w:cs="Arial" w:eastAsia="Arial" w:hAnsi="Arial"/>
          <w:sz w:val="18"/>
          <w:szCs w:val="18"/>
          <w:color w:val="auto"/>
        </w:rPr>
        <w:t xml:space="preserve"> (“ASC 815”). ASC 815 requires recognizing all derivative instruments as either assets or liabilities on the consolidated statements of assets and liabilities at fair value. The Company values derivative contracts at the closing fair value provided by the counterparty. Changes in the values of derivative contracts are included in the consolidated statements of operations.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60"/>
          </w:cols>
          <w:pgMar w:left="240" w:top="459" w:right="2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Interest income on our investment in Saratoga CLO is recorded using the effective interest method in accordance with the provisions of ASC</w:t>
      </w:r>
    </w:p>
    <w:p>
      <w:pPr>
        <w:spacing w:after="0" w:line="35"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 xml:space="preserve">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w:t>
      </w:r>
    </w:p>
    <w:p>
      <w:pPr>
        <w:spacing w:after="0" w:line="121"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Other income includes dividends received, origination fees, structuring fees and advisory fees, and is recorded in the consolidated statements of operations when earned.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Payment-in-Kind Interest</w:t>
      </w:r>
    </w:p>
    <w:p>
      <w:pPr>
        <w:spacing w:after="0" w:line="121" w:lineRule="exact"/>
        <w:rPr>
          <w:sz w:val="20"/>
          <w:szCs w:val="20"/>
          <w:color w:val="auto"/>
        </w:rPr>
      </w:pPr>
    </w:p>
    <w:p>
      <w:pPr>
        <w:ind w:right="22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jc w:val="both"/>
        <w:ind w:right="240" w:firstLine="456"/>
        <w:spacing w:after="0" w:line="264" w:lineRule="auto"/>
        <w:rPr>
          <w:sz w:val="20"/>
          <w:szCs w:val="20"/>
          <w:color w:val="auto"/>
        </w:rPr>
      </w:pPr>
      <w:r>
        <w:rPr>
          <w:rFonts w:ascii="Arial" w:cs="Arial" w:eastAsia="Arial" w:hAnsi="Arial"/>
          <w:sz w:val="18"/>
          <w:szCs w:val="18"/>
          <w:color w:val="auto"/>
        </w:rPr>
        <w:t>Financing costs incurred in connection with our credit facility and notes are deferred and amortized using the straight line method over the life of the respective facility and debt securities. Financing costs incurred in connection with our SBA debentures are deferred and amortized using the effective yield method over the life of the debentures.</w:t>
      </w:r>
    </w:p>
    <w:p>
      <w:pPr>
        <w:spacing w:after="0" w:line="181" w:lineRule="exact"/>
        <w:rPr>
          <w:sz w:val="20"/>
          <w:szCs w:val="20"/>
          <w:color w:val="auto"/>
        </w:rPr>
      </w:pPr>
    </w:p>
    <w:p>
      <w:pPr>
        <w:ind w:right="100" w:firstLine="456"/>
        <w:spacing w:after="0" w:line="257" w:lineRule="auto"/>
        <w:rPr>
          <w:sz w:val="20"/>
          <w:szCs w:val="20"/>
          <w:color w:val="auto"/>
        </w:rPr>
      </w:pPr>
      <w:r>
        <w:rPr>
          <w:rFonts w:ascii="Arial" w:cs="Arial" w:eastAsia="Arial" w:hAnsi="Arial"/>
          <w:sz w:val="18"/>
          <w:szCs w:val="18"/>
          <w:color w:val="auto"/>
        </w:rPr>
        <w:t xml:space="preserve">Accounting Standards Update (“ASU”) 2015-03, </w:t>
      </w:r>
      <w:r>
        <w:rPr>
          <w:rFonts w:ascii="Arial" w:cs="Arial" w:eastAsia="Arial" w:hAnsi="Arial"/>
          <w:sz w:val="18"/>
          <w:szCs w:val="18"/>
          <w:i w:val="1"/>
          <w:iCs w:val="1"/>
          <w:color w:val="auto"/>
        </w:rPr>
        <w:t>Interest—Imputation of Interest (Subtopic 835-30): Simplifying the Presentation of Debt Issuance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w:t>
      </w:r>
      <w:r>
        <w:rPr>
          <w:rFonts w:ascii="Arial" w:cs="Arial" w:eastAsia="Arial" w:hAnsi="Arial"/>
          <w:sz w:val="18"/>
          <w:szCs w:val="18"/>
          <w:color w:val="auto"/>
        </w:rPr>
        <w:t>(“ASU 2015-03”) requires that debt issuance costs related to a recognized debt liability be presented in the balance sheet as a direct deduction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carrying amount of that debt liability, consistent with debt discounts. The Company has adopted the provisions of ASU 2015-03 as of February 28, 2015, by reclassifying deferred debt financing costs from within total assets to within total liabilities as a contra-liability. Prior period amounts were reclassified to conform to the current period presentation.</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160" w:firstLine="456"/>
        <w:spacing w:after="0" w:line="286" w:lineRule="auto"/>
        <w:rPr>
          <w:sz w:val="20"/>
          <w:szCs w:val="20"/>
          <w:color w:val="auto"/>
        </w:rPr>
      </w:pPr>
      <w:r>
        <w:rPr>
          <w:rFonts w:ascii="Arial" w:cs="Arial" w:eastAsia="Arial" w:hAnsi="Arial"/>
          <w:sz w:val="17"/>
          <w:szCs w:val="17"/>
          <w:color w:val="auto"/>
        </w:rPr>
        <w:t>In the ordinary course of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 Therefore, the Company has not accrued any liabilities in connection with such indemnifications.</w:t>
      </w:r>
    </w:p>
    <w:p>
      <w:pPr>
        <w:spacing w:after="0" w:line="166"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87"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In accordance with certain applicable U.S. Treasury regulations and private letter rulings issued by the Internal Revenue Service (“IRS”),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 xml:space="preserve">ASC 740, </w:t>
      </w:r>
      <w:r>
        <w:rPr>
          <w:rFonts w:ascii="Arial" w:cs="Arial" w:eastAsia="Arial" w:hAnsi="Arial"/>
          <w:sz w:val="17"/>
          <w:szCs w:val="17"/>
          <w:i w:val="1"/>
          <w:iCs w:val="1"/>
          <w:color w:val="auto"/>
        </w:rPr>
        <w:t>Income Taxes</w:t>
      </w:r>
      <w:r>
        <w:rPr>
          <w:rFonts w:ascii="Arial" w:cs="Arial" w:eastAsia="Arial" w:hAnsi="Arial"/>
          <w:sz w:val="17"/>
          <w:szCs w:val="17"/>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on the consolidated statements of operations. During the fiscal year ended February 29, 2016, the Company did not incur any interest or penalties. Although we file federal and state tax returns, our major tax jurisdiction is federal. The 2013, 2014 and 2015 federal tax years for the Company remain subject to examination by the IRS. As of August 31, 2016 and February 29, 2016, there were no uncertain tax positions. The Company is not aware of any tax positions for which it is reasonably possible that the total amounts of unrecognized tax benefits will change significantly in the next 12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240" w:firstLine="456"/>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the DRIP by the dividend record date will have their cash dividends automatically reinvested into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Company records an expense accrual on the consolidated statements of operations, relating to the capital gains incentive fee payable on the consolidated statements of assets and liabilities, by the Company to its investment adviser when the net realized and unrealized gain on its investments exceed all net realized and unrealized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net of realized and unrealized losses for the period.</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Amendments to the Leases</w:t>
      </w:r>
      <w:r>
        <w:rPr>
          <w:rFonts w:ascii="Arial" w:cs="Arial" w:eastAsia="Arial" w:hAnsi="Arial"/>
          <w:sz w:val="18"/>
          <w:szCs w:val="18"/>
          <w:color w:val="auto"/>
        </w:rPr>
        <w:t xml:space="preserve"> (“ASC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87" w:lineRule="exact"/>
        <w:rPr>
          <w:sz w:val="20"/>
          <w:szCs w:val="20"/>
          <w:color w:val="auto"/>
        </w:rPr>
      </w:pPr>
    </w:p>
    <w:p>
      <w:pPr>
        <w:ind w:right="380" w:firstLine="456"/>
        <w:spacing w:after="0" w:line="264" w:lineRule="auto"/>
        <w:rPr>
          <w:sz w:val="20"/>
          <w:szCs w:val="20"/>
          <w:color w:val="auto"/>
        </w:rPr>
      </w:pPr>
      <w:r>
        <w:rPr>
          <w:rFonts w:ascii="Arial" w:cs="Arial" w:eastAsia="Arial" w:hAnsi="Arial"/>
          <w:sz w:val="18"/>
          <w:szCs w:val="18"/>
          <w:color w:val="auto"/>
        </w:rPr>
        <w:t xml:space="preserve">In January 2016, the FASB issued ASU 2016-01, </w:t>
      </w:r>
      <w:r>
        <w:rPr>
          <w:rFonts w:ascii="Arial" w:cs="Arial" w:eastAsia="Arial" w:hAnsi="Arial"/>
          <w:sz w:val="18"/>
          <w:szCs w:val="18"/>
          <w:i w:val="1"/>
          <w:iCs w:val="1"/>
          <w:color w:val="auto"/>
        </w:rPr>
        <w:t>Financial Instruments — Overall (Subtopic 825-10): Recognition and Measurement of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Assets and Financial Liabilities </w:t>
      </w:r>
      <w:r>
        <w:rPr>
          <w:rFonts w:ascii="Arial" w:cs="Arial" w:eastAsia="Arial" w:hAnsi="Arial"/>
          <w:sz w:val="18"/>
          <w:szCs w:val="18"/>
          <w:color w:val="auto"/>
        </w:rPr>
        <w:t>(“ASU 2016-01”). ASU 2016-01 retains many current requirements for the classification and measurement of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 however, it significantly revises an entity’s accounting related to (1)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classification and measurement of investments in equity securities and (2) 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the Company’s consolidated financial statements and disclosures.</w:t>
      </w:r>
    </w:p>
    <w:p>
      <w:pPr>
        <w:spacing w:after="0" w:line="154"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Company’s consolidated financial statements and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ind w:right="80" w:firstLine="456"/>
        <w:spacing w:after="0" w:line="342" w:lineRule="auto"/>
        <w:rPr>
          <w:sz w:val="20"/>
          <w:szCs w:val="20"/>
          <w:color w:val="auto"/>
        </w:rPr>
      </w:pPr>
      <w:r>
        <w:rPr>
          <w:rFonts w:ascii="Arial" w:cs="Arial" w:eastAsia="Arial" w:hAnsi="Arial"/>
          <w:sz w:val="16"/>
          <w:szCs w:val="16"/>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jc w:val="both"/>
        <w:ind w:right="60" w:firstLine="456"/>
        <w:spacing w:after="0" w:line="279" w:lineRule="auto"/>
        <w:rPr>
          <w:sz w:val="20"/>
          <w:szCs w:val="20"/>
          <w:color w:val="auto"/>
        </w:rPr>
      </w:pPr>
      <w:r>
        <w:rPr>
          <w:rFonts w:ascii="Arial" w:cs="Arial" w:eastAsia="Arial" w:hAnsi="Arial"/>
          <w:sz w:val="17"/>
          <w:szCs w:val="17"/>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71" w:lineRule="exact"/>
        <w:rPr>
          <w:sz w:val="20"/>
          <w:szCs w:val="20"/>
          <w:color w:val="auto"/>
        </w:rPr>
      </w:pPr>
    </w:p>
    <w:p>
      <w:pPr>
        <w:jc w:val="both"/>
        <w:ind w:right="220" w:firstLine="456"/>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900" w:hanging="325"/>
        <w:spacing w:after="0"/>
        <w:tabs>
          <w:tab w:leader="none" w:pos="9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Level 1—Valuations based on quoted prices in active markets for identical assets or liabilities that the Company has the ability to access.</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2—Valuations based on inputs other than quoted prices in active markets, which are either directly or indirectly observable.</w:t>
      </w:r>
    </w:p>
    <w:p>
      <w:pPr>
        <w:spacing w:after="0" w:line="130" w:lineRule="exact"/>
        <w:rPr>
          <w:rFonts w:ascii="Arial" w:cs="Arial" w:eastAsia="Arial" w:hAnsi="Arial"/>
          <w:sz w:val="18"/>
          <w:szCs w:val="18"/>
          <w:color w:val="auto"/>
        </w:rPr>
      </w:pPr>
    </w:p>
    <w:p>
      <w:pPr>
        <w:ind w:left="900" w:right="760" w:hanging="325"/>
        <w:spacing w:after="0" w:line="277"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140"/>
        <w:spacing w:after="0" w:line="264" w:lineRule="auto"/>
        <w:rPr>
          <w:sz w:val="20"/>
          <w:szCs w:val="20"/>
          <w:color w:val="auto"/>
        </w:rPr>
      </w:pPr>
      <w:r>
        <w:rPr>
          <w:rFonts w:ascii="Arial" w:cs="Arial" w:eastAsia="Arial" w:hAnsi="Arial"/>
          <w:sz w:val="18"/>
          <w:szCs w:val="18"/>
          <w:color w:val="auto"/>
        </w:rPr>
        <w:t>information may be the result of consensus pricing information or broker quotes which include a disclaimer that the broker would not be held to such a price in an actual transaction. The non-binding nature of consensus pricing and/or quotes accompanied by a disclaimer would result in classification as a Level 3 asset, assuming no additional corroborating evidence.</w:t>
      </w:r>
    </w:p>
    <w:p>
      <w:pPr>
        <w:spacing w:after="0" w:line="181" w:lineRule="exact"/>
        <w:rPr>
          <w:sz w:val="20"/>
          <w:szCs w:val="20"/>
          <w:color w:val="auto"/>
        </w:rPr>
      </w:pPr>
    </w:p>
    <w:p>
      <w:pPr>
        <w:ind w:right="80" w:firstLine="456"/>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valuation policy, we evaluate the source of inputs, including any markets in which our investments are trading, in determining fair value.</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August 31,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153,276</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153,276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87,024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87,024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11,917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11,917</w:t>
            </w:r>
          </w:p>
        </w:tc>
        <w:tc>
          <w:tcPr>
            <w:tcW w:w="100" w:type="dxa"/>
            <w:vAlign w:val="bottom"/>
          </w:tcPr>
          <w:p>
            <w:pPr>
              <w:spacing w:after="0"/>
              <w:rPr>
                <w:sz w:val="18"/>
                <w:szCs w:val="18"/>
                <w:color w:val="auto"/>
              </w:rPr>
            </w:pP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100" w:type="dxa"/>
            <w:vAlign w:val="bottom"/>
            <w:shd w:val="clear" w:color="auto" w:fill="CCEEFF"/>
          </w:tcPr>
          <w:p>
            <w:pPr>
              <w:spacing w:after="0"/>
              <w:rPr>
                <w:sz w:val="18"/>
                <w:szCs w:val="18"/>
                <w:color w:val="auto"/>
              </w:rPr>
            </w:pP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272,804</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272,804</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29, 2016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jc w:val="center"/>
              <w:ind w:right="20"/>
              <w:spacing w:after="0"/>
              <w:rPr>
                <w:sz w:val="20"/>
                <w:szCs w:val="20"/>
                <w:color w:val="auto"/>
              </w:rPr>
            </w:pPr>
            <w:r>
              <w:rPr>
                <w:rFonts w:ascii="Arial" w:cs="Arial" w:eastAsia="Arial" w:hAnsi="Arial"/>
                <w:sz w:val="14"/>
                <w:szCs w:val="14"/>
                <w:b w:val="1"/>
                <w:bCs w:val="1"/>
                <w:color w:val="auto"/>
                <w:w w:val="93"/>
              </w:rPr>
              <w:t>Fair Value Measurements</w:t>
            </w: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400"/>
              <w:spacing w:after="0" w:line="142" w:lineRule="exact"/>
              <w:rPr>
                <w:sz w:val="20"/>
                <w:szCs w:val="20"/>
                <w:color w:val="auto"/>
              </w:rPr>
            </w:pPr>
            <w:r>
              <w:rPr>
                <w:rFonts w:ascii="Arial" w:cs="Arial" w:eastAsia="Arial" w:hAnsi="Arial"/>
                <w:sz w:val="14"/>
                <w:szCs w:val="14"/>
                <w:b w:val="1"/>
                <w:bCs w:val="1"/>
                <w:color w:val="auto"/>
                <w:w w:val="92"/>
              </w:rPr>
              <w:t>Level 3</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right"/>
              <w:ind w:right="93"/>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144,643</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144,643</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88,178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88,178</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8"/>
                <w:szCs w:val="18"/>
                <w:color w:val="auto"/>
              </w:rPr>
              <w:t>12,828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12,828</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26,479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26,479</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283,996</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283,996</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2016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20" w:type="dxa"/>
            <w:vAlign w:val="bottom"/>
          </w:tcPr>
          <w:p>
            <w:pPr>
              <w:spacing w:after="0"/>
              <w:rPr>
                <w:sz w:val="14"/>
                <w:szCs w:val="14"/>
                <w:color w:val="auto"/>
              </w:rPr>
            </w:pPr>
          </w:p>
        </w:tc>
        <w:tc>
          <w:tcPr>
            <w:tcW w:w="86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100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First lien</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6"/>
              </w:rPr>
              <w:t>Second</w:t>
            </w:r>
          </w:p>
        </w:tc>
        <w:tc>
          <w:tcPr>
            <w:tcW w:w="100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96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720" w:type="dxa"/>
            <w:vAlign w:val="bottom"/>
          </w:tcPr>
          <w:p>
            <w:pPr>
              <w:spacing w:after="0"/>
              <w:rPr>
                <w:sz w:val="12"/>
                <w:szCs w:val="12"/>
                <w:color w:val="auto"/>
              </w:rPr>
            </w:pPr>
          </w:p>
        </w:tc>
        <w:tc>
          <w:tcPr>
            <w:tcW w:w="86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100" w:type="dxa"/>
            <w:vAlign w:val="bottom"/>
          </w:tcPr>
          <w:p>
            <w:pPr>
              <w:spacing w:after="0"/>
              <w:rPr>
                <w:sz w:val="12"/>
                <w:szCs w:val="12"/>
                <w:color w:val="auto"/>
              </w:rPr>
            </w:pPr>
          </w:p>
        </w:tc>
        <w:tc>
          <w:tcPr>
            <w:tcW w:w="90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9"/>
              </w:rPr>
              <w:t>finance</w:t>
            </w:r>
          </w:p>
        </w:tc>
        <w:tc>
          <w:tcPr>
            <w:tcW w:w="96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2"/>
              </w:rPr>
              <w:t>loans</w:t>
            </w:r>
          </w:p>
        </w:tc>
        <w:tc>
          <w:tcPr>
            <w:tcW w:w="120" w:type="dxa"/>
            <w:vAlign w:val="bottom"/>
          </w:tcPr>
          <w:p>
            <w:pPr>
              <w:spacing w:after="0"/>
              <w:rPr>
                <w:sz w:val="14"/>
                <w:szCs w:val="14"/>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term loans</w:t>
            </w:r>
          </w:p>
        </w:tc>
        <w:tc>
          <w:tcPr>
            <w:tcW w:w="9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term loans</w:t>
            </w:r>
          </w:p>
        </w:tc>
        <w:tc>
          <w:tcPr>
            <w:tcW w:w="100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securities</w:t>
            </w:r>
          </w:p>
        </w:tc>
        <w:tc>
          <w:tcPr>
            <w:tcW w:w="9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5"/>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29, 2016</w:t>
            </w: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11,868</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$144,643</w:t>
            </w:r>
          </w:p>
        </w:tc>
        <w:tc>
          <w:tcPr>
            <w:tcW w:w="3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$ 88,178</w:t>
            </w:r>
          </w:p>
        </w:tc>
        <w:tc>
          <w:tcPr>
            <w:tcW w:w="3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12,828</w:t>
            </w:r>
          </w:p>
        </w:tc>
        <w:tc>
          <w:tcPr>
            <w:tcW w:w="3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$ 26,479</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$283,996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2,100</w:t>
            </w:r>
          </w:p>
        </w:tc>
        <w:tc>
          <w:tcPr>
            <w:tcW w:w="16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217</w:t>
            </w:r>
          </w:p>
        </w:tc>
        <w:tc>
          <w:tcPr>
            <w:tcW w:w="960" w:type="dxa"/>
            <w:vAlign w:val="bottom"/>
            <w:gridSpan w:val="2"/>
          </w:tcPr>
          <w:p>
            <w:pPr>
              <w:jc w:val="right"/>
              <w:ind w:right="300"/>
              <w:spacing w:after="0"/>
              <w:rPr>
                <w:sz w:val="20"/>
                <w:szCs w:val="20"/>
                <w:color w:val="auto"/>
              </w:rPr>
            </w:pPr>
            <w:r>
              <w:rPr>
                <w:rFonts w:ascii="Arial" w:cs="Arial" w:eastAsia="Arial" w:hAnsi="Arial"/>
                <w:sz w:val="18"/>
                <w:szCs w:val="18"/>
                <w:color w:val="auto"/>
              </w:rPr>
              <w:t>1,076</w:t>
            </w:r>
          </w:p>
        </w:tc>
        <w:tc>
          <w:tcPr>
            <w:tcW w:w="10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1,171</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(13,187)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(8,623)</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44,689</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10,899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620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56,259</w:t>
            </w:r>
          </w:p>
        </w:tc>
        <w:tc>
          <w:tcPr>
            <w:tcW w:w="0" w:type="dxa"/>
            <w:vAlign w:val="bottom"/>
          </w:tcPr>
          <w:p>
            <w:pPr>
              <w:spacing w:after="0"/>
              <w:rPr>
                <w:sz w:val="1"/>
                <w:szCs w:val="1"/>
                <w:color w:val="auto"/>
              </w:rPr>
            </w:pPr>
          </w:p>
        </w:tc>
      </w:tr>
      <w:tr>
        <w:trPr>
          <w:trHeight w:val="216"/>
        </w:trPr>
        <w:tc>
          <w:tcPr>
            <w:tcW w:w="572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20" w:type="dxa"/>
            <w:vAlign w:val="bottom"/>
            <w:gridSpan w:val="3"/>
          </w:tcPr>
          <w:p>
            <w:pPr>
              <w:jc w:val="right"/>
              <w:ind w:right="120"/>
              <w:spacing w:after="0"/>
              <w:rPr>
                <w:sz w:val="20"/>
                <w:szCs w:val="20"/>
                <w:color w:val="auto"/>
              </w:rPr>
            </w:pPr>
            <w:r>
              <w:rPr>
                <w:rFonts w:ascii="Arial" w:cs="Arial" w:eastAsia="Arial" w:hAnsi="Arial"/>
                <w:sz w:val="18"/>
                <w:szCs w:val="18"/>
                <w:color w:val="auto"/>
              </w:rPr>
              <w:t>(4,556)</w:t>
            </w:r>
          </w:p>
        </w:tc>
        <w:tc>
          <w:tcPr>
            <w:tcW w:w="1120" w:type="dxa"/>
            <w:vAlign w:val="bottom"/>
            <w:gridSpan w:val="3"/>
          </w:tcPr>
          <w:p>
            <w:pPr>
              <w:jc w:val="right"/>
              <w:ind w:right="240"/>
              <w:spacing w:after="0"/>
              <w:rPr>
                <w:sz w:val="20"/>
                <w:szCs w:val="20"/>
                <w:color w:val="auto"/>
              </w:rPr>
            </w:pPr>
            <w:r>
              <w:rPr>
                <w:rFonts w:ascii="Arial" w:cs="Arial" w:eastAsia="Arial" w:hAnsi="Arial"/>
                <w:sz w:val="18"/>
                <w:szCs w:val="18"/>
                <w:color w:val="auto"/>
              </w:rPr>
              <w:t>(36,518)</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(13,269)</w:t>
            </w:r>
          </w:p>
        </w:tc>
        <w:tc>
          <w:tcPr>
            <w:tcW w:w="100" w:type="dxa"/>
            <w:vAlign w:val="bottom"/>
          </w:tcPr>
          <w:p>
            <w:pPr>
              <w:spacing w:after="0"/>
              <w:rPr>
                <w:sz w:val="18"/>
                <w:szCs w:val="18"/>
                <w:color w:val="auto"/>
              </w:rPr>
            </w:pPr>
          </w:p>
        </w:tc>
        <w:tc>
          <w:tcPr>
            <w:tcW w:w="900" w:type="dxa"/>
            <w:vAlign w:val="bottom"/>
            <w:gridSpan w:val="2"/>
          </w:tcPr>
          <w:p>
            <w:pPr>
              <w:jc w:val="right"/>
              <w:ind w:right="260"/>
              <w:spacing w:after="0"/>
              <w:rPr>
                <w:sz w:val="20"/>
                <w:szCs w:val="20"/>
                <w:color w:val="auto"/>
              </w:rPr>
            </w:pPr>
            <w:r>
              <w:rPr>
                <w:rFonts w:ascii="Arial" w:cs="Arial" w:eastAsia="Arial" w:hAnsi="Arial"/>
                <w:sz w:val="18"/>
                <w:szCs w:val="18"/>
                <w:color w:val="auto"/>
              </w:rPr>
              <w:t>(2,082)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(14,443)</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(70,868)</w:t>
            </w: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245</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11,602</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12,040</w:t>
            </w:r>
          </w:p>
        </w:tc>
        <w:tc>
          <w:tcPr>
            <w:tcW w:w="0" w:type="dxa"/>
            <w:vAlign w:val="bottom"/>
          </w:tcPr>
          <w:p>
            <w:pPr>
              <w:spacing w:after="0"/>
              <w:rPr>
                <w:sz w:val="1"/>
                <w:szCs w:val="1"/>
                <w:color w:val="auto"/>
              </w:rPr>
            </w:pPr>
          </w:p>
        </w:tc>
      </w:tr>
      <w:tr>
        <w:trPr>
          <w:trHeight w:val="223"/>
        </w:trPr>
        <w:tc>
          <w:tcPr>
            <w:tcW w:w="5720" w:type="dxa"/>
            <w:vAlign w:val="bottom"/>
          </w:tcPr>
          <w:p>
            <w:pPr>
              <w:spacing w:after="0"/>
              <w:rPr>
                <w:sz w:val="20"/>
                <w:szCs w:val="20"/>
                <w:color w:val="auto"/>
              </w:rPr>
            </w:pPr>
            <w:r>
              <w:rPr>
                <w:rFonts w:ascii="Arial" w:cs="Arial" w:eastAsia="Arial" w:hAnsi="Arial"/>
                <w:sz w:val="18"/>
                <w:szCs w:val="18"/>
                <w:color w:val="auto"/>
              </w:rPr>
              <w:t>Balance as of August 31, 2016</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9,516</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153,276</w:t>
            </w:r>
          </w:p>
        </w:tc>
        <w:tc>
          <w:tcPr>
            <w:tcW w:w="30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$ 87,024</w:t>
            </w:r>
          </w:p>
        </w:tc>
        <w:tc>
          <w:tcPr>
            <w:tcW w:w="3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11,917</w:t>
            </w:r>
          </w:p>
        </w:tc>
        <w:tc>
          <w:tcPr>
            <w:tcW w:w="3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$ 11,071</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272,804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period in which they occur.</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net change in unrealized appreciation (depreciation) for the six months ended August 31, 2016 on investments still held as of August 31, 2016 was $1,772,281 and is included in net unrealized depreciation on investments in the consolidated statements of operations.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provides a reconciliation of the beginning and ending balances for investments that use Level 3 inputs for the six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August 31, 2015 (dollars in thousands):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88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Syndicated</w:t>
            </w:r>
          </w:p>
        </w:tc>
        <w:tc>
          <w:tcPr>
            <w:tcW w:w="120" w:type="dxa"/>
            <w:vAlign w:val="bottom"/>
          </w:tcPr>
          <w:p>
            <w:pPr>
              <w:spacing w:after="0"/>
              <w:rPr>
                <w:sz w:val="14"/>
                <w:szCs w:val="14"/>
                <w:color w:val="auto"/>
              </w:rPr>
            </w:pPr>
          </w:p>
        </w:tc>
        <w:tc>
          <w:tcPr>
            <w:tcW w:w="86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First lien</w:t>
            </w:r>
          </w:p>
        </w:tc>
        <w:tc>
          <w:tcPr>
            <w:tcW w:w="120" w:type="dxa"/>
            <w:vAlign w:val="bottom"/>
          </w:tcPr>
          <w:p>
            <w:pPr>
              <w:spacing w:after="0"/>
              <w:rPr>
                <w:sz w:val="14"/>
                <w:szCs w:val="14"/>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Second</w:t>
            </w:r>
          </w:p>
        </w:tc>
        <w:tc>
          <w:tcPr>
            <w:tcW w:w="8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12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20" w:type="dxa"/>
            <w:vAlign w:val="bottom"/>
          </w:tcPr>
          <w:p>
            <w:pPr>
              <w:spacing w:after="0"/>
              <w:rPr>
                <w:sz w:val="14"/>
                <w:szCs w:val="14"/>
                <w:color w:val="auto"/>
              </w:rPr>
            </w:pPr>
          </w:p>
        </w:tc>
        <w:tc>
          <w:tcPr>
            <w:tcW w:w="8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Equity</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860" w:type="dxa"/>
            <w:vAlign w:val="bottom"/>
          </w:tcPr>
          <w:p>
            <w:pPr>
              <w:spacing w:after="0"/>
              <w:rPr>
                <w:sz w:val="12"/>
                <w:szCs w:val="12"/>
                <w:color w:val="auto"/>
              </w:rPr>
            </w:pPr>
          </w:p>
        </w:tc>
        <w:tc>
          <w:tcPr>
            <w:tcW w:w="880" w:type="dxa"/>
            <w:vAlign w:val="bottom"/>
            <w:gridSpan w:val="4"/>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lien</w:t>
            </w:r>
          </w:p>
        </w:tc>
        <w:tc>
          <w:tcPr>
            <w:tcW w:w="84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jc w:val="right"/>
              <w:ind w:right="300"/>
              <w:spacing w:after="0" w:line="149" w:lineRule="exact"/>
              <w:rPr>
                <w:sz w:val="20"/>
                <w:szCs w:val="20"/>
                <w:color w:val="auto"/>
              </w:rPr>
            </w:pPr>
            <w:r>
              <w:rPr>
                <w:rFonts w:ascii="Arial" w:cs="Arial" w:eastAsia="Arial" w:hAnsi="Arial"/>
                <w:sz w:val="14"/>
                <w:szCs w:val="14"/>
                <w:b w:val="1"/>
                <w:bCs w:val="1"/>
                <w:color w:val="auto"/>
                <w:w w:val="89"/>
              </w:rPr>
              <w:t>finance</w:t>
            </w:r>
          </w:p>
        </w:tc>
        <w:tc>
          <w:tcPr>
            <w:tcW w:w="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8"/>
              </w:rPr>
              <w:t>loans</w:t>
            </w:r>
          </w:p>
        </w:tc>
        <w:tc>
          <w:tcPr>
            <w:tcW w:w="12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0"/>
              </w:rPr>
              <w:t>term loans</w:t>
            </w:r>
          </w:p>
        </w:tc>
        <w:tc>
          <w:tcPr>
            <w:tcW w:w="120" w:type="dxa"/>
            <w:vAlign w:val="bottom"/>
          </w:tcPr>
          <w:p>
            <w:pPr>
              <w:spacing w:after="0"/>
              <w:rPr>
                <w:sz w:val="14"/>
                <w:szCs w:val="14"/>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term loans</w:t>
            </w:r>
          </w:p>
        </w:tc>
        <w:tc>
          <w:tcPr>
            <w:tcW w:w="140" w:type="dxa"/>
            <w:vAlign w:val="bottom"/>
          </w:tcPr>
          <w:p>
            <w:pPr>
              <w:spacing w:after="0"/>
              <w:rPr>
                <w:sz w:val="14"/>
                <w:szCs w:val="14"/>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0"/>
              </w:rPr>
              <w:t>notes</w:t>
            </w:r>
          </w:p>
        </w:tc>
        <w:tc>
          <w:tcPr>
            <w:tcW w:w="120" w:type="dxa"/>
            <w:vAlign w:val="bottom"/>
          </w:tcPr>
          <w:p>
            <w:pPr>
              <w:spacing w:after="0"/>
              <w:rPr>
                <w:sz w:val="14"/>
                <w:szCs w:val="14"/>
                <w:color w:val="auto"/>
              </w:rPr>
            </w:pPr>
          </w:p>
        </w:tc>
        <w:tc>
          <w:tcPr>
            <w:tcW w:w="86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20" w:type="dxa"/>
            <w:vAlign w:val="bottom"/>
          </w:tcPr>
          <w:p>
            <w:pPr>
              <w:spacing w:after="0"/>
              <w:rPr>
                <w:sz w:val="14"/>
                <w:szCs w:val="14"/>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interests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2015</w:t>
            </w:r>
          </w:p>
        </w:tc>
        <w:tc>
          <w:tcPr>
            <w:tcW w:w="1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18,302</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$145,207</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$ 35,603</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17,031</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$20,165</w:t>
            </w:r>
          </w:p>
        </w:tc>
        <w:tc>
          <w:tcPr>
            <w:tcW w:w="3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$240,538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(1,400)</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(726)</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76</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656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8"/>
                <w:szCs w:val="18"/>
                <w:color w:val="auto"/>
              </w:rPr>
              <w:t>1,372</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(562)</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25,217</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16,901</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413</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43,219</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Sales and redemptions</w:t>
            </w:r>
          </w:p>
        </w:tc>
        <w:tc>
          <w:tcPr>
            <w:tcW w:w="140" w:type="dxa"/>
            <w:vAlign w:val="bottom"/>
          </w:tcPr>
          <w:p>
            <w:pPr>
              <w:spacing w:after="0"/>
              <w:rPr>
                <w:sz w:val="18"/>
                <w:szCs w:val="18"/>
                <w:color w:val="auto"/>
              </w:rPr>
            </w:pPr>
          </w:p>
        </w:tc>
        <w:tc>
          <w:tcPr>
            <w:tcW w:w="740" w:type="dxa"/>
            <w:vAlign w:val="bottom"/>
            <w:gridSpan w:val="3"/>
          </w:tcPr>
          <w:p>
            <w:pPr>
              <w:jc w:val="right"/>
              <w:ind w:right="120"/>
              <w:spacing w:after="0"/>
              <w:rPr>
                <w:sz w:val="20"/>
                <w:szCs w:val="20"/>
                <w:color w:val="auto"/>
              </w:rPr>
            </w:pPr>
            <w:r>
              <w:rPr>
                <w:rFonts w:ascii="Arial" w:cs="Arial" w:eastAsia="Arial" w:hAnsi="Arial"/>
                <w:sz w:val="18"/>
                <w:szCs w:val="18"/>
                <w:color w:val="auto"/>
              </w:rPr>
              <w:t>(356)</w:t>
            </w:r>
          </w:p>
        </w:tc>
        <w:tc>
          <w:tcPr>
            <w:tcW w:w="980" w:type="dxa"/>
            <w:vAlign w:val="bottom"/>
            <w:gridSpan w:val="3"/>
          </w:tcPr>
          <w:p>
            <w:pPr>
              <w:jc w:val="right"/>
              <w:ind w:right="120"/>
              <w:spacing w:after="0"/>
              <w:rPr>
                <w:sz w:val="20"/>
                <w:szCs w:val="20"/>
                <w:color w:val="auto"/>
              </w:rPr>
            </w:pPr>
            <w:r>
              <w:rPr>
                <w:rFonts w:ascii="Arial" w:cs="Arial" w:eastAsia="Arial" w:hAnsi="Arial"/>
                <w:sz w:val="18"/>
                <w:szCs w:val="18"/>
                <w:color w:val="auto"/>
              </w:rPr>
              <w:t>(13,050)</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(10,673)</w:t>
            </w:r>
          </w:p>
        </w:tc>
        <w:tc>
          <w:tcPr>
            <w:tcW w:w="14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(5,784)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(1,649)</w:t>
            </w:r>
          </w:p>
        </w:tc>
        <w:tc>
          <w:tcPr>
            <w:tcW w:w="1000" w:type="dxa"/>
            <w:vAlign w:val="bottom"/>
            <w:gridSpan w:val="3"/>
          </w:tcPr>
          <w:p>
            <w:pPr>
              <w:jc w:val="right"/>
              <w:ind w:right="240"/>
              <w:spacing w:after="0"/>
              <w:rPr>
                <w:sz w:val="20"/>
                <w:szCs w:val="20"/>
                <w:color w:val="auto"/>
              </w:rPr>
            </w:pPr>
            <w:r>
              <w:rPr>
                <w:rFonts w:ascii="Arial" w:cs="Arial" w:eastAsia="Arial" w:hAnsi="Arial"/>
                <w:sz w:val="18"/>
                <w:szCs w:val="18"/>
                <w:color w:val="auto"/>
              </w:rPr>
              <w:t>(3,260)</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(34,772)</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from investments</w:t>
            </w:r>
          </w:p>
        </w:tc>
        <w:tc>
          <w:tcPr>
            <w:tcW w:w="1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94</w:t>
            </w: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164</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3,260</w:t>
            </w:r>
          </w:p>
        </w:tc>
        <w:tc>
          <w:tcPr>
            <w:tcW w:w="3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3,784</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Restructures in</w:t>
            </w:r>
          </w:p>
        </w:tc>
        <w:tc>
          <w:tcPr>
            <w:tcW w:w="140" w:type="dxa"/>
            <w:vAlign w:val="bottom"/>
          </w:tcPr>
          <w:p>
            <w:pPr>
              <w:spacing w:after="0"/>
              <w:rPr>
                <w:sz w:val="18"/>
                <w:szCs w:val="18"/>
                <w:color w:val="auto"/>
              </w:rPr>
            </w:pPr>
          </w:p>
        </w:tc>
        <w:tc>
          <w:tcPr>
            <w:tcW w:w="74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Restructures out</w:t>
            </w:r>
          </w:p>
        </w:tc>
        <w:tc>
          <w:tcPr>
            <w:tcW w:w="1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(101)</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Balance as of August 31, 2015</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16,571</w:t>
            </w:r>
          </w:p>
        </w:tc>
        <w:tc>
          <w:tcPr>
            <w:tcW w:w="2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156,742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$ 42,071</w:t>
            </w: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132</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16,754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19,915</w:t>
            </w:r>
          </w:p>
        </w:tc>
        <w:tc>
          <w:tcPr>
            <w:tcW w:w="3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252,185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Transfers and restructurings, if any, are recognized at the beginning of the period in which they occur.</w:t>
      </w:r>
    </w:p>
    <w:p>
      <w:pPr>
        <w:spacing w:after="0" w:line="225"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net change in unrealized appreciation (depreciation) for the six months ended August 31, 2015 on investments still held as of August 31, 2015 was $(955,584) and was included in net unrealized depreciation on investments in the consolidated statements of operations.</w:t>
      </w:r>
    </w:p>
    <w:p>
      <w:pPr>
        <w:spacing w:after="0" w:line="170"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August 31, 2016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08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8"/>
              </w:rPr>
              <w:t>Fair Value</w:t>
            </w:r>
          </w:p>
        </w:tc>
        <w:tc>
          <w:tcPr>
            <w:tcW w:w="140" w:type="dxa"/>
            <w:vAlign w:val="bottom"/>
          </w:tcPr>
          <w:p>
            <w:pPr>
              <w:spacing w:after="0"/>
              <w:rPr>
                <w:sz w:val="14"/>
                <w:szCs w:val="14"/>
                <w:color w:val="auto"/>
              </w:rPr>
            </w:pPr>
          </w:p>
        </w:tc>
        <w:tc>
          <w:tcPr>
            <w:tcW w:w="2040" w:type="dxa"/>
            <w:vAlign w:val="bottom"/>
            <w:gridSpan w:val="2"/>
          </w:tcPr>
          <w:p>
            <w:pPr>
              <w:ind w:left="280"/>
              <w:spacing w:after="0"/>
              <w:rPr>
                <w:sz w:val="20"/>
                <w:szCs w:val="20"/>
                <w:color w:val="auto"/>
              </w:rPr>
            </w:pPr>
            <w:r>
              <w:rPr>
                <w:rFonts w:ascii="Arial" w:cs="Arial" w:eastAsia="Arial" w:hAnsi="Arial"/>
                <w:sz w:val="14"/>
                <w:szCs w:val="14"/>
                <w:b w:val="1"/>
                <w:bCs w:val="1"/>
                <w:color w:val="auto"/>
              </w:rPr>
              <w:t>Valuation Technique</w:t>
            </w:r>
          </w:p>
        </w:tc>
        <w:tc>
          <w:tcPr>
            <w:tcW w:w="2040" w:type="dxa"/>
            <w:vAlign w:val="bottom"/>
            <w:gridSpan w:val="2"/>
          </w:tcPr>
          <w:p>
            <w:pPr>
              <w:ind w:left="300"/>
              <w:spacing w:after="0"/>
              <w:rPr>
                <w:sz w:val="20"/>
                <w:szCs w:val="20"/>
                <w:color w:val="auto"/>
              </w:rPr>
            </w:pPr>
            <w:r>
              <w:rPr>
                <w:rFonts w:ascii="Arial" w:cs="Arial" w:eastAsia="Arial" w:hAnsi="Arial"/>
                <w:sz w:val="14"/>
                <w:szCs w:val="14"/>
                <w:b w:val="1"/>
                <w:bCs w:val="1"/>
                <w:color w:val="auto"/>
              </w:rPr>
              <w:t>Unobservable Input</w:t>
            </w:r>
          </w:p>
        </w:tc>
        <w:tc>
          <w:tcPr>
            <w:tcW w:w="1320" w:type="dxa"/>
            <w:vAlign w:val="bottom"/>
            <w:gridSpan w:val="2"/>
          </w:tcPr>
          <w:p>
            <w:pPr>
              <w:ind w:left="460"/>
              <w:spacing w:after="0"/>
              <w:rPr>
                <w:sz w:val="20"/>
                <w:szCs w:val="20"/>
                <w:color w:val="auto"/>
              </w:rPr>
            </w:pPr>
            <w:r>
              <w:rPr>
                <w:rFonts w:ascii="Arial" w:cs="Arial" w:eastAsia="Arial" w:hAnsi="Arial"/>
                <w:sz w:val="14"/>
                <w:szCs w:val="14"/>
                <w:b w:val="1"/>
                <w:bCs w:val="1"/>
                <w:color w:val="auto"/>
              </w:rPr>
              <w:t>Range</w:t>
            </w:r>
          </w:p>
        </w:tc>
      </w:tr>
      <w:tr>
        <w:trPr>
          <w:trHeight w:val="210"/>
        </w:trPr>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2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gridSpan w:val="2"/>
            <w:shd w:val="clear" w:color="auto" w:fill="CCEEFF"/>
          </w:tcPr>
          <w:p>
            <w:pPr>
              <w:jc w:val="center"/>
              <w:spacing w:after="0"/>
              <w:rPr>
                <w:sz w:val="20"/>
                <w:szCs w:val="20"/>
                <w:color w:val="auto"/>
              </w:rPr>
            </w:pPr>
            <w:r>
              <w:rPr>
                <w:rFonts w:ascii="Arial" w:cs="Arial" w:eastAsia="Arial" w:hAnsi="Arial"/>
                <w:sz w:val="18"/>
                <w:szCs w:val="18"/>
                <w:color w:val="auto"/>
                <w:w w:val="91"/>
              </w:rPr>
              <w:t>0.0% - 100.0%</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First lien term loans</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153,276</w:t>
            </w:r>
          </w:p>
        </w:tc>
        <w:tc>
          <w:tcPr>
            <w:tcW w:w="2180" w:type="dxa"/>
            <w:vAlign w:val="bottom"/>
            <w:gridSpan w:val="3"/>
          </w:tcPr>
          <w:p>
            <w:pPr>
              <w:ind w:left="140"/>
              <w:spacing w:after="0"/>
              <w:rPr>
                <w:sz w:val="20"/>
                <w:szCs w:val="20"/>
                <w:color w:val="auto"/>
              </w:rPr>
            </w:pPr>
            <w:r>
              <w:rPr>
                <w:rFonts w:ascii="Arial" w:cs="Arial" w:eastAsia="Arial" w:hAnsi="Arial"/>
                <w:sz w:val="18"/>
                <w:szCs w:val="18"/>
                <w:color w:val="auto"/>
              </w:rPr>
              <w:t>Market Comparables</w:t>
            </w:r>
          </w:p>
        </w:tc>
        <w:tc>
          <w:tcPr>
            <w:tcW w:w="2040" w:type="dxa"/>
            <w:vAlign w:val="bottom"/>
            <w:gridSpan w:val="2"/>
          </w:tcPr>
          <w:p>
            <w:pPr>
              <w:spacing w:after="0"/>
              <w:rPr>
                <w:sz w:val="20"/>
                <w:szCs w:val="20"/>
                <w:color w:val="auto"/>
              </w:rPr>
            </w:pPr>
            <w:r>
              <w:rPr>
                <w:rFonts w:ascii="Arial" w:cs="Arial" w:eastAsia="Arial" w:hAnsi="Arial"/>
                <w:sz w:val="18"/>
                <w:szCs w:val="18"/>
                <w:color w:val="auto"/>
              </w:rPr>
              <w:t>Market Yield (%)</w:t>
            </w:r>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760" w:type="dxa"/>
            <w:vAlign w:val="bottom"/>
          </w:tcPr>
          <w:p>
            <w:pPr>
              <w:ind w:left="20"/>
              <w:spacing w:after="0"/>
              <w:rPr>
                <w:sz w:val="20"/>
                <w:szCs w:val="20"/>
                <w:color w:val="auto"/>
              </w:rPr>
            </w:pPr>
            <w:r>
              <w:rPr>
                <w:rFonts w:ascii="Arial" w:cs="Arial" w:eastAsia="Arial" w:hAnsi="Arial"/>
                <w:sz w:val="18"/>
                <w:szCs w:val="18"/>
                <w:color w:val="auto"/>
              </w:rPr>
              <w:t>- 15.8%</w:t>
            </w:r>
          </w:p>
        </w:tc>
      </w:tr>
      <w:tr>
        <w:trPr>
          <w:trHeight w:val="216"/>
        </w:trPr>
        <w:tc>
          <w:tcPr>
            <w:tcW w:w="4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EBITDA Multiples (x)</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2"/>
              </w:rPr>
              <w:t>1.0x - 9.8x</w:t>
            </w:r>
          </w:p>
        </w:tc>
      </w:tr>
      <w:tr>
        <w:trPr>
          <w:trHeight w:val="216"/>
        </w:trPr>
        <w:tc>
          <w:tcPr>
            <w:tcW w:w="4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1"/>
              </w:rPr>
              <w:t>95.0% - 99.9%</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87,024</w:t>
            </w:r>
          </w:p>
        </w:tc>
        <w:tc>
          <w:tcPr>
            <w:tcW w:w="2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Market Comparables</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- 15.0%</w:t>
            </w:r>
          </w:p>
        </w:tc>
      </w:tr>
      <w:tr>
        <w:trPr>
          <w:trHeight w:val="216"/>
        </w:trPr>
        <w:tc>
          <w:tcPr>
            <w:tcW w:w="4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Third-Party Bid (%)</w:t>
            </w:r>
          </w:p>
        </w:tc>
        <w:tc>
          <w:tcPr>
            <w:tcW w:w="560" w:type="dxa"/>
            <w:vAlign w:val="bottom"/>
          </w:tcPr>
          <w:p>
            <w:pPr>
              <w:jc w:val="right"/>
              <w:spacing w:after="0"/>
              <w:rPr>
                <w:sz w:val="20"/>
                <w:szCs w:val="20"/>
                <w:color w:val="auto"/>
              </w:rPr>
            </w:pPr>
            <w:r>
              <w:rPr>
                <w:rFonts w:ascii="Arial" w:cs="Arial" w:eastAsia="Arial" w:hAnsi="Arial"/>
                <w:sz w:val="18"/>
                <w:szCs w:val="18"/>
                <w:color w:val="auto"/>
              </w:rPr>
              <w:t>95.0%</w:t>
            </w:r>
          </w:p>
        </w:tc>
        <w:tc>
          <w:tcPr>
            <w:tcW w:w="760" w:type="dxa"/>
            <w:vAlign w:val="bottom"/>
          </w:tcPr>
          <w:p>
            <w:pPr>
              <w:ind w:left="20"/>
              <w:spacing w:after="0"/>
              <w:rPr>
                <w:sz w:val="20"/>
                <w:szCs w:val="20"/>
                <w:color w:val="auto"/>
              </w:rPr>
            </w:pPr>
            <w:r>
              <w:rPr>
                <w:rFonts w:ascii="Arial" w:cs="Arial" w:eastAsia="Arial" w:hAnsi="Arial"/>
                <w:sz w:val="18"/>
                <w:szCs w:val="18"/>
                <w:color w:val="auto"/>
                <w:w w:val="99"/>
              </w:rPr>
              <w:t>- 101.4%</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11,917</w:t>
            </w:r>
          </w:p>
        </w:tc>
        <w:tc>
          <w:tcPr>
            <w:tcW w:w="218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Discounted Cash Flow</w:t>
            </w:r>
          </w:p>
        </w:tc>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 (%)</w:t>
            </w:r>
          </w:p>
        </w:tc>
        <w:tc>
          <w:tcPr>
            <w:tcW w:w="132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3"/>
              </w:rPr>
              <w:t>18.0%</w:t>
            </w:r>
          </w:p>
        </w:tc>
      </w:tr>
      <w:tr>
        <w:trPr>
          <w:trHeight w:val="202"/>
        </w:trPr>
        <w:tc>
          <w:tcPr>
            <w:tcW w:w="4080" w:type="dxa"/>
            <w:vAlign w:val="bottom"/>
          </w:tcPr>
          <w:p>
            <w:pPr>
              <w:spacing w:after="0" w:line="201" w:lineRule="exact"/>
              <w:rPr>
                <w:sz w:val="20"/>
                <w:szCs w:val="20"/>
                <w:color w:val="auto"/>
              </w:rPr>
            </w:pPr>
            <w:r>
              <w:rPr>
                <w:rFonts w:ascii="Arial" w:cs="Arial" w:eastAsia="Arial" w:hAnsi="Arial"/>
                <w:sz w:val="18"/>
                <w:szCs w:val="18"/>
                <w:color w:val="auto"/>
              </w:rPr>
              <w:t>Equity interests</w:t>
            </w:r>
          </w:p>
        </w:tc>
        <w:tc>
          <w:tcPr>
            <w:tcW w:w="880" w:type="dxa"/>
            <w:vAlign w:val="bottom"/>
            <w:gridSpan w:val="2"/>
          </w:tcPr>
          <w:p>
            <w:pPr>
              <w:jc w:val="right"/>
              <w:ind w:right="160"/>
              <w:spacing w:after="0" w:line="201" w:lineRule="exact"/>
              <w:rPr>
                <w:sz w:val="20"/>
                <w:szCs w:val="20"/>
                <w:color w:val="auto"/>
              </w:rPr>
            </w:pPr>
            <w:r>
              <w:rPr>
                <w:rFonts w:ascii="Arial" w:cs="Arial" w:eastAsia="Arial" w:hAnsi="Arial"/>
                <w:sz w:val="18"/>
                <w:szCs w:val="18"/>
                <w:color w:val="auto"/>
              </w:rPr>
              <w:t>11,071</w:t>
            </w:r>
          </w:p>
        </w:tc>
        <w:tc>
          <w:tcPr>
            <w:tcW w:w="2180" w:type="dxa"/>
            <w:vAlign w:val="bottom"/>
            <w:gridSpan w:val="3"/>
          </w:tcPr>
          <w:p>
            <w:pPr>
              <w:ind w:left="140"/>
              <w:spacing w:after="0" w:line="201" w:lineRule="exact"/>
              <w:rPr>
                <w:sz w:val="20"/>
                <w:szCs w:val="20"/>
                <w:color w:val="auto"/>
              </w:rPr>
            </w:pPr>
            <w:r>
              <w:rPr>
                <w:rFonts w:ascii="Arial" w:cs="Arial" w:eastAsia="Arial" w:hAnsi="Arial"/>
                <w:sz w:val="18"/>
                <w:szCs w:val="18"/>
                <w:color w:val="auto"/>
              </w:rPr>
              <w:t>Market Comparables</w:t>
            </w:r>
          </w:p>
        </w:tc>
        <w:tc>
          <w:tcPr>
            <w:tcW w:w="2040" w:type="dxa"/>
            <w:vAlign w:val="bottom"/>
            <w:gridSpan w:val="2"/>
          </w:tcPr>
          <w:p>
            <w:pPr>
              <w:spacing w:after="0" w:line="201" w:lineRule="exact"/>
              <w:rPr>
                <w:sz w:val="20"/>
                <w:szCs w:val="20"/>
                <w:color w:val="auto"/>
              </w:rPr>
            </w:pPr>
            <w:r>
              <w:rPr>
                <w:rFonts w:ascii="Arial" w:cs="Arial" w:eastAsia="Arial" w:hAnsi="Arial"/>
                <w:sz w:val="18"/>
                <w:szCs w:val="18"/>
                <w:color w:val="auto"/>
              </w:rPr>
              <w:t>EBITDA Multiples (x)</w:t>
            </w:r>
          </w:p>
        </w:tc>
        <w:tc>
          <w:tcPr>
            <w:tcW w:w="560" w:type="dxa"/>
            <w:vAlign w:val="bottom"/>
          </w:tcPr>
          <w:p>
            <w:pPr>
              <w:jc w:val="right"/>
              <w:spacing w:after="0" w:line="201" w:lineRule="exact"/>
              <w:rPr>
                <w:sz w:val="20"/>
                <w:szCs w:val="20"/>
                <w:color w:val="auto"/>
              </w:rPr>
            </w:pPr>
            <w:r>
              <w:rPr>
                <w:rFonts w:ascii="Arial" w:cs="Arial" w:eastAsia="Arial" w:hAnsi="Arial"/>
                <w:sz w:val="18"/>
                <w:szCs w:val="18"/>
                <w:color w:val="auto"/>
              </w:rPr>
              <w:t>2.5x</w:t>
            </w:r>
          </w:p>
        </w:tc>
        <w:tc>
          <w:tcPr>
            <w:tcW w:w="760" w:type="dxa"/>
            <w:vAlign w:val="bottom"/>
          </w:tcPr>
          <w:p>
            <w:pPr>
              <w:ind w:left="20"/>
              <w:spacing w:after="0" w:line="201" w:lineRule="exact"/>
              <w:rPr>
                <w:sz w:val="20"/>
                <w:szCs w:val="20"/>
                <w:color w:val="auto"/>
              </w:rPr>
            </w:pPr>
            <w:r>
              <w:rPr>
                <w:rFonts w:ascii="Arial" w:cs="Arial" w:eastAsia="Arial" w:hAnsi="Arial"/>
                <w:sz w:val="18"/>
                <w:szCs w:val="18"/>
                <w:color w:val="auto"/>
              </w:rPr>
              <w:t>- 11.4x</w:t>
            </w:r>
          </w:p>
        </w:tc>
      </w:tr>
      <w:tr>
        <w:trPr>
          <w:trHeight w:val="230"/>
        </w:trPr>
        <w:tc>
          <w:tcPr>
            <w:tcW w:w="4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Revenue Multiples (x)</w:t>
            </w: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92"/>
              </w:rPr>
              <w:t>0.2x - 3.4x</w:t>
            </w:r>
          </w:p>
        </w:tc>
      </w:tr>
    </w:tbl>
    <w:p>
      <w:pPr>
        <w:sectPr>
          <w:pgSz w:w="11900" w:h="16838" w:orient="portrait"/>
          <w:cols w:equalWidth="0" w:num="1">
            <w:col w:w="11420"/>
          </w:cols>
          <w:pgMar w:left="240" w:top="459" w:right="239" w:bottom="1440" w:gutter="0" w:footer="0" w:header="0"/>
        </w:sectPr>
      </w:pPr>
    </w:p>
    <w:bookmarkStart w:id="18" w:name="page19"/>
    <w:bookmarkEnd w:id="18"/>
    <w:p>
      <w:pPr>
        <w:ind w:firstLine="456"/>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29, 2016 were as follows (dollars in thousands):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Fair Value</w:t>
            </w:r>
          </w:p>
        </w:tc>
        <w:tc>
          <w:tcPr>
            <w:tcW w:w="160" w:type="dxa"/>
            <w:vAlign w:val="bottom"/>
          </w:tcPr>
          <w:p>
            <w:pPr>
              <w:spacing w:after="0"/>
              <w:rPr>
                <w:sz w:val="14"/>
                <w:szCs w:val="14"/>
                <w:color w:val="auto"/>
              </w:rPr>
            </w:pPr>
          </w:p>
        </w:tc>
        <w:tc>
          <w:tcPr>
            <w:tcW w:w="1840" w:type="dxa"/>
            <w:vAlign w:val="bottom"/>
          </w:tcPr>
          <w:p>
            <w:pPr>
              <w:ind w:left="300"/>
              <w:spacing w:after="0"/>
              <w:rPr>
                <w:sz w:val="20"/>
                <w:szCs w:val="20"/>
                <w:color w:val="auto"/>
              </w:rPr>
            </w:pPr>
            <w:r>
              <w:rPr>
                <w:rFonts w:ascii="Arial" w:cs="Arial" w:eastAsia="Arial" w:hAnsi="Arial"/>
                <w:sz w:val="14"/>
                <w:szCs w:val="14"/>
                <w:b w:val="1"/>
                <w:bCs w:val="1"/>
                <w:color w:val="auto"/>
              </w:rPr>
              <w:t>Valuation Technique</w:t>
            </w:r>
          </w:p>
        </w:tc>
        <w:tc>
          <w:tcPr>
            <w:tcW w:w="200" w:type="dxa"/>
            <w:vAlign w:val="bottom"/>
          </w:tcPr>
          <w:p>
            <w:pPr>
              <w:spacing w:after="0"/>
              <w:rPr>
                <w:sz w:val="14"/>
                <w:szCs w:val="14"/>
                <w:color w:val="auto"/>
              </w:rPr>
            </w:pPr>
          </w:p>
        </w:tc>
        <w:tc>
          <w:tcPr>
            <w:tcW w:w="2040" w:type="dxa"/>
            <w:vAlign w:val="bottom"/>
            <w:gridSpan w:val="2"/>
          </w:tcPr>
          <w:p>
            <w:pPr>
              <w:ind w:left="320"/>
              <w:spacing w:after="0"/>
              <w:rPr>
                <w:sz w:val="20"/>
                <w:szCs w:val="20"/>
                <w:color w:val="auto"/>
              </w:rPr>
            </w:pPr>
            <w:r>
              <w:rPr>
                <w:rFonts w:ascii="Arial" w:cs="Arial" w:eastAsia="Arial" w:hAnsi="Arial"/>
                <w:sz w:val="14"/>
                <w:szCs w:val="14"/>
                <w:b w:val="1"/>
                <w:bCs w:val="1"/>
                <w:color w:val="auto"/>
              </w:rPr>
              <w:t>Unobservable Input</w:t>
            </w:r>
          </w:p>
        </w:tc>
        <w:tc>
          <w:tcPr>
            <w:tcW w:w="1220" w:type="dxa"/>
            <w:vAlign w:val="bottom"/>
          </w:tcPr>
          <w:p>
            <w:pPr>
              <w:ind w:left="420"/>
              <w:spacing w:after="0"/>
              <w:rPr>
                <w:sz w:val="20"/>
                <w:szCs w:val="20"/>
                <w:color w:val="auto"/>
              </w:rPr>
            </w:pPr>
            <w:r>
              <w:rPr>
                <w:rFonts w:ascii="Arial" w:cs="Arial" w:eastAsia="Arial" w:hAnsi="Arial"/>
                <w:sz w:val="14"/>
                <w:szCs w:val="14"/>
                <w:b w:val="1"/>
                <w:bCs w:val="1"/>
                <w:color w:val="auto"/>
              </w:rPr>
              <w:t>Range</w:t>
            </w:r>
          </w:p>
        </w:tc>
      </w:tr>
      <w:tr>
        <w:trPr>
          <w:trHeight w:val="210"/>
        </w:trPr>
        <w:tc>
          <w:tcPr>
            <w:tcW w:w="4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7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w w:val="83"/>
              </w:rPr>
              <w:t>11,868</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 (%)</w:t>
            </w:r>
          </w:p>
        </w:tc>
        <w:tc>
          <w:tcPr>
            <w:tcW w:w="2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72.5% - 98.2%</w:t>
            </w:r>
          </w:p>
        </w:tc>
      </w:tr>
      <w:tr>
        <w:trPr>
          <w:trHeight w:val="216"/>
        </w:trPr>
        <w:tc>
          <w:tcPr>
            <w:tcW w:w="4200" w:type="dxa"/>
            <w:vAlign w:val="bottom"/>
          </w:tcPr>
          <w:p>
            <w:pPr>
              <w:spacing w:after="0"/>
              <w:rPr>
                <w:sz w:val="20"/>
                <w:szCs w:val="20"/>
                <w:color w:val="auto"/>
              </w:rPr>
            </w:pPr>
            <w:r>
              <w:rPr>
                <w:rFonts w:ascii="Arial" w:cs="Arial" w:eastAsia="Arial" w:hAnsi="Arial"/>
                <w:sz w:val="18"/>
                <w:szCs w:val="18"/>
                <w:color w:val="auto"/>
              </w:rPr>
              <w:t>First lien term loans</w:t>
            </w:r>
          </w:p>
        </w:tc>
        <w:tc>
          <w:tcPr>
            <w:tcW w:w="700" w:type="dxa"/>
            <w:vAlign w:val="bottom"/>
          </w:tcPr>
          <w:p>
            <w:pPr>
              <w:ind w:left="120"/>
              <w:spacing w:after="0"/>
              <w:rPr>
                <w:sz w:val="20"/>
                <w:szCs w:val="20"/>
                <w:color w:val="auto"/>
              </w:rPr>
            </w:pPr>
            <w:r>
              <w:rPr>
                <w:rFonts w:ascii="Arial" w:cs="Arial" w:eastAsia="Arial" w:hAnsi="Arial"/>
                <w:sz w:val="18"/>
                <w:szCs w:val="18"/>
                <w:color w:val="auto"/>
                <w:w w:val="86"/>
              </w:rPr>
              <w:t>144,643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Market Comparables</w:t>
            </w: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Market Yield (%)</w:t>
            </w:r>
          </w:p>
        </w:tc>
        <w:tc>
          <w:tcPr>
            <w:tcW w:w="1220" w:type="dxa"/>
            <w:vAlign w:val="bottom"/>
          </w:tcPr>
          <w:p>
            <w:pPr>
              <w:jc w:val="center"/>
              <w:spacing w:after="0"/>
              <w:rPr>
                <w:sz w:val="20"/>
                <w:szCs w:val="20"/>
                <w:color w:val="auto"/>
              </w:rPr>
            </w:pPr>
            <w:r>
              <w:rPr>
                <w:rFonts w:ascii="Arial" w:cs="Arial" w:eastAsia="Arial" w:hAnsi="Arial"/>
                <w:sz w:val="18"/>
                <w:szCs w:val="18"/>
                <w:color w:val="auto"/>
                <w:w w:val="90"/>
              </w:rPr>
              <w:t>6.8% - 15.5%</w:t>
            </w:r>
          </w:p>
        </w:tc>
      </w:tr>
      <w:tr>
        <w:trPr>
          <w:trHeight w:val="216"/>
        </w:trPr>
        <w:tc>
          <w:tcPr>
            <w:tcW w:w="4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EBITDA Multiples (x)</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1.0x</w:t>
            </w:r>
          </w:p>
        </w:tc>
      </w:tr>
      <w:tr>
        <w:trPr>
          <w:trHeight w:val="202"/>
        </w:trPr>
        <w:tc>
          <w:tcPr>
            <w:tcW w:w="4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2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Revenue Multiples</w:t>
            </w:r>
          </w:p>
        </w:tc>
        <w:tc>
          <w:tcPr>
            <w:tcW w:w="1220" w:type="dxa"/>
            <w:vAlign w:val="bottom"/>
          </w:tcPr>
          <w:p>
            <w:pPr>
              <w:spacing w:after="0"/>
              <w:rPr>
                <w:sz w:val="17"/>
                <w:szCs w:val="17"/>
                <w:color w:val="auto"/>
              </w:rPr>
            </w:pPr>
          </w:p>
        </w:tc>
      </w:tr>
      <w:tr>
        <w:trPr>
          <w:trHeight w:val="244"/>
        </w:trPr>
        <w:tc>
          <w:tcPr>
            <w:tcW w:w="4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Third-Party Bid (%)</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91.3% - 98.9%</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88,178</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Market Yield (%)</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0.0% - 15.0%</w:t>
            </w:r>
          </w:p>
        </w:tc>
      </w:tr>
      <w:tr>
        <w:trPr>
          <w:trHeight w:val="216"/>
        </w:trPr>
        <w:tc>
          <w:tcPr>
            <w:tcW w:w="4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Third-Party Bid (%)</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91.5% - 98.6%</w:t>
            </w:r>
          </w:p>
        </w:tc>
      </w:tr>
      <w:tr>
        <w:trPr>
          <w:trHeight w:val="216"/>
        </w:trPr>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Structured finance securities</w:t>
            </w:r>
          </w:p>
        </w:tc>
        <w:tc>
          <w:tcPr>
            <w:tcW w:w="8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12,828</w:t>
            </w:r>
          </w:p>
        </w:tc>
        <w:tc>
          <w:tcPr>
            <w:tcW w:w="16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240" w:type="dxa"/>
            <w:vAlign w:val="bottom"/>
            <w:gridSpan w:val="3"/>
            <w:shd w:val="clear" w:color="auto" w:fill="CCEEFF"/>
          </w:tcPr>
          <w:p>
            <w:pPr>
              <w:ind w:left="200"/>
              <w:spacing w:after="0"/>
              <w:rPr>
                <w:sz w:val="20"/>
                <w:szCs w:val="20"/>
                <w:color w:val="auto"/>
              </w:rPr>
            </w:pPr>
            <w:r>
              <w:rPr>
                <w:rFonts w:ascii="Arial" w:cs="Arial" w:eastAsia="Arial" w:hAnsi="Arial"/>
                <w:sz w:val="18"/>
                <w:szCs w:val="18"/>
                <w:color w:val="auto"/>
              </w:rPr>
              <w:t>Discount Rate (%)</w:t>
            </w:r>
          </w:p>
        </w:tc>
        <w:tc>
          <w:tcPr>
            <w:tcW w:w="1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20.0%</w:t>
            </w:r>
          </w:p>
        </w:tc>
      </w:tr>
      <w:tr>
        <w:trPr>
          <w:trHeight w:val="202"/>
        </w:trPr>
        <w:tc>
          <w:tcPr>
            <w:tcW w:w="4200" w:type="dxa"/>
            <w:vAlign w:val="bottom"/>
          </w:tcPr>
          <w:p>
            <w:pPr>
              <w:spacing w:after="0" w:line="201" w:lineRule="exact"/>
              <w:rPr>
                <w:sz w:val="20"/>
                <w:szCs w:val="20"/>
                <w:color w:val="auto"/>
              </w:rPr>
            </w:pPr>
            <w:r>
              <w:rPr>
                <w:rFonts w:ascii="Arial" w:cs="Arial" w:eastAsia="Arial" w:hAnsi="Arial"/>
                <w:sz w:val="18"/>
                <w:szCs w:val="18"/>
                <w:color w:val="auto"/>
              </w:rPr>
              <w:t>Equity interests</w:t>
            </w:r>
          </w:p>
        </w:tc>
        <w:tc>
          <w:tcPr>
            <w:tcW w:w="840" w:type="dxa"/>
            <w:vAlign w:val="bottom"/>
            <w:gridSpan w:val="2"/>
          </w:tcPr>
          <w:p>
            <w:pPr>
              <w:ind w:left="220"/>
              <w:spacing w:after="0" w:line="201" w:lineRule="exact"/>
              <w:rPr>
                <w:sz w:val="20"/>
                <w:szCs w:val="20"/>
                <w:color w:val="auto"/>
              </w:rPr>
            </w:pPr>
            <w:r>
              <w:rPr>
                <w:rFonts w:ascii="Arial" w:cs="Arial" w:eastAsia="Arial" w:hAnsi="Arial"/>
                <w:sz w:val="18"/>
                <w:szCs w:val="18"/>
                <w:color w:val="auto"/>
              </w:rPr>
              <w:t>26,479</w:t>
            </w:r>
          </w:p>
        </w:tc>
        <w:tc>
          <w:tcPr>
            <w:tcW w:w="160" w:type="dxa"/>
            <w:vAlign w:val="bottom"/>
          </w:tcPr>
          <w:p>
            <w:pPr>
              <w:spacing w:after="0"/>
              <w:rPr>
                <w:sz w:val="17"/>
                <w:szCs w:val="17"/>
                <w:color w:val="auto"/>
              </w:rPr>
            </w:pPr>
          </w:p>
        </w:tc>
        <w:tc>
          <w:tcPr>
            <w:tcW w:w="1840" w:type="dxa"/>
            <w:vAlign w:val="bottom"/>
          </w:tcPr>
          <w:p>
            <w:pPr>
              <w:spacing w:after="0" w:line="201" w:lineRule="exact"/>
              <w:rPr>
                <w:sz w:val="20"/>
                <w:szCs w:val="20"/>
                <w:color w:val="auto"/>
              </w:rPr>
            </w:pPr>
            <w:r>
              <w:rPr>
                <w:rFonts w:ascii="Arial" w:cs="Arial" w:eastAsia="Arial" w:hAnsi="Arial"/>
                <w:sz w:val="18"/>
                <w:szCs w:val="18"/>
                <w:color w:val="auto"/>
              </w:rPr>
              <w:t>Market Comparables</w:t>
            </w:r>
          </w:p>
        </w:tc>
        <w:tc>
          <w:tcPr>
            <w:tcW w:w="2240" w:type="dxa"/>
            <w:vAlign w:val="bottom"/>
            <w:gridSpan w:val="3"/>
          </w:tcPr>
          <w:p>
            <w:pPr>
              <w:ind w:left="200"/>
              <w:spacing w:after="0" w:line="201" w:lineRule="exact"/>
              <w:rPr>
                <w:sz w:val="20"/>
                <w:szCs w:val="20"/>
                <w:color w:val="auto"/>
              </w:rPr>
            </w:pPr>
            <w:r>
              <w:rPr>
                <w:rFonts w:ascii="Arial" w:cs="Arial" w:eastAsia="Arial" w:hAnsi="Arial"/>
                <w:sz w:val="18"/>
                <w:szCs w:val="18"/>
                <w:color w:val="auto"/>
              </w:rPr>
              <w:t>EBITDA Multiples (x)</w:t>
            </w:r>
          </w:p>
        </w:tc>
        <w:tc>
          <w:tcPr>
            <w:tcW w:w="1220" w:type="dxa"/>
            <w:vAlign w:val="bottom"/>
          </w:tcPr>
          <w:p>
            <w:pPr>
              <w:spacing w:after="0"/>
              <w:rPr>
                <w:sz w:val="17"/>
                <w:szCs w:val="17"/>
                <w:color w:val="auto"/>
              </w:rPr>
            </w:pPr>
          </w:p>
        </w:tc>
      </w:tr>
      <w:tr>
        <w:trPr>
          <w:trHeight w:val="244"/>
        </w:trPr>
        <w:tc>
          <w:tcPr>
            <w:tcW w:w="42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40" w:type="dxa"/>
            <w:vAlign w:val="bottom"/>
            <w:gridSpan w:val="3"/>
          </w:tcPr>
          <w:p>
            <w:pPr>
              <w:ind w:left="200"/>
              <w:spacing w:after="0"/>
              <w:rPr>
                <w:sz w:val="20"/>
                <w:szCs w:val="20"/>
                <w:color w:val="auto"/>
              </w:rPr>
            </w:pPr>
            <w:r>
              <w:rPr>
                <w:rFonts w:ascii="Arial" w:cs="Arial" w:eastAsia="Arial" w:hAnsi="Arial"/>
                <w:sz w:val="18"/>
                <w:szCs w:val="18"/>
                <w:color w:val="auto"/>
              </w:rPr>
              <w:t>Revenue Multiples</w:t>
            </w:r>
          </w:p>
        </w:tc>
        <w:tc>
          <w:tcPr>
            <w:tcW w:w="1220" w:type="dxa"/>
            <w:vAlign w:val="bottom"/>
          </w:tcPr>
          <w:p>
            <w:pPr>
              <w:jc w:val="center"/>
              <w:spacing w:after="0"/>
              <w:rPr>
                <w:sz w:val="20"/>
                <w:szCs w:val="20"/>
                <w:color w:val="auto"/>
              </w:rPr>
            </w:pPr>
            <w:r>
              <w:rPr>
                <w:rFonts w:ascii="Arial" w:cs="Arial" w:eastAsia="Arial" w:hAnsi="Arial"/>
                <w:sz w:val="18"/>
                <w:szCs w:val="18"/>
                <w:color w:val="auto"/>
                <w:w w:val="91"/>
              </w:rPr>
              <w:t>6.8x - 16.4x</w:t>
            </w:r>
          </w:p>
        </w:tc>
      </w:tr>
      <w:tr>
        <w:trPr>
          <w:trHeight w:val="365"/>
        </w:trPr>
        <w:tc>
          <w:tcPr>
            <w:tcW w:w="4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2"/>
          </w:tcPr>
          <w:p>
            <w:pPr>
              <w:jc w:val="right"/>
              <w:ind w:right="1613"/>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340"/>
          </w:cols>
          <w:pgMar w:left="240" w:top="125"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or revenue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 For investments utilizing a market quote in deriving a value, a significant increase (decrease) in the market quote, in isolation, would result in a significantly higher (lower) fair value measurement.</w:t>
      </w:r>
    </w:p>
    <w:p>
      <w:pPr>
        <w:spacing w:after="0" w:line="19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August 31, 2016,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9,687</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9,516</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154,662</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55.5</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153,276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87,256</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87,024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10,948</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11,917</w:t>
            </w: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16,054</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11,071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278,607</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272,804</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investments as of February 29, 2016, at amortized cost and fair value were as follows (dollars in thousands):</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14,138</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11,868</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146,246</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144,643</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50.9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89,486</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31.9</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88,178</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13,031</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12,828</w:t>
            </w:r>
          </w:p>
        </w:tc>
        <w:tc>
          <w:tcPr>
            <w:tcW w:w="9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18,275</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26,479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281,176</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283,996</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456"/>
        <w:spacing w:after="0" w:line="272"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40"/>
        <w:spacing w:after="0" w:line="286" w:lineRule="auto"/>
        <w:rPr>
          <w:sz w:val="20"/>
          <w:szCs w:val="20"/>
          <w:color w:val="auto"/>
        </w:rPr>
      </w:pPr>
      <w:r>
        <w:rPr>
          <w:rFonts w:ascii="Arial" w:cs="Arial" w:eastAsia="Arial" w:hAnsi="Arial"/>
          <w:sz w:val="17"/>
          <w:szCs w:val="17"/>
          <w:color w:val="auto"/>
        </w:rPr>
        <w:t>company, considering offers from third parties to buy the company, estimating the value to potential strategic buyers and considering 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66"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Our investment in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For the quarter ended November 30, 2013, in connection with the refinancing of the Saratoga CLO liabilities, we ran Intex models based on assumptions about the refinanced Saratoga CLO’s structure, including capital structure, cost of liabilities and reinvestment period. We use the output from the Intex models (i.e., the estimated cash flows) to perform a discounted cash flow analysis on expected future cash flows to determine a valuation for our investment in Saratoga CLO at August 31, 2016. The significant inputs for the valuation model include:</w:t>
      </w:r>
    </w:p>
    <w:p>
      <w:pPr>
        <w:spacing w:after="0" w:line="75"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Recovery rates: 35-70%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Prepayment rate: 20.0%</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Reinvestment rate / price: L+375bps / $99.50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On January 22, 2008, we invested $30.0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three months ended August 31, 2016 and August 31, 2015, we accrued $0.4 million and</w:t>
      </w:r>
    </w:p>
    <w:p>
      <w:pPr>
        <w:spacing w:after="0" w:line="1"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$0.4 million in management fee income, respectively, and $0.6 million and $0.7 million in interest income, respectively, from Saratoga CLO. For the six months ended August 31, 2016 and August 31, 2015, we accrued $0.7 million and $0.8 million in management fee income, respectively, and $1.1 million and $1.3 million in interest income, respectively, from Saratoga CLO. We did not accrue any amounts related to the incentive management fee from Saratoga CLO as the 12.0% hurdle rate has not yet been achieved.</w:t>
      </w:r>
    </w:p>
    <w:p>
      <w:pPr>
        <w:spacing w:after="0" w:line="190" w:lineRule="exact"/>
        <w:rPr>
          <w:sz w:val="20"/>
          <w:szCs w:val="20"/>
          <w:color w:val="auto"/>
        </w:rPr>
      </w:pPr>
    </w:p>
    <w:p>
      <w:pPr>
        <w:ind w:right="80" w:firstLine="456"/>
        <w:spacing w:after="0" w:line="286" w:lineRule="auto"/>
        <w:rPr>
          <w:sz w:val="20"/>
          <w:szCs w:val="20"/>
          <w:color w:val="auto"/>
        </w:rPr>
      </w:pPr>
      <w:r>
        <w:rPr>
          <w:rFonts w:ascii="Arial" w:cs="Arial" w:eastAsia="Arial" w:hAnsi="Arial"/>
          <w:sz w:val="16"/>
          <w:szCs w:val="16"/>
          <w:color w:val="auto"/>
        </w:rPr>
        <w:t>At August 31, 2016, the Company determined that the fair value of its investment in the subordinated notes of Saratoga CLO was $11.9 million. The Company determines the fair value of its investment in the subordinated notes of Saratoga CLO based on the present value of the projected future cash flows of the subordinated notes over the life of Saratoga CLO. At August 31, 2016, Saratoga CLO had investments with a principal balance of $299.5 million and a weighted average spread over LIBOR of 4.41%, and had debt with a principal balance of $282.4 million with a weighted average spread over LIBOR of</w:t>
      </w:r>
    </w:p>
    <w:p>
      <w:pPr>
        <w:spacing w:after="0" w:line="2" w:lineRule="exact"/>
        <w:rPr>
          <w:sz w:val="20"/>
          <w:szCs w:val="20"/>
          <w:color w:val="auto"/>
        </w:rPr>
      </w:pPr>
    </w:p>
    <w:p>
      <w:pPr>
        <w:ind w:right="160"/>
        <w:spacing w:after="0" w:line="295" w:lineRule="auto"/>
        <w:rPr>
          <w:sz w:val="20"/>
          <w:szCs w:val="20"/>
          <w:color w:val="auto"/>
        </w:rPr>
      </w:pPr>
      <w:r>
        <w:rPr>
          <w:rFonts w:ascii="Arial" w:cs="Arial" w:eastAsia="Arial" w:hAnsi="Arial"/>
          <w:sz w:val="16"/>
          <w:szCs w:val="16"/>
          <w:color w:val="auto"/>
        </w:rPr>
        <w:t>1.84%. As a result, Saratoga CLO earns a “spread” between the interest income it receives on its investments and the interest expense it pays on its debt and other operating expenses, which is distributed quarterly to the Company as the holder of its subordinated notes. At August 31, 2016, the present value of the projected future cash flows of the subordinated notes was approximately $11.9 million, using an 18.0% discount rate. Saratoga Investment Corp. invested $32.8 million into the CLO since January 2008, and to date has since received distributions of $47.9 million and management fees of $15.7 million.</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Below is certain financial information from the separate financial statements of Saratoga CLO as of August 31, 2016 (unaudited) and February 29, 2016 and for the three and six months ended August 31, 2016 and August 31, 2015 (unaudited).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As of</w:t>
            </w:r>
          </w:p>
        </w:tc>
        <w:tc>
          <w:tcPr>
            <w:tcW w:w="9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3"/>
          </w:tcPr>
          <w:p>
            <w:pPr>
              <w:jc w:val="right"/>
              <w:ind w:right="168"/>
              <w:spacing w:after="0" w:line="142" w:lineRule="exact"/>
              <w:rPr>
                <w:sz w:val="20"/>
                <w:szCs w:val="20"/>
                <w:color w:val="auto"/>
              </w:rPr>
            </w:pPr>
            <w:r>
              <w:rPr>
                <w:rFonts w:ascii="Arial" w:cs="Arial" w:eastAsia="Arial" w:hAnsi="Arial"/>
                <w:sz w:val="14"/>
                <w:szCs w:val="14"/>
                <w:b w:val="1"/>
                <w:bCs w:val="1"/>
                <w:color w:val="auto"/>
                <w:w w:val="95"/>
              </w:rPr>
              <w:t>August 31, 2016</w:t>
            </w:r>
          </w:p>
        </w:tc>
        <w:tc>
          <w:tcPr>
            <w:tcW w:w="140" w:type="dxa"/>
            <w:vAlign w:val="bottom"/>
          </w:tcPr>
          <w:p>
            <w:pPr>
              <w:spacing w:after="0"/>
              <w:rPr>
                <w:sz w:val="12"/>
                <w:szCs w:val="12"/>
                <w:color w:val="auto"/>
              </w:rPr>
            </w:pPr>
          </w:p>
        </w:tc>
        <w:tc>
          <w:tcPr>
            <w:tcW w:w="11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4"/>
              </w:rPr>
              <w:t>February 29, 2016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5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jc w:val="right"/>
              <w:ind w:right="131"/>
              <w:spacing w:after="0" w:line="142" w:lineRule="exact"/>
              <w:rPr>
                <w:sz w:val="20"/>
                <w:szCs w:val="20"/>
                <w:color w:val="auto"/>
              </w:rPr>
            </w:pPr>
            <w:r>
              <w:rPr>
                <w:rFonts w:ascii="Arial" w:cs="Arial" w:eastAsia="Arial" w:hAnsi="Arial"/>
                <w:sz w:val="14"/>
                <w:szCs w:val="14"/>
                <w:color w:val="auto"/>
              </w:rPr>
              <w:t>(unaudited)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Investments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Fair Value Loans (amortized cost of $296,436,508 and $300,112,538, respectively)</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290,944,255</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284,652,926</w:t>
            </w:r>
          </w:p>
        </w:tc>
        <w:tc>
          <w:tcPr>
            <w:tcW w:w="0" w:type="dxa"/>
            <w:vAlign w:val="bottom"/>
          </w:tcPr>
          <w:p>
            <w:pPr>
              <w:spacing w:after="0"/>
              <w:rPr>
                <w:sz w:val="1"/>
                <w:szCs w:val="1"/>
                <w:color w:val="auto"/>
              </w:rPr>
            </w:pPr>
          </w:p>
        </w:tc>
      </w:tr>
      <w:tr>
        <w:trPr>
          <w:trHeight w:val="223"/>
        </w:trPr>
        <w:tc>
          <w:tcPr>
            <w:tcW w:w="8520" w:type="dxa"/>
            <w:vAlign w:val="bottom"/>
          </w:tcPr>
          <w:p>
            <w:pPr>
              <w:ind w:left="360"/>
              <w:spacing w:after="0"/>
              <w:rPr>
                <w:sz w:val="20"/>
                <w:szCs w:val="20"/>
                <w:color w:val="auto"/>
              </w:rPr>
            </w:pPr>
            <w:r>
              <w:rPr>
                <w:rFonts w:ascii="Arial" w:cs="Arial" w:eastAsia="Arial" w:hAnsi="Arial"/>
                <w:sz w:val="18"/>
                <w:szCs w:val="18"/>
                <w:color w:val="auto"/>
                <w:w w:val="95"/>
              </w:rPr>
              <w:t>Fair Value Other/Structured finance securities (amortized cost of $3,531,218 and $3,531,218, respectively)</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191,863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investments at fair value (amortized cost of $299,967,726 and $303,643,756, respectively)</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290,957,156</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284,844,789</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5,172,517</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2,349,633</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open trades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2,242,500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2,691,831</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Interest receivable</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1,782,055</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1,698,562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assets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300,154,228</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291,584,815</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LIABILITIES</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Interest payable</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836,806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626,040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Payable from open trades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4,983,454</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7,123,854</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Accrued base management fee</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85,448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Accrued subordinated management fee</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85,448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85,008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A-1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170,000,000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170,000,000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A-1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(1,230,503)</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(1,319,258)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A-2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20,000,000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A-2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(127,550)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(136,750)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B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44,800,000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B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(828,565)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(888,328)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C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16,000,000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C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(515,869)</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(553,078)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D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14,000,000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D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(669,638)</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(717,938)</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E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13,100,000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E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(1,262,461)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(1,353,521)</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Class F Notes - SIC CLO 2013-1, Ltd.</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4,500,000</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Discount on Class F Notes - SIC CLO 2013-1, Ltd.</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48"/>
              <w:spacing w:after="0"/>
              <w:rPr>
                <w:sz w:val="20"/>
                <w:szCs w:val="20"/>
                <w:color w:val="auto"/>
              </w:rPr>
            </w:pPr>
            <w:r>
              <w:rPr>
                <w:rFonts w:ascii="Arial" w:cs="Arial" w:eastAsia="Arial" w:hAnsi="Arial"/>
                <w:sz w:val="18"/>
                <w:szCs w:val="18"/>
                <w:color w:val="auto"/>
              </w:rPr>
              <w:t>(459,180)</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(492,300)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Deferred debt financing costs, SIC CLO 2013-1, Ltd. Notes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(1,604,034)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(1,716,554)</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Subordinated Notes</w:t>
            </w:r>
          </w:p>
        </w:tc>
        <w:tc>
          <w:tcPr>
            <w:tcW w:w="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w w:val="93"/>
              </w:rPr>
              <w:t>311,693,356</w:t>
            </w:r>
          </w:p>
        </w:tc>
        <w:tc>
          <w:tcPr>
            <w:tcW w:w="3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313,142,183</w:t>
            </w:r>
          </w:p>
        </w:tc>
        <w:tc>
          <w:tcPr>
            <w:tcW w:w="0" w:type="dxa"/>
            <w:vAlign w:val="bottom"/>
          </w:tcPr>
          <w:p>
            <w:pPr>
              <w:spacing w:after="0"/>
              <w:rPr>
                <w:sz w:val="1"/>
                <w:szCs w:val="1"/>
                <w:color w:val="auto"/>
              </w:rPr>
            </w:pPr>
          </w:p>
        </w:tc>
      </w:tr>
      <w:tr>
        <w:trPr>
          <w:trHeight w:val="20"/>
        </w:trPr>
        <w:tc>
          <w:tcPr>
            <w:tcW w:w="8520" w:type="dxa"/>
            <w:vAlign w:val="bottom"/>
            <w:vMerge w:val="restart"/>
          </w:tcPr>
          <w:p>
            <w:pPr>
              <w:spacing w:after="0"/>
              <w:rPr>
                <w:sz w:val="20"/>
                <w:szCs w:val="20"/>
                <w:color w:val="auto"/>
              </w:rPr>
            </w:pPr>
            <w:r>
              <w:rPr>
                <w:rFonts w:ascii="Arial" w:cs="Arial" w:eastAsia="Arial" w:hAnsi="Arial"/>
                <w:sz w:val="18"/>
                <w:szCs w:val="18"/>
                <w:color w:val="auto"/>
              </w:rPr>
              <w:t>Commitments and contingencies</w:t>
            </w: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5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NET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w w:val="92"/>
              </w:rPr>
              <w:t>Ordinary equity, par value $1.00, 250 ordinary shares authorized, 250 and 250 issued and outstanding, respectively</w:t>
            </w: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08"/>
              <w:spacing w:after="0"/>
              <w:rPr>
                <w:sz w:val="20"/>
                <w:szCs w:val="20"/>
                <w:color w:val="auto"/>
              </w:rPr>
            </w:pPr>
            <w:r>
              <w:rPr>
                <w:rFonts w:ascii="Arial" w:cs="Arial" w:eastAsia="Arial" w:hAnsi="Arial"/>
                <w:sz w:val="18"/>
                <w:szCs w:val="18"/>
                <w:color w:val="auto"/>
              </w:rPr>
              <w:t>250</w:t>
            </w:r>
          </w:p>
        </w:tc>
        <w:tc>
          <w:tcPr>
            <w:tcW w:w="30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8520" w:type="dxa"/>
            <w:vAlign w:val="bottom"/>
            <w:shd w:val="clear" w:color="auto" w:fill="CCEEFF"/>
          </w:tcPr>
          <w:p>
            <w:pPr>
              <w:spacing w:after="0"/>
              <w:rPr>
                <w:sz w:val="20"/>
                <w:szCs w:val="20"/>
                <w:color w:val="auto"/>
              </w:rPr>
            </w:pPr>
            <w:r>
              <w:rPr>
                <w:rFonts w:ascii="Arial" w:cs="Arial" w:eastAsia="Arial" w:hAnsi="Arial"/>
                <w:sz w:val="18"/>
                <w:szCs w:val="18"/>
                <w:color w:val="auto"/>
              </w:rPr>
              <w:t>Accumulated loss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7"/>
              </w:rPr>
              <w:t>(21,557,623)</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(5,803,406)</w:t>
            </w:r>
          </w:p>
        </w:tc>
        <w:tc>
          <w:tcPr>
            <w:tcW w:w="0" w:type="dxa"/>
            <w:vAlign w:val="bottom"/>
          </w:tcPr>
          <w:p>
            <w:pPr>
              <w:spacing w:after="0"/>
              <w:rPr>
                <w:sz w:val="1"/>
                <w:szCs w:val="1"/>
                <w:color w:val="auto"/>
              </w:rPr>
            </w:pPr>
          </w:p>
        </w:tc>
      </w:tr>
      <w:tr>
        <w:trPr>
          <w:trHeight w:val="216"/>
        </w:trPr>
        <w:tc>
          <w:tcPr>
            <w:tcW w:w="8520" w:type="dxa"/>
            <w:vAlign w:val="bottom"/>
          </w:tcPr>
          <w:p>
            <w:pPr>
              <w:spacing w:after="0"/>
              <w:rPr>
                <w:sz w:val="20"/>
                <w:szCs w:val="20"/>
                <w:color w:val="auto"/>
              </w:rPr>
            </w:pPr>
            <w:r>
              <w:rPr>
                <w:rFonts w:ascii="Arial" w:cs="Arial" w:eastAsia="Arial" w:hAnsi="Arial"/>
                <w:sz w:val="18"/>
                <w:szCs w:val="18"/>
                <w:color w:val="auto"/>
              </w:rPr>
              <w:t>Net gain (loss)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10,018,245</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(15,754,212)</w:t>
            </w:r>
          </w:p>
        </w:tc>
        <w:tc>
          <w:tcPr>
            <w:tcW w:w="0" w:type="dxa"/>
            <w:vAlign w:val="bottom"/>
          </w:tcPr>
          <w:p>
            <w:pPr>
              <w:spacing w:after="0"/>
              <w:rPr>
                <w:sz w:val="1"/>
                <w:szCs w:val="1"/>
                <w:color w:val="auto"/>
              </w:rPr>
            </w:pPr>
          </w:p>
        </w:tc>
      </w:tr>
      <w:tr>
        <w:trPr>
          <w:trHeight w:val="27"/>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5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net assets</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w w:val="97"/>
              </w:rPr>
              <w:t>(11,539,128)</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(21,557,368)</w:t>
            </w:r>
          </w:p>
        </w:tc>
        <w:tc>
          <w:tcPr>
            <w:tcW w:w="0" w:type="dxa"/>
            <w:vAlign w:val="bottom"/>
          </w:tcPr>
          <w:p>
            <w:pPr>
              <w:spacing w:after="0"/>
              <w:rPr>
                <w:sz w:val="1"/>
                <w:szCs w:val="1"/>
                <w:color w:val="auto"/>
              </w:rPr>
            </w:pPr>
          </w:p>
        </w:tc>
      </w:tr>
      <w:tr>
        <w:trPr>
          <w:trHeight w:val="223"/>
        </w:trPr>
        <w:tc>
          <w:tcPr>
            <w:tcW w:w="8520" w:type="dxa"/>
            <w:vAlign w:val="bottom"/>
          </w:tcPr>
          <w:p>
            <w:pPr>
              <w:spacing w:after="0"/>
              <w:rPr>
                <w:sz w:val="20"/>
                <w:szCs w:val="20"/>
                <w:color w:val="auto"/>
              </w:rPr>
            </w:pPr>
            <w:r>
              <w:rPr>
                <w:rFonts w:ascii="Arial" w:cs="Arial" w:eastAsia="Arial" w:hAnsi="Arial"/>
                <w:sz w:val="18"/>
                <w:szCs w:val="18"/>
                <w:color w:val="auto"/>
              </w:rPr>
              <w:t>Total liabilities and net assets</w:t>
            </w:r>
          </w:p>
        </w:tc>
        <w:tc>
          <w:tcPr>
            <w:tcW w:w="2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300,154,228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291,584,815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520" w:type="dxa"/>
            <w:vAlign w:val="bottom"/>
            <w:vMerge w:val="restart"/>
          </w:tcPr>
          <w:p>
            <w:pPr>
              <w:ind w:left="5620"/>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52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260"/>
              <w:spacing w:after="0"/>
              <w:rPr>
                <w:sz w:val="20"/>
                <w:szCs w:val="20"/>
                <w:color w:val="auto"/>
              </w:rPr>
            </w:pPr>
            <w:r>
              <w:rPr>
                <w:rFonts w:ascii="Arial" w:cs="Arial" w:eastAsia="Arial" w:hAnsi="Arial"/>
                <w:sz w:val="14"/>
                <w:szCs w:val="14"/>
                <w:b w:val="1"/>
                <w:bCs w:val="1"/>
                <w:color w:val="auto"/>
                <w:w w:val="95"/>
              </w:rPr>
              <w:t>For the 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w w:val="99"/>
              </w:rPr>
              <w:t>For the six months ended</w:t>
            </w:r>
          </w:p>
        </w:tc>
        <w:tc>
          <w:tcPr>
            <w:tcW w:w="0" w:type="dxa"/>
            <w:vAlign w:val="bottom"/>
          </w:tcPr>
          <w:p>
            <w:pPr>
              <w:spacing w:after="0"/>
              <w:rPr>
                <w:sz w:val="1"/>
                <w:szCs w:val="1"/>
                <w:color w:val="auto"/>
              </w:rPr>
            </w:pPr>
          </w:p>
        </w:tc>
      </w:tr>
      <w:tr>
        <w:trPr>
          <w:trHeight w:val="171"/>
        </w:trPr>
        <w:tc>
          <w:tcPr>
            <w:tcW w:w="6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2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August 31</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42"/>
        </w:trPr>
        <w:tc>
          <w:tcPr>
            <w:tcW w:w="6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6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4,028,665</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$ 3,638,587</w:t>
            </w:r>
          </w:p>
        </w:tc>
        <w:tc>
          <w:tcPr>
            <w:tcW w:w="18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7,817,001</w:t>
            </w:r>
          </w:p>
        </w:tc>
        <w:tc>
          <w:tcPr>
            <w:tcW w:w="160" w:type="dxa"/>
            <w:vAlign w:val="bottom"/>
          </w:tcPr>
          <w:p>
            <w:pPr>
              <w:spacing w:after="0"/>
              <w:rPr>
                <w:sz w:val="18"/>
                <w:szCs w:val="18"/>
                <w:color w:val="auto"/>
              </w:rPr>
            </w:pP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$ 7,151,174</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1,938</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215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2,709</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505</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Other income</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189,836</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69,878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433,137</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233,993</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4,220,439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3,708,680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8,252,847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7,385,672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EXPENSES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3,608,788</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3,013,007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6,889,803</w:t>
            </w:r>
          </w:p>
        </w:tc>
        <w:tc>
          <w:tcPr>
            <w:tcW w:w="16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5,859,643</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Professional fees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20,944</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53,177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39,426</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112,399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14,147</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5,763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22,391</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10,688</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Base management fee</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187,329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186,576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374,171</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375,949</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187,329</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186,576</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374,171</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375,949</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Trustee expenses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37,839</w:t>
            </w:r>
          </w:p>
        </w:tc>
        <w:tc>
          <w:tcPr>
            <w:tcW w:w="1200" w:type="dxa"/>
            <w:vAlign w:val="bottom"/>
            <w:gridSpan w:val="3"/>
          </w:tcPr>
          <w:p>
            <w:pPr>
              <w:jc w:val="right"/>
              <w:ind w:right="100"/>
              <w:spacing w:after="0"/>
              <w:rPr>
                <w:sz w:val="20"/>
                <w:szCs w:val="20"/>
                <w:color w:val="auto"/>
              </w:rPr>
            </w:pPr>
            <w:r>
              <w:rPr>
                <w:rFonts w:ascii="Arial" w:cs="Arial" w:eastAsia="Arial" w:hAnsi="Arial"/>
                <w:sz w:val="18"/>
                <w:szCs w:val="18"/>
                <w:color w:val="auto"/>
              </w:rPr>
              <w:t>36,737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64,527</w:t>
            </w:r>
          </w:p>
        </w:tc>
        <w:tc>
          <w:tcPr>
            <w:tcW w:w="1140" w:type="dxa"/>
            <w:vAlign w:val="bottom"/>
            <w:gridSpan w:val="3"/>
          </w:tcPr>
          <w:p>
            <w:pPr>
              <w:jc w:val="right"/>
              <w:ind w:right="20"/>
              <w:spacing w:after="0"/>
              <w:rPr>
                <w:sz w:val="20"/>
                <w:szCs w:val="20"/>
                <w:color w:val="auto"/>
              </w:rPr>
            </w:pPr>
            <w:r>
              <w:rPr>
                <w:rFonts w:ascii="Arial" w:cs="Arial" w:eastAsia="Arial" w:hAnsi="Arial"/>
                <w:sz w:val="18"/>
                <w:szCs w:val="18"/>
                <w:color w:val="auto"/>
              </w:rPr>
              <w:t>68,021</w:t>
            </w: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239,963</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239,963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479,926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479,926</w:t>
            </w:r>
          </w:p>
        </w:tc>
        <w:tc>
          <w:tcPr>
            <w:tcW w:w="0" w:type="dxa"/>
            <w:vAlign w:val="bottom"/>
          </w:tcPr>
          <w:p>
            <w:pPr>
              <w:spacing w:after="0"/>
              <w:rPr>
                <w:sz w:val="1"/>
                <w:szCs w:val="1"/>
                <w:color w:val="auto"/>
              </w:rPr>
            </w:pPr>
          </w:p>
        </w:tc>
      </w:tr>
      <w:tr>
        <w:trPr>
          <w:trHeight w:val="230"/>
        </w:trPr>
        <w:tc>
          <w:tcPr>
            <w:tcW w:w="666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4,296,339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3,721,799</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8,244,415</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7,282,575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 (LOSS)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(75,900)</w:t>
            </w:r>
          </w:p>
        </w:tc>
        <w:tc>
          <w:tcPr>
            <w:tcW w:w="12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(13,119)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8,432</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103,097</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66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165,854</w:t>
            </w:r>
          </w:p>
        </w:tc>
        <w:tc>
          <w:tcPr>
            <w:tcW w:w="12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89,084</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221,416</w:t>
            </w:r>
          </w:p>
        </w:tc>
        <w:tc>
          <w:tcPr>
            <w:tcW w:w="114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131,645</w:t>
            </w:r>
          </w:p>
        </w:tc>
        <w:tc>
          <w:tcPr>
            <w:tcW w:w="0" w:type="dxa"/>
            <w:vAlign w:val="bottom"/>
          </w:tcPr>
          <w:p>
            <w:pPr>
              <w:spacing w:after="0"/>
              <w:rPr>
                <w:sz w:val="1"/>
                <w:szCs w:val="1"/>
                <w:color w:val="auto"/>
              </w:rPr>
            </w:pPr>
          </w:p>
        </w:tc>
      </w:tr>
      <w:tr>
        <w:trPr>
          <w:trHeight w:val="216"/>
        </w:trPr>
        <w:tc>
          <w:tcPr>
            <w:tcW w:w="6660" w:type="dxa"/>
            <w:vAlign w:val="bottom"/>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467,724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(3,624,214)</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7"/>
              </w:rPr>
              <w:t>9,788,397</w:t>
            </w: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(3,710,046)</w:t>
            </w:r>
          </w:p>
        </w:tc>
        <w:tc>
          <w:tcPr>
            <w:tcW w:w="0" w:type="dxa"/>
            <w:vAlign w:val="bottom"/>
          </w:tcPr>
          <w:p>
            <w:pPr>
              <w:spacing w:after="0"/>
              <w:rPr>
                <w:sz w:val="1"/>
                <w:szCs w:val="1"/>
                <w:color w:val="auto"/>
              </w:rPr>
            </w:pPr>
          </w:p>
        </w:tc>
      </w:tr>
      <w:tr>
        <w:trPr>
          <w:trHeight w:val="27"/>
        </w:trPr>
        <w:tc>
          <w:tcPr>
            <w:tcW w:w="6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6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gain (loss) on investments</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633,578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(3,535,130)</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6"/>
              </w:rPr>
              <w:t>10,009,813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(3,578,401)</w:t>
            </w:r>
          </w:p>
        </w:tc>
        <w:tc>
          <w:tcPr>
            <w:tcW w:w="0" w:type="dxa"/>
            <w:vAlign w:val="bottom"/>
          </w:tcPr>
          <w:p>
            <w:pPr>
              <w:spacing w:after="0"/>
              <w:rPr>
                <w:sz w:val="1"/>
                <w:szCs w:val="1"/>
                <w:color w:val="auto"/>
              </w:rPr>
            </w:pPr>
          </w:p>
        </w:tc>
      </w:tr>
      <w:tr>
        <w:trPr>
          <w:trHeight w:val="223"/>
        </w:trPr>
        <w:tc>
          <w:tcPr>
            <w:tcW w:w="6660" w:type="dxa"/>
            <w:vAlign w:val="bottom"/>
          </w:tcPr>
          <w:p>
            <w:pPr>
              <w:spacing w:after="0"/>
              <w:rPr>
                <w:sz w:val="20"/>
                <w:szCs w:val="20"/>
                <w:color w:val="auto"/>
              </w:rPr>
            </w:pPr>
            <w:r>
              <w:rPr>
                <w:rFonts w:ascii="Arial" w:cs="Arial" w:eastAsia="Arial" w:hAnsi="Arial"/>
                <w:sz w:val="18"/>
                <w:szCs w:val="18"/>
                <w:color w:val="auto"/>
                <w:w w:val="97"/>
              </w:rPr>
              <w:t>NET INCREASE (DECREASE) IN NET ASSETS RESULTING FROM OPERATIONS</w:t>
            </w: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557,678</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(3,548,249</w:t>
            </w:r>
          </w:p>
        </w:tc>
        <w:tc>
          <w:tcPr>
            <w:tcW w:w="180" w:type="dxa"/>
            <w:vAlign w:val="bottom"/>
          </w:tcPr>
          <w:p>
            <w:pPr>
              <w:jc w:val="right"/>
              <w:ind w:right="4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10,018,245</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(3,475,304</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6660" w:type="dxa"/>
            <w:vAlign w:val="bottom"/>
            <w:vMerge w:val="restart"/>
          </w:tcPr>
          <w:p>
            <w:pPr>
              <w:ind w:left="562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6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Principal/</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600" w:type="dxa"/>
            <w:vAlign w:val="bottom"/>
            <w:vMerge w:val="restart"/>
          </w:tcPr>
          <w:p>
            <w:pPr>
              <w:spacing w:after="0"/>
              <w:rPr>
                <w:sz w:val="12"/>
                <w:szCs w:val="12"/>
                <w:color w:val="auto"/>
              </w:rPr>
            </w:pPr>
          </w:p>
        </w:tc>
        <w:tc>
          <w:tcPr>
            <w:tcW w:w="22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2"/>
                <w:szCs w:val="12"/>
                <w:color w:val="auto"/>
              </w:rPr>
            </w:pPr>
          </w:p>
        </w:tc>
        <w:tc>
          <w:tcPr>
            <w:tcW w:w="200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Asset Name</w:t>
            </w:r>
          </w:p>
        </w:tc>
        <w:tc>
          <w:tcPr>
            <w:tcW w:w="100" w:type="dxa"/>
            <w:vAlign w:val="bottom"/>
            <w:vMerge w:val="restart"/>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8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80" w:type="dxa"/>
            <w:vAlign w:val="bottom"/>
            <w:vMerge w:val="restart"/>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80" w:type="dxa"/>
            <w:vAlign w:val="bottom"/>
            <w:tcBorders>
              <w:bottom w:val="single" w:sz="8" w:color="auto"/>
            </w:tcBorders>
            <w:vMerge w:val="continue"/>
          </w:tcPr>
          <w:p>
            <w:pPr>
              <w:spacing w:after="0"/>
              <w:rPr>
                <w:sz w:val="14"/>
                <w:szCs w:val="14"/>
                <w:color w:val="auto"/>
              </w:rPr>
            </w:pPr>
          </w:p>
        </w:tc>
        <w:tc>
          <w:tcPr>
            <w:tcW w:w="1600" w:type="dxa"/>
            <w:vAlign w:val="bottom"/>
            <w:tcBorders>
              <w:bottom w:val="single" w:sz="8" w:color="CCEEFF"/>
            </w:tcBorders>
            <w:vMerge w:val="continue"/>
          </w:tcPr>
          <w:p>
            <w:pPr>
              <w:spacing w:after="0"/>
              <w:rPr>
                <w:sz w:val="14"/>
                <w:szCs w:val="14"/>
                <w:color w:val="auto"/>
              </w:rPr>
            </w:pPr>
          </w:p>
        </w:tc>
        <w:tc>
          <w:tcPr>
            <w:tcW w:w="22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200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CCEEFF"/>
            </w:tcBorders>
            <w:vMerge w:val="continue"/>
          </w:tcPr>
          <w:p>
            <w:pPr>
              <w:spacing w:after="0"/>
              <w:rPr>
                <w:sz w:val="14"/>
                <w:szCs w:val="14"/>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4"/>
                <w:szCs w:val="14"/>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4"/>
                <w:szCs w:val="14"/>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16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vMerge w:val="continue"/>
          </w:tcPr>
          <w:p>
            <w:pPr>
              <w:spacing w:after="0"/>
              <w:rPr>
                <w:sz w:val="14"/>
                <w:szCs w:val="14"/>
                <w:color w:val="auto"/>
              </w:rPr>
            </w:pPr>
          </w:p>
        </w:tc>
        <w:tc>
          <w:tcPr>
            <w:tcW w:w="80" w:type="dxa"/>
            <w:vAlign w:val="bottom"/>
            <w:tcBorders>
              <w:bottom w:val="single" w:sz="8" w:color="CCEEFF"/>
            </w:tcBorders>
            <w:vMerge w:val="continue"/>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760" w:type="dxa"/>
            <w:vAlign w:val="bottom"/>
            <w:tcBorders>
              <w:bottom w:val="single" w:sz="8" w:color="auto"/>
            </w:tcBorders>
            <w:gridSpan w:val="2"/>
            <w:vMerge w:val="continue"/>
          </w:tcPr>
          <w:p>
            <w:pPr>
              <w:spacing w:after="0"/>
              <w:rPr>
                <w:sz w:val="14"/>
                <w:szCs w:val="14"/>
                <w:color w:val="auto"/>
              </w:rPr>
            </w:pPr>
          </w:p>
        </w:tc>
        <w:tc>
          <w:tcPr>
            <w:tcW w:w="60" w:type="dxa"/>
            <w:vAlign w:val="bottom"/>
            <w:tcBorders>
              <w:bottom w:val="single" w:sz="8" w:color="CCEEFF"/>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3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22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0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A-2 Preferred Shares</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gridSpan w:val="2"/>
          </w:tcPr>
          <w:p>
            <w:pPr>
              <w:ind w:left="40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11,228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24 Hour Holdings III,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486,449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475,912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ABB Con-Cise Optical Group,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5/28/2021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1,987,793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2,006,260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Acosta Holdco,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9/26/2021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1,965,125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1,953,132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1,910,259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Initial</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4/29/2022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1,492,481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1,488,165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1,502,749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Services: Business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Delayed Draw 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2,458,719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2,455,834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2,438,434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Aegis Toxicology Science Corporation</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2,476,183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2,336,688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2,228,565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Agrofresh,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Food Services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1,971,495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1,950,300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Akorn,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4/16/2021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398,056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396,816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401,539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Albertson’s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Retailers (Except Food and Drugs)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B-4</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8/25/2021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2,903,452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2,893,319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2,915,327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Alere Inc. (fka IM US Holdings,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6/20/2022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922,606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920,608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911,073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rPr>
              <w:t>Alion Science and Technology</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High Tech Industries</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8/19/2021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2,970,000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2,957,287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2,821,500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Alliance Healthcare Services,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6/3/2019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989,713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985,285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942,701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APCO Holdings,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Automotive</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1/31/2022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1,934,566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1,937,813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Intermediaries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4/30/2022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242,065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241,040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239,192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U.S. Term F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3,134,390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3,134,390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3,143,198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7"/>
              </w:rPr>
              <w:t>Asurion, LLC (fka Asurion Corporation)</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Insurance</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2"/>
              </w:rPr>
              <w:t>Incremental Tranche B-1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5/24/2019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2,583,471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2,563,499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2,585,487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w w:val="97"/>
              </w:rPr>
              <w:t>Asurion, LLC (fka Asurion Corporation)</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Insurance</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B4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8/4/2022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2,446,875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2,436,006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2,445,994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Auction.com, LLC</w:t>
            </w:r>
          </w:p>
        </w:tc>
        <w:tc>
          <w:tcPr>
            <w:tcW w:w="2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Banking, Finance, Insurance &amp; Real</w:t>
            </w:r>
          </w:p>
        </w:tc>
        <w:tc>
          <w:tcPr>
            <w:tcW w:w="2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Estate</w:t>
            </w: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6.00%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5/13/2019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2,732,469</w:t>
            </w:r>
          </w:p>
        </w:tc>
        <w:tc>
          <w:tcPr>
            <w:tcW w:w="12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6"/>
              </w:rPr>
              <w:t>2,732,115</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2,725,638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w w:val="92"/>
              </w:rPr>
              <w:t>Avantor Performance Materials Holdings,</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Chemicals/Plastics</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6/21/2022</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2,000,000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1,993,354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1,996,260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Retailers (Except Food and Drugs)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6/5/2020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1,481,250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1,478,758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1,473,222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488,750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487,005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484,781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BJ’s Wholesale Club, Inc.</w:t>
            </w:r>
          </w:p>
        </w:tc>
        <w:tc>
          <w:tcPr>
            <w:tcW w:w="2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Food/Drug Retailers</w:t>
            </w:r>
          </w:p>
        </w:tc>
        <w:tc>
          <w:tcPr>
            <w:tcW w:w="2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1"/>
              </w:rPr>
              <w:t>New 2013 (November) Replacement</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10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Loan (First Lien)</w:t>
            </w: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9/26/2019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1,435,957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1,435,270</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1,434,564</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Technology</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9/10/2020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1,969,697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1,921,390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1,874,501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Brokers/Dealers/Investment Houses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12/18/2020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1,468,699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1,457,999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1,459,667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Brock Holdings III,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Industrial Equipment</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3/16/2017</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1,896,531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1,899,778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1,844,376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BWAY Holding Company</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8/14/2020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953,811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946,297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956,797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rPr>
              <w:t>Camp International Holding Company</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Aerospace and Defense</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w w:val="92"/>
              </w:rPr>
              <w:t>2013 Replacement Term Loan (First</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spacing w:after="0" w:line="159" w:lineRule="exact"/>
              <w:rPr>
                <w:sz w:val="20"/>
                <w:szCs w:val="20"/>
                <w:color w:val="auto"/>
              </w:rPr>
            </w:pPr>
            <w:r>
              <w:rPr>
                <w:rFonts w:ascii="Arial" w:cs="Arial" w:eastAsia="Arial" w:hAnsi="Arial"/>
                <w:sz w:val="14"/>
                <w:szCs w:val="14"/>
                <w:color w:val="auto"/>
              </w:rPr>
              <w:t>Lien)</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5/31/2019</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1,930,151</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1,930,675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1,915,675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Candy Intermediate Holdings,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Beverage, Food &amp; Tobacco</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6/15/2023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497,577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499,065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Capital Automotive L.P.</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Conglomerate</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Tranche B-1 Term Loan Facility</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4/10/2019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1,495,079</w:t>
            </w:r>
          </w:p>
        </w:tc>
        <w:tc>
          <w:tcPr>
            <w:tcW w:w="120" w:type="dxa"/>
            <w:vAlign w:val="bottom"/>
          </w:tcPr>
          <w:p>
            <w:pPr>
              <w:spacing w:after="0"/>
              <w:rPr>
                <w:sz w:val="12"/>
                <w:szCs w:val="12"/>
                <w:color w:val="auto"/>
              </w:rPr>
            </w:pPr>
          </w:p>
        </w:tc>
        <w:tc>
          <w:tcPr>
            <w:tcW w:w="7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6"/>
              </w:rPr>
              <w:t>1,497,110</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1,498,503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Drugs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490,001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488,239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492,540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Cengage Learning Acquisitions,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Publishing</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6/7/2023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1,485,661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1,497,195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3"/>
              </w:rPr>
              <w:t>Charter Communications Operating,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Cable and Satellite Television</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F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12/31/2020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1,617,873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1,613,777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1,618,989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w w:val="99"/>
              </w:rPr>
              <w:t>CHS/Community Health Systems,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G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12/31/2019</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1,017,431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993,225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976,520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9"/>
              </w:rPr>
              <w:t>CHS/Community Health Systems,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H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1/27/2021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1,872,045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1,824,244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1,793,813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Services: Business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160,337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159,733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159,536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Oil &amp; Gas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7/29/2021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1,974,924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1,954,351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1,939,869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w w:val="98"/>
              </w:rPr>
              <w:t>Communications Sales &amp; Leasing,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10/24/2022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1,969,384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4"/>
              </w:rPr>
              <w:t>Consolidated Aerospace Manufacturing,</w:t>
            </w:r>
          </w:p>
        </w:tc>
        <w:tc>
          <w:tcPr>
            <w:tcW w:w="2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Aerospace and Defense</w:t>
            </w:r>
          </w:p>
        </w:tc>
        <w:tc>
          <w:tcPr>
            <w:tcW w:w="2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LLC</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8/11/2022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1,437,500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1,430,957</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1,336,875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Concordia Healthcare Corporation</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10/21/2021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1,892,925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1,881,485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CPI Acquisition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8/17/2022</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1,436,782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1,417,341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1,396,667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w w:val="97"/>
              </w:rPr>
              <w:t>CPI International Acquisition, Inc. (f/k/a</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Electronics/Electric</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rPr>
              <w:t>Term B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Catalyst Holdings, Inc.)</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11/17/2017</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1,556,222</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1,556,222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1,536,769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Crosby US Acquisition Corporation</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Industrial Equipment</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11/23/2020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731,250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730,594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597,343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w w:val="93"/>
              </w:rPr>
              <w:t>CT Technologies Intermediate Hldgs,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12/1/2021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1,477,575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1,465,276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1,448,024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Conglomerate</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Dollar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12/19/2017</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3,767,616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3,716,501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3,692,264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Conglomerate</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Dollar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6/19/2018</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759,653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752,814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Cumulus Media Holdings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Broadcast Radio and Television</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w w:val="91"/>
              </w:rPr>
              <w:t>12/23/2020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467,008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326,324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DAE Aviation (StandardAero)</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1,976,439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1,990,459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Intermediaries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3/19/2018</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2,393,304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2,383,863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2,393,304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Dell International,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Technology</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B2</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2,880,793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2,869,784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2,889,435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7/30/2021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996,178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994,250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w w:val="91"/>
              </w:rPr>
              <w:t>Deluxe Entertainment Service Group,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2/28/2020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1,882,982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1,884,133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1,835,908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5/7/2021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923,536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925,210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(Add-On)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982,323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996,250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Diebold, Inc.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High Tech Industries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11/6/2023</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495,193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501,875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DJO Finance,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6/8/2020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493,182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477,056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DPX Holdings B.V.</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2015 Incr Dollar</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2,940,000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2,934,157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2,927,152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Drew Marine Group,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Chemicals/Plastics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w w:val="91"/>
              </w:rPr>
              <w:t>11/19/2020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2,456,135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2,432,203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2,400,872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DTZ U.S. Borrower,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Construction &amp; Building</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 Add-on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1,972,519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1,963,587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1,962,045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rPr>
              <w:t>Edelman Financial Group, Inc.</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Banking, Finance, Insurance &amp; Real</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340" w:type="dxa"/>
            <w:vAlign w:val="bottom"/>
            <w:gridSpan w:val="2"/>
          </w:tcPr>
          <w:p>
            <w:pPr>
              <w:spacing w:after="0" w:line="159" w:lineRule="exact"/>
              <w:rPr>
                <w:sz w:val="20"/>
                <w:szCs w:val="20"/>
                <w:color w:val="auto"/>
              </w:rPr>
            </w:pPr>
            <w:r>
              <w:rPr>
                <w:rFonts w:ascii="Arial" w:cs="Arial" w:eastAsia="Arial" w:hAnsi="Arial"/>
                <w:sz w:val="14"/>
                <w:szCs w:val="14"/>
                <w:color w:val="auto"/>
              </w:rPr>
              <w:t>Estate</w:t>
            </w: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w w:val="91"/>
              </w:rPr>
              <w:t>12/19/2022</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1,492,500</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1,464,947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1,495,306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A</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7/2/2020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487,043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126,331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rPr>
              <w:t>Education Management II, LLC</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w w:val="99"/>
              </w:rPr>
              <w:t>Term Loan B (2.00% Cash/6.50%</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60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100" w:type="dxa"/>
            <w:vAlign w:val="bottom"/>
            <w:gridSpan w:val="2"/>
          </w:tcPr>
          <w:p>
            <w:pPr>
              <w:spacing w:after="0" w:line="159" w:lineRule="exact"/>
              <w:rPr>
                <w:sz w:val="20"/>
                <w:szCs w:val="20"/>
                <w:color w:val="auto"/>
              </w:rPr>
            </w:pPr>
            <w:r>
              <w:rPr>
                <w:rFonts w:ascii="Arial" w:cs="Arial" w:eastAsia="Arial" w:hAnsi="Arial"/>
                <w:sz w:val="14"/>
                <w:szCs w:val="14"/>
                <w:color w:val="auto"/>
              </w:rPr>
              <w:t>PIK)</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8.50%</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7/2/2020</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rPr>
              <w:t>923,048</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900,098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rPr>
              <w:t>38,463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8/1/2021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482,159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480,366</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482,964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Emerald Performance Materials,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Chemicals/Plastics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(Second Lien)</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497,983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489,165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Emerald 2 Limited</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B1A</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5/14/2021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992,962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906,670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Endo International plc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9/26/2022</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992,780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989,090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EnergySolutions, LLC</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Environmental Industries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5/29/2020</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784,320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787,050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Engility Corporation</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B-1</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4.88%</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8/12/2020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250,000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248,757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251,408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Evergreen Acqco 1 LP</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Retailers (Except Food and Drugs)</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7/9/2019</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960,094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958,777</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834,321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340" w:type="dxa"/>
            <w:vAlign w:val="bottom"/>
            <w:gridSpan w:val="2"/>
          </w:tcPr>
          <w:p>
            <w:pPr>
              <w:spacing w:after="0" w:line="138" w:lineRule="exact"/>
              <w:rPr>
                <w:sz w:val="20"/>
                <w:szCs w:val="20"/>
                <w:color w:val="auto"/>
              </w:rPr>
            </w:pPr>
            <w:r>
              <w:rPr>
                <w:rFonts w:ascii="Arial" w:cs="Arial" w:eastAsia="Arial" w:hAnsi="Arial"/>
                <w:sz w:val="14"/>
                <w:szCs w:val="14"/>
                <w:color w:val="auto"/>
              </w:rPr>
              <w:t>Industrial Equipment</w:t>
            </w:r>
          </w:p>
        </w:tc>
        <w:tc>
          <w:tcPr>
            <w:tcW w:w="2100" w:type="dxa"/>
            <w:vAlign w:val="bottom"/>
            <w:gridSpan w:val="2"/>
          </w:tcPr>
          <w:p>
            <w:pPr>
              <w:spacing w:after="0" w:line="138" w:lineRule="exact"/>
              <w:rPr>
                <w:sz w:val="20"/>
                <w:szCs w:val="20"/>
                <w:color w:val="auto"/>
              </w:rPr>
            </w:pPr>
            <w:r>
              <w:rPr>
                <w:rFonts w:ascii="Arial" w:cs="Arial" w:eastAsia="Arial" w:hAnsi="Arial"/>
                <w:sz w:val="14"/>
                <w:szCs w:val="14"/>
                <w:color w:val="auto"/>
              </w:rPr>
              <w:t>Term Loan (First Lien)</w:t>
            </w:r>
          </w:p>
        </w:tc>
        <w:tc>
          <w:tcPr>
            <w:tcW w:w="480" w:type="dxa"/>
            <w:vAlign w:val="bottom"/>
            <w:gridSpan w:val="2"/>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2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1/15/2021</w:t>
            </w:r>
          </w:p>
        </w:tc>
        <w:tc>
          <w:tcPr>
            <w:tcW w:w="80" w:type="dxa"/>
            <w:vAlign w:val="bottom"/>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3"/>
              </w:rPr>
              <w:t>1,957,368</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1,953,440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1,962,261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EWT Holdings III Corp.</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Equipment</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988,228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1,002,488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Extreme Reach, Inc.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Media</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7.25%</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2/7/2020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3,000,000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2,986,651</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3,018,750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Federal-Mogul Corporation</w:t>
            </w:r>
          </w:p>
        </w:tc>
        <w:tc>
          <w:tcPr>
            <w:tcW w:w="234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Automotive</w:t>
            </w:r>
          </w:p>
        </w:tc>
        <w:tc>
          <w:tcPr>
            <w:tcW w:w="210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Tranche C Term Loan</w:t>
            </w:r>
          </w:p>
        </w:tc>
        <w:tc>
          <w:tcPr>
            <w:tcW w:w="4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4/15/2021</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3"/>
              </w:rPr>
              <w:t>2,940,000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2,929,732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2,799,527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First Data Corporation</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Financial Intermediaries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First Data T/L Ext (2021)</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4.52%</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3/24/2021</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2,021,537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1,954,630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2,030,149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First Eagle Investment Management</w:t>
            </w:r>
          </w:p>
        </w:tc>
        <w:tc>
          <w:tcPr>
            <w:tcW w:w="2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Banking, Finance, Insurance &amp; Real</w:t>
            </w:r>
          </w:p>
        </w:tc>
        <w:tc>
          <w:tcPr>
            <w:tcW w:w="2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600" w:type="dxa"/>
            <w:vAlign w:val="bottom"/>
            <w:shd w:val="clear" w:color="auto" w:fill="CCEEFF"/>
          </w:tcPr>
          <w:p>
            <w:pPr>
              <w:spacing w:after="0"/>
              <w:rPr>
                <w:sz w:val="13"/>
                <w:szCs w:val="13"/>
                <w:color w:val="auto"/>
              </w:rPr>
            </w:pPr>
          </w:p>
        </w:tc>
        <w:tc>
          <w:tcPr>
            <w:tcW w:w="234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Estate</w:t>
            </w: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12/1/2022</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1,492,500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1,465,494</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1,481,306</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380" w:type="dxa"/>
            <w:vAlign w:val="bottom"/>
            <w:gridSpan w:val="2"/>
          </w:tcPr>
          <w:p>
            <w:pPr>
              <w:spacing w:after="0" w:line="149" w:lineRule="exact"/>
              <w:rPr>
                <w:sz w:val="20"/>
                <w:szCs w:val="20"/>
                <w:color w:val="auto"/>
              </w:rPr>
            </w:pPr>
            <w:r>
              <w:rPr>
                <w:rFonts w:ascii="Arial" w:cs="Arial" w:eastAsia="Arial" w:hAnsi="Arial"/>
                <w:sz w:val="14"/>
                <w:szCs w:val="14"/>
                <w:color w:val="auto"/>
              </w:rPr>
              <w:t>Fitness International, LLC</w:t>
            </w:r>
          </w:p>
        </w:tc>
        <w:tc>
          <w:tcPr>
            <w:tcW w:w="234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100" w:type="dxa"/>
            <w:vAlign w:val="bottom"/>
            <w:gridSpan w:val="2"/>
          </w:tcPr>
          <w:p>
            <w:pPr>
              <w:spacing w:after="0" w:line="149" w:lineRule="exact"/>
              <w:rPr>
                <w:sz w:val="20"/>
                <w:szCs w:val="20"/>
                <w:color w:val="auto"/>
              </w:rPr>
            </w:pPr>
            <w:r>
              <w:rPr>
                <w:rFonts w:ascii="Arial" w:cs="Arial" w:eastAsia="Arial" w:hAnsi="Arial"/>
                <w:sz w:val="14"/>
                <w:szCs w:val="14"/>
                <w:color w:val="auto"/>
              </w:rPr>
              <w:t>Term Loan B</w:t>
            </w:r>
          </w:p>
        </w:tc>
        <w:tc>
          <w:tcPr>
            <w:tcW w:w="48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82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7/1/2020</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3"/>
              </w:rPr>
              <w:t>1,934,146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1,907,268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1,927,376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3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w w:val="95"/>
              </w:rPr>
              <w:t>FMG Resources (August 2006) Pty LTD</w:t>
            </w:r>
          </w:p>
        </w:tc>
        <w:tc>
          <w:tcPr>
            <w:tcW w:w="234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Nonferrous Metals/Minerals</w:t>
            </w:r>
          </w:p>
        </w:tc>
        <w:tc>
          <w:tcPr>
            <w:tcW w:w="210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4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3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(FMG America Finance, Inc.)</w:t>
            </w:r>
          </w:p>
        </w:tc>
        <w:tc>
          <w:tcPr>
            <w:tcW w:w="2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3.75%</w:t>
            </w:r>
          </w:p>
        </w:tc>
        <w:tc>
          <w:tcPr>
            <w:tcW w:w="82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6/28/2019</w:t>
            </w:r>
          </w:p>
        </w:tc>
        <w:tc>
          <w:tcPr>
            <w:tcW w:w="8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76"/>
              </w:rPr>
              <w:t>$</w:t>
            </w:r>
          </w:p>
        </w:tc>
        <w:tc>
          <w:tcPr>
            <w:tcW w:w="72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3"/>
              </w:rPr>
              <w:t>1,490,966</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1,491,981</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1,482,109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38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34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Services: Business</w:t>
            </w:r>
          </w:p>
        </w:tc>
        <w:tc>
          <w:tcPr>
            <w:tcW w:w="210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Term B Delayed Draw Loan</w:t>
            </w:r>
          </w:p>
        </w:tc>
        <w:tc>
          <w:tcPr>
            <w:tcW w:w="480" w:type="dxa"/>
            <w:vAlign w:val="bottom"/>
            <w:tcBorders>
              <w:bottom w:val="single" w:sz="8" w:color="CCEEFF"/>
            </w:tcBorders>
            <w:gridSpan w:val="2"/>
          </w:tcPr>
          <w:p>
            <w:pPr>
              <w:spacing w:after="0" w:line="149" w:lineRule="exact"/>
              <w:rPr>
                <w:sz w:val="20"/>
                <w:szCs w:val="20"/>
                <w:color w:val="auto"/>
              </w:rPr>
            </w:pPr>
            <w:r>
              <w:rPr>
                <w:rFonts w:ascii="Arial" w:cs="Arial" w:eastAsia="Arial" w:hAnsi="Arial"/>
                <w:sz w:val="14"/>
                <w:szCs w:val="14"/>
                <w:color w:val="auto"/>
              </w:rPr>
              <w:t>Loan</w:t>
            </w:r>
          </w:p>
        </w:tc>
        <w:tc>
          <w:tcPr>
            <w:tcW w:w="780" w:type="dxa"/>
            <w:vAlign w:val="bottom"/>
            <w:tcBorders>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820" w:type="dxa"/>
            <w:vAlign w:val="bottom"/>
            <w:tcBorders>
              <w:bottom w:val="single" w:sz="8" w:color="CCEEFF"/>
            </w:tcBorders>
            <w:gridSpan w:val="2"/>
          </w:tcPr>
          <w:p>
            <w:pPr>
              <w:jc w:val="right"/>
              <w:ind w:right="160"/>
              <w:spacing w:after="0" w:line="149" w:lineRule="exact"/>
              <w:rPr>
                <w:sz w:val="20"/>
                <w:szCs w:val="20"/>
                <w:color w:val="auto"/>
              </w:rPr>
            </w:pPr>
            <w:r>
              <w:rPr>
                <w:rFonts w:ascii="Arial" w:cs="Arial" w:eastAsia="Arial" w:hAnsi="Arial"/>
                <w:sz w:val="14"/>
                <w:szCs w:val="14"/>
                <w:color w:val="auto"/>
              </w:rPr>
              <w:t>11/6/2020</w:t>
            </w:r>
          </w:p>
        </w:tc>
        <w:tc>
          <w:tcPr>
            <w:tcW w:w="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w w:val="76"/>
              </w:rPr>
              <w:t>$</w:t>
            </w:r>
          </w:p>
        </w:tc>
        <w:tc>
          <w:tcPr>
            <w:tcW w:w="720" w:type="dxa"/>
            <w:vAlign w:val="bottom"/>
            <w:tcBorders>
              <w:bottom w:val="single" w:sz="8" w:color="CCEEFF"/>
            </w:tcBorders>
            <w:gridSpan w:val="2"/>
          </w:tcPr>
          <w:p>
            <w:pPr>
              <w:jc w:val="right"/>
              <w:ind w:right="180"/>
              <w:spacing w:after="0" w:line="149" w:lineRule="exact"/>
              <w:rPr>
                <w:sz w:val="20"/>
                <w:szCs w:val="20"/>
                <w:color w:val="auto"/>
              </w:rPr>
            </w:pPr>
            <w:r>
              <w:rPr>
                <w:rFonts w:ascii="Arial" w:cs="Arial" w:eastAsia="Arial" w:hAnsi="Arial"/>
                <w:sz w:val="14"/>
                <w:szCs w:val="14"/>
                <w:color w:val="auto"/>
              </w:rPr>
              <w:t>198,102</w:t>
            </w:r>
          </w:p>
        </w:tc>
        <w:tc>
          <w:tcPr>
            <w:tcW w:w="12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197,448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jc w:val="right"/>
              <w:spacing w:after="0" w:line="149" w:lineRule="exact"/>
              <w:rPr>
                <w:sz w:val="20"/>
                <w:szCs w:val="20"/>
                <w:color w:val="auto"/>
              </w:rPr>
            </w:pPr>
            <w:r>
              <w:rPr>
                <w:rFonts w:ascii="Arial" w:cs="Arial" w:eastAsia="Arial" w:hAnsi="Arial"/>
                <w:sz w:val="14"/>
                <w:szCs w:val="14"/>
                <w:color w:val="auto"/>
              </w:rPr>
              <w:t>194,883</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4" w:name="page25"/>
    <w:bookmarkEnd w:id="24"/>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40" w:type="dxa"/>
            <w:vAlign w:val="bottom"/>
            <w:shd w:val="clear" w:color="auto" w:fill="CCEEFF"/>
          </w:tcPr>
          <w:p>
            <w:pPr>
              <w:spacing w:after="0"/>
              <w:rPr>
                <w:sz w:val="20"/>
                <w:szCs w:val="20"/>
                <w:color w:val="auto"/>
              </w:rPr>
            </w:pPr>
            <w:r>
              <w:rPr>
                <w:rFonts w:ascii="Arial" w:cs="Arial" w:eastAsia="Arial" w:hAnsi="Arial"/>
                <w:sz w:val="14"/>
                <w:szCs w:val="14"/>
                <w:color w:val="auto"/>
              </w:rPr>
              <w:t>Garda World Security Corporation</w:t>
            </w:r>
          </w:p>
        </w:tc>
        <w:tc>
          <w:tcPr>
            <w:tcW w:w="2200" w:type="dxa"/>
            <w:vAlign w:val="bottom"/>
            <w:shd w:val="clear" w:color="auto" w:fill="CCEEFF"/>
          </w:tcPr>
          <w:p>
            <w:pPr>
              <w:ind w:left="40"/>
              <w:spacing w:after="0"/>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B Loan</w:t>
            </w:r>
          </w:p>
        </w:tc>
        <w:tc>
          <w:tcPr>
            <w:tcW w:w="560" w:type="dxa"/>
            <w:vAlign w:val="bottom"/>
            <w:shd w:val="clear" w:color="auto" w:fill="CCEEFF"/>
          </w:tcPr>
          <w:p>
            <w:pPr>
              <w:ind w:left="6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11/6/2020</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774,398</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771,902</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761,814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Gardner Denver,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Initial Dollar 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2,438,599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2,433,122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2,312,475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Gates Global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7/5/2021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484,156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479,314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476,288</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Amended Tranche B 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2,125,219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2,120,837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2,100,417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2,682,732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2,675,684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2,557,529</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w w:val="93"/>
              </w:rPr>
              <w:t>Goodyear Tire &amp; Rubber Company, The</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Loan (Second Lien)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4/30/2019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1,976,471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2,001,500</w:t>
            </w:r>
          </w:p>
        </w:tc>
      </w:tr>
      <w:tr>
        <w:trPr>
          <w:trHeight w:val="138"/>
        </w:trPr>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5"/>
              </w:rPr>
              <w:t>Brokers/Dealers/Investment Houses</w:t>
            </w:r>
          </w:p>
        </w:tc>
        <w:tc>
          <w:tcPr>
            <w:tcW w:w="22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Initial 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LP</w:t>
            </w:r>
          </w:p>
        </w:tc>
        <w:tc>
          <w:tcPr>
            <w:tcW w:w="22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1/4/2021</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1,014,560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1,011,209</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1,003,572</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GTCR Valor Companies,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5/17/2023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1,440,274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1,423,125</w:t>
            </w:r>
          </w:p>
        </w:tc>
      </w:tr>
      <w:tr>
        <w:trPr>
          <w:trHeight w:val="138"/>
        </w:trPr>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Harland Clarke Holdings Corp. (fka</w:t>
            </w:r>
          </w:p>
        </w:tc>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Publishing</w:t>
            </w:r>
          </w:p>
        </w:tc>
        <w:tc>
          <w:tcPr>
            <w:tcW w:w="22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Tranche B-4 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6.99%</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8/2/2019</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2,468,750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2,378,555</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2,414,758</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Headwaters Incorporated</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Building &amp; Development</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3/24/2022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246,448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247,500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Help/Systems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10/8/2021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1,492,500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1,436,471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1,475,709</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Hemisphere Media Holdings,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2,506,310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2,493,750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Hercules Achievement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12/10/2021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248,111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245,876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248,731</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1,960,000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1,947,036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1,953,885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Hostess Brand,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Beverage, Food &amp; Tobacco</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990,343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997,214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 (First Lien)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3,305,591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3,286,001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3,308,334</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9"/>
              </w:rPr>
              <w:t>Husky Injection Molding Systems Ltd.</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488,709</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486,969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486,646</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Imagine! Print Solutions,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3/30/2022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491,671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500,620</w:t>
            </w:r>
          </w:p>
        </w:tc>
      </w:tr>
      <w:tr>
        <w:trPr>
          <w:trHeight w:val="138"/>
        </w:trPr>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Infor (US), Inc. (fka Lawson Software</w:t>
            </w:r>
          </w:p>
        </w:tc>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Tranche B-5 Term Loan</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6/3/2020</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2,139,810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2,127,549</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2,114,667</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Insight Global</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2,468,096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2,456,476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2,471,798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Informatica Corporation</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8/5/2022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495,133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478,881</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J. Crew Group,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w w:val="93"/>
              </w:rPr>
              <w:t>Term B-1 Loan Retired 03/05/2014</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950,619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950,619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749,563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Jazz Acquisition,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First Lien 6/14</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490,303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489,370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442,253</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J.Jill Group,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5/9/2022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990,003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985,698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970,203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Kinetic Concepts,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F-1</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11/4/2020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2,440,214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2,432,629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2,449,365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Koosharem,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2,950,075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2,930,014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2,522,314</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Kraton Polymers,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(Initial)</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1/6/2022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2,268,983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2,501,575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Lannett Company,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6.38%</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11/25/2022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1,950,000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1,887,295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1,908,563</w:t>
            </w:r>
          </w:p>
        </w:tc>
      </w:tr>
      <w:tr>
        <w:trPr>
          <w:trHeight w:val="138"/>
        </w:trPr>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LPL Holdings</w:t>
            </w:r>
          </w:p>
        </w:tc>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Term Loan B (2022)</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340" w:type="dxa"/>
            <w:vAlign w:val="bottom"/>
            <w:shd w:val="clear" w:color="auto" w:fill="CCEEFF"/>
          </w:tcPr>
          <w:p>
            <w:pPr>
              <w:spacing w:after="0"/>
              <w:rPr>
                <w:sz w:val="13"/>
                <w:szCs w:val="13"/>
                <w:color w:val="auto"/>
              </w:rPr>
            </w:pPr>
          </w:p>
        </w:tc>
        <w:tc>
          <w:tcPr>
            <w:tcW w:w="2200" w:type="dxa"/>
            <w:vAlign w:val="bottom"/>
            <w:shd w:val="clear" w:color="auto" w:fill="CCEEFF"/>
          </w:tcPr>
          <w:p>
            <w:pPr>
              <w:ind w:left="40"/>
              <w:spacing w:after="0" w:line="159" w:lineRule="exact"/>
              <w:rPr>
                <w:sz w:val="20"/>
                <w:szCs w:val="20"/>
                <w:color w:val="auto"/>
              </w:rPr>
            </w:pPr>
            <w:r>
              <w:rPr>
                <w:rFonts w:ascii="Arial" w:cs="Arial" w:eastAsia="Arial" w:hAnsi="Arial"/>
                <w:sz w:val="14"/>
                <w:szCs w:val="14"/>
                <w:color w:val="auto"/>
              </w:rPr>
              <w:t>Estate</w:t>
            </w:r>
          </w:p>
        </w:tc>
        <w:tc>
          <w:tcPr>
            <w:tcW w:w="2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11/21/2022</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1,990,000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1,971,963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2,001,204</w:t>
            </w: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w w:val="93"/>
              </w:rPr>
              <w:t>McGraw-Hill Global Education Holdings,</w:t>
            </w:r>
          </w:p>
        </w:tc>
        <w:tc>
          <w:tcPr>
            <w:tcW w:w="2200" w:type="dxa"/>
            <w:vAlign w:val="bottom"/>
          </w:tcPr>
          <w:p>
            <w:pPr>
              <w:ind w:left="40"/>
              <w:spacing w:after="0" w:line="138" w:lineRule="exact"/>
              <w:rPr>
                <w:sz w:val="20"/>
                <w:szCs w:val="20"/>
                <w:color w:val="auto"/>
              </w:rPr>
            </w:pPr>
            <w:r>
              <w:rPr>
                <w:rFonts w:ascii="Arial" w:cs="Arial" w:eastAsia="Arial" w:hAnsi="Arial"/>
                <w:sz w:val="14"/>
                <w:szCs w:val="14"/>
                <w:color w:val="auto"/>
              </w:rPr>
              <w:t>Publishing</w:t>
            </w:r>
          </w:p>
        </w:tc>
        <w:tc>
          <w:tcPr>
            <w:tcW w:w="2220" w:type="dxa"/>
            <w:vAlign w:val="bottom"/>
          </w:tcPr>
          <w:p>
            <w:pPr>
              <w:ind w:left="18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LLC</w:t>
            </w:r>
          </w:p>
        </w:tc>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5/4/2022</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995,280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1,004,380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Mauser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Containers/Glass Products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489,428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489,201</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B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483,750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485,496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B-2</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1,205,294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1,201,088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1,212,610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Micro Holding Corporation</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987,411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983,240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983,708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1/17/2023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979,015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951,794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985,026</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Automotive</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(Initial)</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245,625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244,644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246,239</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Milk Specialties Company</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Beverage, Food &amp; Tobacco</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8/16/2023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990,047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1,001,250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MSC Software Corporation</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1,980,000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1,937,888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1,960,200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MWI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Capital Equipment</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2,976,771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2,992,500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982,534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979,601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980,893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Vision,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(Second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249,761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232,033</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Neptune Finco (CSC Holdings)</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Cable and Satellite Television</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10/7/2022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984,211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1,005,191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1,997,007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1,822,451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948,578</w:t>
            </w: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w w:val="90"/>
              </w:rPr>
              <w:t>NorthStar Asset Management Group, Inc.</w:t>
            </w:r>
          </w:p>
        </w:tc>
        <w:tc>
          <w:tcPr>
            <w:tcW w:w="2200" w:type="dxa"/>
            <w:vAlign w:val="bottom"/>
          </w:tcPr>
          <w:p>
            <w:pPr>
              <w:ind w:left="4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20" w:type="dxa"/>
            <w:vAlign w:val="bottom"/>
          </w:tcPr>
          <w:p>
            <w:pPr>
              <w:ind w:left="180"/>
              <w:spacing w:after="0" w:line="138"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340" w:type="dxa"/>
            <w:vAlign w:val="bottom"/>
          </w:tcPr>
          <w:p>
            <w:pPr>
              <w:spacing w:after="0"/>
              <w:rPr>
                <w:sz w:val="13"/>
                <w:szCs w:val="13"/>
                <w:color w:val="auto"/>
              </w:rPr>
            </w:pPr>
          </w:p>
        </w:tc>
        <w:tc>
          <w:tcPr>
            <w:tcW w:w="2200" w:type="dxa"/>
            <w:vAlign w:val="bottom"/>
          </w:tcPr>
          <w:p>
            <w:pPr>
              <w:ind w:left="40"/>
              <w:spacing w:after="0" w:line="159" w:lineRule="exact"/>
              <w:rPr>
                <w:sz w:val="20"/>
                <w:szCs w:val="20"/>
                <w:color w:val="auto"/>
              </w:rPr>
            </w:pPr>
            <w:r>
              <w:rPr>
                <w:rFonts w:ascii="Arial" w:cs="Arial" w:eastAsia="Arial" w:hAnsi="Arial"/>
                <w:sz w:val="14"/>
                <w:szCs w:val="14"/>
                <w:color w:val="auto"/>
              </w:rPr>
              <w:t>Estate</w:t>
            </w: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4.63%</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1/30/2023</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1,995,000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1,929,403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1,986,681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Novelis,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Conglomerate</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4,747,083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4,726,799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4,755,248</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(200MM)</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10/16/2022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1,990,000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1,971,971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1,885,525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Aerospace and Defense</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(2nd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9.50%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9/29/2023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990,712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920,000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NPC International,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Food Services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(2013)</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477,298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477,298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477,097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Numericable U.S.,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Broadcast Radio and Television</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B-5</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4.56%</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990,344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992,679</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4/5/2019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2,782,343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2,767,725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2,776,556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NVA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Consumer</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B1</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249,375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248,759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249,375</w:t>
            </w: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rPr>
              <w:t>Om Group</w:t>
            </w:r>
          </w:p>
        </w:tc>
        <w:tc>
          <w:tcPr>
            <w:tcW w:w="2200" w:type="dxa"/>
            <w:vAlign w:val="bottom"/>
          </w:tcPr>
          <w:p>
            <w:pPr>
              <w:ind w:left="4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20" w:type="dxa"/>
            <w:vAlign w:val="bottom"/>
          </w:tcPr>
          <w:p>
            <w:pPr>
              <w:ind w:left="180"/>
              <w:spacing w:after="0" w:line="138"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340" w:type="dxa"/>
            <w:vAlign w:val="bottom"/>
          </w:tcPr>
          <w:p>
            <w:pPr>
              <w:spacing w:after="0"/>
              <w:rPr>
                <w:sz w:val="13"/>
                <w:szCs w:val="13"/>
                <w:color w:val="auto"/>
              </w:rPr>
            </w:pPr>
          </w:p>
        </w:tc>
        <w:tc>
          <w:tcPr>
            <w:tcW w:w="2200" w:type="dxa"/>
            <w:vAlign w:val="bottom"/>
          </w:tcPr>
          <w:p>
            <w:pPr>
              <w:ind w:left="40"/>
              <w:spacing w:after="0" w:line="159" w:lineRule="exact"/>
              <w:rPr>
                <w:sz w:val="20"/>
                <w:szCs w:val="20"/>
                <w:color w:val="auto"/>
              </w:rPr>
            </w:pPr>
            <w:r>
              <w:rPr>
                <w:rFonts w:ascii="Arial" w:cs="Arial" w:eastAsia="Arial" w:hAnsi="Arial"/>
                <w:sz w:val="14"/>
                <w:szCs w:val="14"/>
                <w:color w:val="auto"/>
              </w:rPr>
              <w:t>Estate</w:t>
            </w: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w w:val="99"/>
              </w:rPr>
              <w:t>10/28/2021</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997,494</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901,636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980,038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 Semiconductor Corporation</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492,859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506,160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(First Lien 2013)</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3,723,057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3,713,318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3,534,596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OnexYork Acquisition Co</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488,417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435,984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B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7/29/2019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2,929,160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2,928,277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2,912,083</w:t>
            </w:r>
          </w:p>
        </w:tc>
      </w:tr>
      <w:tr>
        <w:trPr>
          <w:trHeight w:val="138"/>
        </w:trPr>
        <w:tc>
          <w:tcPr>
            <w:tcW w:w="23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P.F. Chang’s China Bistro, Inc. (Wok</w:t>
            </w:r>
          </w:p>
        </w:tc>
        <w:tc>
          <w:tcPr>
            <w:tcW w:w="2200" w:type="dxa"/>
            <w:vAlign w:val="bottom"/>
            <w:shd w:val="clear" w:color="auto" w:fill="CCEEFF"/>
          </w:tcPr>
          <w:p>
            <w:pPr>
              <w:ind w:left="40"/>
              <w:spacing w:after="0" w:line="138" w:lineRule="exact"/>
              <w:rPr>
                <w:sz w:val="20"/>
                <w:szCs w:val="20"/>
                <w:color w:val="auto"/>
              </w:rPr>
            </w:pPr>
            <w:r>
              <w:rPr>
                <w:rFonts w:ascii="Arial" w:cs="Arial" w:eastAsia="Arial" w:hAnsi="Arial"/>
                <w:sz w:val="14"/>
                <w:szCs w:val="14"/>
                <w:color w:val="auto"/>
              </w:rPr>
              <w:t>Food/Drug Retailers</w:t>
            </w:r>
          </w:p>
        </w:tc>
        <w:tc>
          <w:tcPr>
            <w:tcW w:w="2220" w:type="dxa"/>
            <w:vAlign w:val="bottom"/>
            <w:shd w:val="clear" w:color="auto" w:fill="CCEEFF"/>
          </w:tcPr>
          <w:p>
            <w:pPr>
              <w:ind w:left="180"/>
              <w:spacing w:after="0" w:line="138" w:lineRule="exact"/>
              <w:rPr>
                <w:sz w:val="20"/>
                <w:szCs w:val="20"/>
                <w:color w:val="auto"/>
              </w:rPr>
            </w:pPr>
            <w:r>
              <w:rPr>
                <w:rFonts w:ascii="Arial" w:cs="Arial" w:eastAsia="Arial" w:hAnsi="Arial"/>
                <w:sz w:val="14"/>
                <w:szCs w:val="14"/>
                <w:color w:val="auto"/>
              </w:rPr>
              <w:t>Term Borrowing</w:t>
            </w:r>
          </w:p>
        </w:tc>
        <w:tc>
          <w:tcPr>
            <w:tcW w:w="5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34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00" w:type="dxa"/>
            <w:vAlign w:val="bottom"/>
            <w:shd w:val="clear" w:color="auto" w:fill="CCEEFF"/>
          </w:tcPr>
          <w:p>
            <w:pPr>
              <w:spacing w:after="0"/>
              <w:rPr>
                <w:sz w:val="13"/>
                <w:szCs w:val="13"/>
                <w:color w:val="auto"/>
              </w:rPr>
            </w:pPr>
          </w:p>
        </w:tc>
        <w:tc>
          <w:tcPr>
            <w:tcW w:w="222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6/24/2019</w:t>
            </w:r>
          </w:p>
        </w:tc>
        <w:tc>
          <w:tcPr>
            <w:tcW w:w="1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3"/>
              </w:rPr>
              <w:t>1,425,174</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1,420,371</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1,389,545</w:t>
            </w: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00" w:type="dxa"/>
            <w:vAlign w:val="bottom"/>
          </w:tcPr>
          <w:p>
            <w:pPr>
              <w:ind w:left="40"/>
              <w:spacing w:after="0" w:line="138"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38" w:lineRule="exact"/>
              <w:rPr>
                <w:sz w:val="20"/>
                <w:szCs w:val="20"/>
                <w:color w:val="auto"/>
              </w:rPr>
            </w:pPr>
            <w:r>
              <w:rPr>
                <w:rFonts w:ascii="Arial" w:cs="Arial" w:eastAsia="Arial" w:hAnsi="Arial"/>
                <w:sz w:val="14"/>
                <w:szCs w:val="14"/>
                <w:color w:val="auto"/>
              </w:rPr>
              <w:t>Term Loan (First Lien)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w w:val="99"/>
              </w:rPr>
              <w:t>10/30/2020</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975,000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971,514</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909,188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5"/>
              </w:rPr>
              <w:t>Petsmart, Inc. (Argos Merger Sub,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B1</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983,257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988,734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949,643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942,884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946,481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Healthcare &amp; Pharmaceuticals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488,213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489,182</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Leisure Goods/Activities/Movies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2,404,597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2,396,951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2,419,626</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3,393,480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3,397,685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3,389,239</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Presidio,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2,391,444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2,335,704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2,384,605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Prime Security Services (Protection One)</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1,981,620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2,006,915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933,627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931,293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920,398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(Second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497,992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460,000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w w:val="93"/>
              </w:rPr>
              <w:t>Initial Dollar Term Loan (First Lien)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485,218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486,891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Regal Cinemas Corporation</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Consumer</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495,132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497,987</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Research Now Group,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Media</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2,048,075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2,039,131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1,986,633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Rexnord LLC/RBS Global,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B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1,540,540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1,541,679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1,539,970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Incremental U.S. 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2/6/2023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1,765,548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1,765,548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1,767,208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1,891,942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1,883,013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1,894,307</w:t>
            </w: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00" w:type="dxa"/>
            <w:vAlign w:val="bottom"/>
          </w:tcPr>
          <w:p>
            <w:pPr>
              <w:ind w:left="40"/>
              <w:spacing w:after="0" w:line="138" w:lineRule="exact"/>
              <w:rPr>
                <w:sz w:val="20"/>
                <w:szCs w:val="20"/>
                <w:color w:val="auto"/>
              </w:rPr>
            </w:pPr>
            <w:r>
              <w:rPr>
                <w:rFonts w:ascii="Arial" w:cs="Arial" w:eastAsia="Arial" w:hAnsi="Arial"/>
                <w:sz w:val="14"/>
                <w:szCs w:val="14"/>
                <w:color w:val="auto"/>
              </w:rPr>
              <w:t>Electronics/Electric</w:t>
            </w:r>
          </w:p>
        </w:tc>
        <w:tc>
          <w:tcPr>
            <w:tcW w:w="2220" w:type="dxa"/>
            <w:vAlign w:val="bottom"/>
          </w:tcPr>
          <w:p>
            <w:pPr>
              <w:ind w:left="180"/>
              <w:spacing w:after="0" w:line="138" w:lineRule="exact"/>
              <w:rPr>
                <w:sz w:val="20"/>
                <w:szCs w:val="20"/>
                <w:color w:val="auto"/>
              </w:rPr>
            </w:pPr>
            <w:r>
              <w:rPr>
                <w:rFonts w:ascii="Arial" w:cs="Arial" w:eastAsia="Arial" w:hAnsi="Arial"/>
                <w:sz w:val="14"/>
                <w:szCs w:val="14"/>
                <w:color w:val="auto"/>
              </w:rPr>
              <w:t>Tranche B-3 Term Loan</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340" w:type="dxa"/>
            <w:vAlign w:val="bottom"/>
          </w:tcPr>
          <w:p>
            <w:pPr>
              <w:ind w:left="140"/>
              <w:spacing w:after="0" w:line="159" w:lineRule="exact"/>
              <w:rPr>
                <w:sz w:val="20"/>
                <w:szCs w:val="20"/>
                <w:color w:val="auto"/>
              </w:rPr>
            </w:pPr>
            <w:r>
              <w:rPr>
                <w:rFonts w:ascii="Arial" w:cs="Arial" w:eastAsia="Arial" w:hAnsi="Arial"/>
                <w:sz w:val="14"/>
                <w:szCs w:val="14"/>
                <w:color w:val="auto"/>
              </w:rPr>
              <w:t>Guides, Inc.</w:t>
            </w:r>
          </w:p>
        </w:tc>
        <w:tc>
          <w:tcPr>
            <w:tcW w:w="220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7/2/2021</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1,470,000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1,464,686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1,460,195</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492,827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496,084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(Second Lien)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496,533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492,500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Financial Intermediaries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B-4 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11/9/2020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3,134,220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3,134,220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3,151,207</w:t>
            </w:r>
          </w:p>
        </w:tc>
      </w:tr>
      <w:tr>
        <w:trPr>
          <w:trHeight w:val="138"/>
        </w:trPr>
        <w:tc>
          <w:tcPr>
            <w:tcW w:w="2340" w:type="dxa"/>
            <w:vAlign w:val="bottom"/>
          </w:tcPr>
          <w:p>
            <w:pPr>
              <w:spacing w:after="0" w:line="138" w:lineRule="exact"/>
              <w:rPr>
                <w:sz w:val="20"/>
                <w:szCs w:val="20"/>
                <w:color w:val="auto"/>
              </w:rPr>
            </w:pPr>
            <w:r>
              <w:rPr>
                <w:rFonts w:ascii="Arial" w:cs="Arial" w:eastAsia="Arial" w:hAnsi="Arial"/>
                <w:sz w:val="14"/>
                <w:szCs w:val="14"/>
                <w:color w:val="auto"/>
                <w:w w:val="96"/>
              </w:rPr>
              <w:t>Russell Investment Management T/L B</w:t>
            </w:r>
          </w:p>
        </w:tc>
        <w:tc>
          <w:tcPr>
            <w:tcW w:w="2200" w:type="dxa"/>
            <w:vAlign w:val="bottom"/>
          </w:tcPr>
          <w:p>
            <w:pPr>
              <w:ind w:left="4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20" w:type="dxa"/>
            <w:vAlign w:val="bottom"/>
          </w:tcPr>
          <w:p>
            <w:pPr>
              <w:ind w:left="180"/>
              <w:spacing w:after="0" w:line="138"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340" w:type="dxa"/>
            <w:vAlign w:val="bottom"/>
          </w:tcPr>
          <w:p>
            <w:pPr>
              <w:spacing w:after="0"/>
              <w:rPr>
                <w:sz w:val="13"/>
                <w:szCs w:val="13"/>
                <w:color w:val="auto"/>
              </w:rPr>
            </w:pPr>
          </w:p>
        </w:tc>
        <w:tc>
          <w:tcPr>
            <w:tcW w:w="2200" w:type="dxa"/>
            <w:vAlign w:val="bottom"/>
          </w:tcPr>
          <w:p>
            <w:pPr>
              <w:ind w:left="40"/>
              <w:spacing w:after="0" w:line="159" w:lineRule="exact"/>
              <w:rPr>
                <w:sz w:val="20"/>
                <w:szCs w:val="20"/>
                <w:color w:val="auto"/>
              </w:rPr>
            </w:pPr>
            <w:r>
              <w:rPr>
                <w:rFonts w:ascii="Arial" w:cs="Arial" w:eastAsia="Arial" w:hAnsi="Arial"/>
                <w:sz w:val="14"/>
                <w:szCs w:val="14"/>
                <w:color w:val="auto"/>
              </w:rPr>
              <w:t>Estate</w:t>
            </w:r>
          </w:p>
        </w:tc>
        <w:tc>
          <w:tcPr>
            <w:tcW w:w="2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6.75%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6/1/2023</w:t>
            </w:r>
          </w:p>
        </w:tc>
        <w:tc>
          <w:tcPr>
            <w:tcW w:w="16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3"/>
              </w:rPr>
              <w:t>2,000,000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1,880,801</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1,883,340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B1</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825,000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809,076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829,472</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B2</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675,000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661,971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678,659</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SBP Holdings LP</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974,042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762,450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B2</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975,913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984,320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SCS Holdings (Sirius Computer)</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1,977,528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1,941,664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1,988,246</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Seadrill Operating LP</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Oil &amp; Gas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982,368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921,146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470,721</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Sensus USA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Utilities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4/5/2023</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1,900,135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1,894,785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1,904,885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ServiceMaster Company, The</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Conglomerate</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Tranche B 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1,965,000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1,950,684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1,976,790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Shearers Foods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Food Services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4.94%</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980,621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976,359</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Sitel Worldwide</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9/18/2021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1,985,000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1,967,812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1,971,760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209,075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208,675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209,075</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Chemicals/Plastics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Initial US 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1,184,756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1,182,493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1,184,757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Sophia, L.P.</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Electronics/Electric</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(Closing Date)</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9/30/2022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1,985,000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1,976,164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1,984,166</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SourceHOV LLC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 (First Lien)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10/31/2019</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1,887,500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1,848,187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1,506,848</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SRAM, LLC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Industrial Equipment</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(First Lien)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4/10/2020</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2,833,435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2,826,700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2,713,014</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Food Services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3/19/2021</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928,173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921,737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914,250</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Publishing</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12/30/2016</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200,478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200,451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77,812</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Survey Sampling International</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12/16/2020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2,735,604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2,719,614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2,715,087</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8/3/2022</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3"/>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1,000,940</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Sybil Finance BV</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High Tech Industries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3/20/2020</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1,239,524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1,238,443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1,241,073</w:t>
            </w:r>
          </w:p>
        </w:tc>
      </w:tr>
      <w:tr>
        <w:trPr>
          <w:trHeight w:val="149"/>
        </w:trPr>
        <w:tc>
          <w:tcPr>
            <w:tcW w:w="23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Syniverse Holdings, Inc.</w:t>
            </w:r>
          </w:p>
        </w:tc>
        <w:tc>
          <w:tcPr>
            <w:tcW w:w="2200" w:type="dxa"/>
            <w:vAlign w:val="bottom"/>
            <w:shd w:val="clear" w:color="auto" w:fill="CCEEFF"/>
          </w:tcPr>
          <w:p>
            <w:pPr>
              <w:ind w:left="40"/>
              <w:spacing w:after="0" w:line="149" w:lineRule="exact"/>
              <w:rPr>
                <w:sz w:val="20"/>
                <w:szCs w:val="20"/>
                <w:color w:val="auto"/>
              </w:rPr>
            </w:pPr>
            <w:r>
              <w:rPr>
                <w:rFonts w:ascii="Arial" w:cs="Arial" w:eastAsia="Arial" w:hAnsi="Arial"/>
                <w:sz w:val="14"/>
                <w:szCs w:val="14"/>
                <w:color w:val="auto"/>
              </w:rPr>
              <w:t>Telecommunications</w:t>
            </w:r>
          </w:p>
        </w:tc>
        <w:tc>
          <w:tcPr>
            <w:tcW w:w="22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Initial Term Loan</w:t>
            </w:r>
          </w:p>
        </w:tc>
        <w:tc>
          <w:tcPr>
            <w:tcW w:w="5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4/23/2019</w:t>
            </w:r>
          </w:p>
        </w:tc>
        <w:tc>
          <w:tcPr>
            <w:tcW w:w="1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468,977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466,513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415,927</w:t>
            </w:r>
          </w:p>
        </w:tc>
      </w:tr>
      <w:tr>
        <w:trPr>
          <w:trHeight w:val="149"/>
        </w:trPr>
        <w:tc>
          <w:tcPr>
            <w:tcW w:w="2340" w:type="dxa"/>
            <w:vAlign w:val="bottom"/>
          </w:tcPr>
          <w:p>
            <w:pPr>
              <w:spacing w:after="0" w:line="149" w:lineRule="exact"/>
              <w:rPr>
                <w:sz w:val="20"/>
                <w:szCs w:val="20"/>
                <w:color w:val="auto"/>
              </w:rPr>
            </w:pPr>
            <w:r>
              <w:rPr>
                <w:rFonts w:ascii="Arial" w:cs="Arial" w:eastAsia="Arial" w:hAnsi="Arial"/>
                <w:sz w:val="14"/>
                <w:szCs w:val="14"/>
                <w:color w:val="auto"/>
              </w:rPr>
              <w:t>TaxACT, Inc.</w:t>
            </w:r>
          </w:p>
        </w:tc>
        <w:tc>
          <w:tcPr>
            <w:tcW w:w="2200" w:type="dxa"/>
            <w:vAlign w:val="bottom"/>
          </w:tcPr>
          <w:p>
            <w:pPr>
              <w:ind w:left="40"/>
              <w:spacing w:after="0" w:line="149" w:lineRule="exact"/>
              <w:rPr>
                <w:sz w:val="20"/>
                <w:szCs w:val="20"/>
                <w:color w:val="auto"/>
              </w:rPr>
            </w:pPr>
            <w:r>
              <w:rPr>
                <w:rFonts w:ascii="Arial" w:cs="Arial" w:eastAsia="Arial" w:hAnsi="Arial"/>
                <w:sz w:val="14"/>
                <w:szCs w:val="14"/>
                <w:color w:val="auto"/>
              </w:rPr>
              <w:t>Services: Business</w:t>
            </w:r>
          </w:p>
        </w:tc>
        <w:tc>
          <w:tcPr>
            <w:tcW w:w="2220" w:type="dxa"/>
            <w:vAlign w:val="bottom"/>
          </w:tcPr>
          <w:p>
            <w:pPr>
              <w:ind w:left="180"/>
              <w:spacing w:after="0" w:line="149" w:lineRule="exact"/>
              <w:rPr>
                <w:sz w:val="20"/>
                <w:szCs w:val="20"/>
                <w:color w:val="auto"/>
              </w:rPr>
            </w:pPr>
            <w:r>
              <w:rPr>
                <w:rFonts w:ascii="Arial" w:cs="Arial" w:eastAsia="Arial" w:hAnsi="Arial"/>
                <w:sz w:val="14"/>
                <w:szCs w:val="14"/>
                <w:color w:val="auto"/>
              </w:rPr>
              <w:t>Term Loan B</w:t>
            </w:r>
          </w:p>
        </w:tc>
        <w:tc>
          <w:tcPr>
            <w:tcW w:w="560" w:type="dxa"/>
            <w:vAlign w:val="bottom"/>
          </w:tcPr>
          <w:p>
            <w:pPr>
              <w:ind w:left="6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1/3/2023</w:t>
            </w: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3"/>
              </w:rPr>
              <w:t>1,475,000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1,433,967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1,482,375</w:t>
            </w:r>
          </w:p>
        </w:tc>
      </w:tr>
      <w:tr>
        <w:trPr>
          <w:trHeight w:val="70"/>
        </w:trPr>
        <w:tc>
          <w:tcPr>
            <w:tcW w:w="2340" w:type="dxa"/>
            <w:vAlign w:val="bottom"/>
            <w:shd w:val="clear" w:color="auto" w:fill="CCEEFF"/>
          </w:tcPr>
          <w:p>
            <w:pPr>
              <w:spacing w:after="0"/>
              <w:rPr>
                <w:sz w:val="6"/>
                <w:szCs w:val="6"/>
                <w:color w:val="auto"/>
              </w:rPr>
            </w:pPr>
          </w:p>
        </w:tc>
        <w:tc>
          <w:tcPr>
            <w:tcW w:w="220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56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7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7" w:right="239" w:bottom="0" w:gutter="0" w:footer="0" w:header="0"/>
        </w:sectPr>
      </w:pPr>
    </w:p>
    <w:bookmarkStart w:id="25" w:name="page26"/>
    <w:bookmarkEnd w:id="2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00" w:type="dxa"/>
            <w:vAlign w:val="bottom"/>
            <w:shd w:val="clear" w:color="auto" w:fill="CCEEFF"/>
          </w:tcPr>
          <w:p>
            <w:pPr>
              <w:spacing w:after="0"/>
              <w:rPr>
                <w:sz w:val="20"/>
                <w:szCs w:val="20"/>
                <w:color w:val="auto"/>
              </w:rPr>
            </w:pPr>
            <w:r>
              <w:rPr>
                <w:rFonts w:ascii="Arial" w:cs="Arial" w:eastAsia="Arial" w:hAnsi="Arial"/>
                <w:sz w:val="14"/>
                <w:szCs w:val="14"/>
                <w:color w:val="auto"/>
              </w:rPr>
              <w:t>Tectum Holdings, Inc.</w:t>
            </w:r>
          </w:p>
        </w:tc>
        <w:tc>
          <w:tcPr>
            <w:tcW w:w="2060" w:type="dxa"/>
            <w:vAlign w:val="bottom"/>
            <w:shd w:val="clear" w:color="auto" w:fill="CCEEFF"/>
          </w:tcPr>
          <w:p>
            <w:pPr>
              <w:ind w:left="60"/>
              <w:spacing w:after="0"/>
              <w:rPr>
                <w:sz w:val="20"/>
                <w:szCs w:val="20"/>
                <w:color w:val="auto"/>
              </w:rPr>
            </w:pPr>
            <w:r>
              <w:rPr>
                <w:rFonts w:ascii="Arial" w:cs="Arial" w:eastAsia="Arial" w:hAnsi="Arial"/>
                <w:sz w:val="14"/>
                <w:szCs w:val="14"/>
                <w:color w:val="auto"/>
              </w:rPr>
              <w:t>Transportation</w:t>
            </w:r>
          </w:p>
        </w:tc>
        <w:tc>
          <w:tcPr>
            <w:tcW w:w="2340" w:type="dxa"/>
            <w:vAlign w:val="bottom"/>
            <w:shd w:val="clear" w:color="auto" w:fill="CCEEFF"/>
          </w:tcPr>
          <w:p>
            <w:pPr>
              <w:ind w:left="340"/>
              <w:spacing w:after="0"/>
              <w:rPr>
                <w:sz w:val="20"/>
                <w:szCs w:val="20"/>
                <w:color w:val="auto"/>
              </w:rPr>
            </w:pPr>
            <w:r>
              <w:rPr>
                <w:rFonts w:ascii="Arial" w:cs="Arial" w:eastAsia="Arial" w:hAnsi="Arial"/>
                <w:sz w:val="14"/>
                <w:szCs w:val="14"/>
                <w:color w:val="auto"/>
                <w:w w:val="96"/>
              </w:rPr>
              <w:t>Delayed Draw Term Loan (Initial)</w:t>
            </w:r>
          </w:p>
        </w:tc>
        <w:tc>
          <w:tcPr>
            <w:tcW w:w="6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5.75%</w:t>
            </w:r>
          </w:p>
        </w:tc>
        <w:tc>
          <w:tcPr>
            <w:tcW w:w="880" w:type="dxa"/>
            <w:vAlign w:val="bottom"/>
            <w:shd w:val="clear" w:color="auto" w:fill="CCEEFF"/>
          </w:tcPr>
          <w:p>
            <w:pPr>
              <w:jc w:val="right"/>
              <w:ind w:right="92"/>
              <w:spacing w:after="0"/>
              <w:rPr>
                <w:sz w:val="20"/>
                <w:szCs w:val="20"/>
                <w:color w:val="auto"/>
              </w:rPr>
            </w:pPr>
            <w:r>
              <w:rPr>
                <w:rFonts w:ascii="Arial" w:cs="Arial" w:eastAsia="Arial" w:hAnsi="Arial"/>
                <w:sz w:val="14"/>
                <w:szCs w:val="14"/>
                <w:color w:val="auto"/>
              </w:rPr>
              <w:t>8/24/2023</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4"/>
              </w:rPr>
              <w:t>780,952</w:t>
            </w: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770,952</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779,702</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rPr>
              <w:t>Texas Competitive Electric Holdings</w:t>
            </w:r>
          </w:p>
        </w:tc>
        <w:tc>
          <w:tcPr>
            <w:tcW w:w="2060" w:type="dxa"/>
            <w:vAlign w:val="bottom"/>
          </w:tcPr>
          <w:p>
            <w:pPr>
              <w:ind w:left="60"/>
              <w:spacing w:after="0" w:line="138" w:lineRule="exact"/>
              <w:rPr>
                <w:sz w:val="20"/>
                <w:szCs w:val="20"/>
                <w:color w:val="auto"/>
              </w:rPr>
            </w:pPr>
            <w:r>
              <w:rPr>
                <w:rFonts w:ascii="Arial" w:cs="Arial" w:eastAsia="Arial" w:hAnsi="Arial"/>
                <w:sz w:val="14"/>
                <w:szCs w:val="14"/>
                <w:color w:val="auto"/>
              </w:rPr>
              <w:t>Utilities</w:t>
            </w:r>
          </w:p>
        </w:tc>
        <w:tc>
          <w:tcPr>
            <w:tcW w:w="2340" w:type="dxa"/>
            <w:vAlign w:val="bottom"/>
          </w:tcPr>
          <w:p>
            <w:pPr>
              <w:ind w:left="340"/>
              <w:spacing w:after="0" w:line="138"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120"/>
              <w:spacing w:after="0" w:line="159" w:lineRule="exact"/>
              <w:rPr>
                <w:sz w:val="20"/>
                <w:szCs w:val="20"/>
                <w:color w:val="auto"/>
              </w:rPr>
            </w:pPr>
            <w:r>
              <w:rPr>
                <w:rFonts w:ascii="Arial" w:cs="Arial" w:eastAsia="Arial" w:hAnsi="Arial"/>
                <w:sz w:val="14"/>
                <w:szCs w:val="14"/>
                <w:color w:val="auto"/>
              </w:rPr>
              <w:t>Company, LLC</w:t>
            </w:r>
          </w:p>
        </w:tc>
        <w:tc>
          <w:tcPr>
            <w:tcW w:w="20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w w:val="99"/>
              </w:rPr>
              <w:t>10/31/2017</w:t>
            </w:r>
          </w:p>
        </w:tc>
        <w:tc>
          <w:tcPr>
            <w:tcW w:w="120" w:type="dxa"/>
            <w:vAlign w:val="bottom"/>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4"/>
              </w:rPr>
              <w:t>814,286</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806,539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817,543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Texas Competitive Electric Holdings</w:t>
            </w:r>
          </w:p>
        </w:tc>
        <w:tc>
          <w:tcPr>
            <w:tcW w:w="20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Utilities</w:t>
            </w:r>
          </w:p>
        </w:tc>
        <w:tc>
          <w:tcPr>
            <w:tcW w:w="234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Term Loan C</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Company, LLC</w:t>
            </w:r>
          </w:p>
        </w:tc>
        <w:tc>
          <w:tcPr>
            <w:tcW w:w="20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w w:val="99"/>
              </w:rPr>
              <w:t>10/31/2017</w:t>
            </w:r>
          </w:p>
        </w:tc>
        <w:tc>
          <w:tcPr>
            <w:tcW w:w="1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4"/>
              </w:rPr>
              <w:t>185,714</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183,948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186,528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7/15/2020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$1,651,816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1,648,391</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1,643,557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4/1/2022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932,522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928,672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932,522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rPr>
              <w:t>TPF II Power LLC and TPF II Covert</w:t>
            </w:r>
          </w:p>
        </w:tc>
        <w:tc>
          <w:tcPr>
            <w:tcW w:w="2060" w:type="dxa"/>
            <w:vAlign w:val="bottom"/>
          </w:tcPr>
          <w:p>
            <w:pPr>
              <w:ind w:left="60"/>
              <w:spacing w:after="0" w:line="138" w:lineRule="exact"/>
              <w:rPr>
                <w:sz w:val="20"/>
                <w:szCs w:val="20"/>
                <w:color w:val="auto"/>
              </w:rPr>
            </w:pPr>
            <w:r>
              <w:rPr>
                <w:rFonts w:ascii="Arial" w:cs="Arial" w:eastAsia="Arial" w:hAnsi="Arial"/>
                <w:sz w:val="14"/>
                <w:szCs w:val="14"/>
                <w:color w:val="auto"/>
              </w:rPr>
              <w:t>Utilities</w:t>
            </w:r>
          </w:p>
        </w:tc>
        <w:tc>
          <w:tcPr>
            <w:tcW w:w="2340" w:type="dxa"/>
            <w:vAlign w:val="bottom"/>
          </w:tcPr>
          <w:p>
            <w:pPr>
              <w:ind w:left="340"/>
              <w:spacing w:after="0" w:line="138"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120"/>
              <w:spacing w:after="0" w:line="159" w:lineRule="exact"/>
              <w:rPr>
                <w:sz w:val="20"/>
                <w:szCs w:val="20"/>
                <w:color w:val="auto"/>
              </w:rPr>
            </w:pPr>
            <w:r>
              <w:rPr>
                <w:rFonts w:ascii="Arial" w:cs="Arial" w:eastAsia="Arial" w:hAnsi="Arial"/>
                <w:sz w:val="14"/>
                <w:szCs w:val="14"/>
                <w:color w:val="auto"/>
              </w:rPr>
              <w:t>Midco LLC</w:t>
            </w:r>
          </w:p>
        </w:tc>
        <w:tc>
          <w:tcPr>
            <w:tcW w:w="20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10/2/2021</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85"/>
              </w:rPr>
              <w:t>$1,423,645</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1,369,789</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1,429,581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Tranche C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2/28/2020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$4,255,246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4,265,475</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4,245,076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Travel Leaders Group, LLC</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Hotel, Gaming and Leisure</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12/7/2020</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$2,667,187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2,652,367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2,647,183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Tricorbraun, Inc. (fka Kranson Industries,</w:t>
            </w:r>
          </w:p>
        </w:tc>
        <w:tc>
          <w:tcPr>
            <w:tcW w:w="206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Containers/Glass Products</w:t>
            </w:r>
          </w:p>
        </w:tc>
        <w:tc>
          <w:tcPr>
            <w:tcW w:w="2340" w:type="dxa"/>
            <w:vAlign w:val="bottom"/>
            <w:shd w:val="clear" w:color="auto" w:fill="CCEEFF"/>
          </w:tcPr>
          <w:p>
            <w:pPr>
              <w:ind w:left="340"/>
              <w:spacing w:after="0" w:line="138"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Inc.)</w:t>
            </w:r>
          </w:p>
        </w:tc>
        <w:tc>
          <w:tcPr>
            <w:tcW w:w="2060" w:type="dxa"/>
            <w:vAlign w:val="bottom"/>
            <w:shd w:val="clear" w:color="auto" w:fill="CCEEFF"/>
          </w:tcPr>
          <w:p>
            <w:pPr>
              <w:spacing w:after="0"/>
              <w:rPr>
                <w:sz w:val="13"/>
                <w:szCs w:val="13"/>
                <w:color w:val="auto"/>
              </w:rPr>
            </w:pPr>
          </w:p>
        </w:tc>
        <w:tc>
          <w:tcPr>
            <w:tcW w:w="234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59" w:lineRule="exact"/>
              <w:rPr>
                <w:sz w:val="20"/>
                <w:szCs w:val="20"/>
                <w:color w:val="auto"/>
              </w:rPr>
            </w:pPr>
            <w:r>
              <w:rPr>
                <w:rFonts w:ascii="Arial" w:cs="Arial" w:eastAsia="Arial" w:hAnsi="Arial"/>
                <w:sz w:val="14"/>
                <w:szCs w:val="14"/>
                <w:color w:val="auto"/>
              </w:rPr>
              <w:t>5/3/2018</w:t>
            </w:r>
          </w:p>
        </w:tc>
        <w:tc>
          <w:tcPr>
            <w:tcW w:w="700" w:type="dxa"/>
            <w:vAlign w:val="bottom"/>
            <w:gridSpan w:val="3"/>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85"/>
              </w:rPr>
              <w:t>$2,831,864</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2,830,158</w:t>
            </w: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2,826,569</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Trugreen Limited Partnership</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4/13/2023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500,000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492,927</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503,125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Twin River Management Group, Inc.</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7/10/2020</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866,521</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867,991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869,233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7/1/2022</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$2,977,500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2,964,666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2,972,170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w w:val="91"/>
              </w:rPr>
              <w:t>Replacement First-Lien 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3/1/2020</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$2,901,111</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2,890,101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2,899,806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300" w:type="dxa"/>
            <w:vAlign w:val="bottom"/>
          </w:tcPr>
          <w:p>
            <w:pPr>
              <w:spacing w:after="0" w:line="138" w:lineRule="exact"/>
              <w:rPr>
                <w:sz w:val="20"/>
                <w:szCs w:val="20"/>
                <w:color w:val="auto"/>
              </w:rPr>
            </w:pPr>
            <w:r>
              <w:rPr>
                <w:rFonts w:ascii="Arial" w:cs="Arial" w:eastAsia="Arial" w:hAnsi="Arial"/>
                <w:sz w:val="14"/>
                <w:szCs w:val="14"/>
                <w:color w:val="auto"/>
                <w:w w:val="95"/>
              </w:rPr>
              <w:t>Valeant Pharmaceuticals International,</w:t>
            </w:r>
          </w:p>
        </w:tc>
        <w:tc>
          <w:tcPr>
            <w:tcW w:w="2060" w:type="dxa"/>
            <w:vAlign w:val="bottom"/>
          </w:tcPr>
          <w:p>
            <w:pPr>
              <w:ind w:left="60"/>
              <w:spacing w:after="0" w:line="138" w:lineRule="exact"/>
              <w:rPr>
                <w:sz w:val="20"/>
                <w:szCs w:val="20"/>
                <w:color w:val="auto"/>
              </w:rPr>
            </w:pPr>
            <w:r>
              <w:rPr>
                <w:rFonts w:ascii="Arial" w:cs="Arial" w:eastAsia="Arial" w:hAnsi="Arial"/>
                <w:sz w:val="14"/>
                <w:szCs w:val="14"/>
                <w:color w:val="auto"/>
              </w:rPr>
              <w:t>Drugs</w:t>
            </w:r>
          </w:p>
        </w:tc>
        <w:tc>
          <w:tcPr>
            <w:tcW w:w="2340" w:type="dxa"/>
            <w:vAlign w:val="bottom"/>
          </w:tcPr>
          <w:p>
            <w:pPr>
              <w:ind w:left="340"/>
              <w:spacing w:after="0" w:line="138" w:lineRule="exact"/>
              <w:rPr>
                <w:sz w:val="20"/>
                <w:szCs w:val="20"/>
                <w:color w:val="auto"/>
              </w:rPr>
            </w:pPr>
            <w:r>
              <w:rPr>
                <w:rFonts w:ascii="Arial" w:cs="Arial" w:eastAsia="Arial" w:hAnsi="Arial"/>
                <w:sz w:val="14"/>
                <w:szCs w:val="14"/>
                <w:color w:val="auto"/>
              </w:rPr>
              <w:t>Series D2 Term Loan B</w:t>
            </w:r>
          </w:p>
        </w:tc>
        <w:tc>
          <w:tcPr>
            <w:tcW w:w="620" w:type="dxa"/>
            <w:vAlign w:val="bottom"/>
          </w:tcPr>
          <w:p>
            <w:pPr>
              <w:ind w:left="10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300" w:type="dxa"/>
            <w:vAlign w:val="bottom"/>
          </w:tcPr>
          <w:p>
            <w:pPr>
              <w:ind w:left="120"/>
              <w:spacing w:after="0" w:line="159" w:lineRule="exact"/>
              <w:rPr>
                <w:sz w:val="20"/>
                <w:szCs w:val="20"/>
                <w:color w:val="auto"/>
              </w:rPr>
            </w:pPr>
            <w:r>
              <w:rPr>
                <w:rFonts w:ascii="Arial" w:cs="Arial" w:eastAsia="Arial" w:hAnsi="Arial"/>
                <w:sz w:val="14"/>
                <w:szCs w:val="14"/>
                <w:color w:val="auto"/>
              </w:rPr>
              <w:t>Inc.</w:t>
            </w:r>
          </w:p>
        </w:tc>
        <w:tc>
          <w:tcPr>
            <w:tcW w:w="20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80" w:type="dxa"/>
            <w:vAlign w:val="bottom"/>
          </w:tcPr>
          <w:p>
            <w:pPr>
              <w:jc w:val="right"/>
              <w:ind w:right="92"/>
              <w:spacing w:after="0" w:line="159" w:lineRule="exact"/>
              <w:rPr>
                <w:sz w:val="20"/>
                <w:szCs w:val="20"/>
                <w:color w:val="auto"/>
              </w:rPr>
            </w:pPr>
            <w:r>
              <w:rPr>
                <w:rFonts w:ascii="Arial" w:cs="Arial" w:eastAsia="Arial" w:hAnsi="Arial"/>
                <w:sz w:val="14"/>
                <w:szCs w:val="14"/>
                <w:color w:val="auto"/>
              </w:rPr>
              <w:t>2/13/2019</w:t>
            </w:r>
          </w:p>
        </w:tc>
        <w:tc>
          <w:tcPr>
            <w:tcW w:w="700" w:type="dxa"/>
            <w:vAlign w:val="bottom"/>
            <w:gridSpan w:val="3"/>
          </w:tcPr>
          <w:p>
            <w:pPr>
              <w:jc w:val="right"/>
              <w:ind w:right="80"/>
              <w:spacing w:after="0" w:line="159" w:lineRule="exact"/>
              <w:rPr>
                <w:sz w:val="20"/>
                <w:szCs w:val="20"/>
                <w:color w:val="auto"/>
              </w:rPr>
            </w:pPr>
            <w:r>
              <w:rPr>
                <w:rFonts w:ascii="Arial" w:cs="Arial" w:eastAsia="Arial" w:hAnsi="Arial"/>
                <w:sz w:val="14"/>
                <w:szCs w:val="14"/>
                <w:color w:val="auto"/>
                <w:w w:val="85"/>
              </w:rPr>
              <w:t>$2,468,720</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2,459,768</w:t>
            </w: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2,464,598</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9/6/2019</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$1,011,464</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1,009,003</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1,011,717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Vizient Inc.</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2/13/2023</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997,500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969,696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1,008,103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Vouvray US Finance</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6/27/2021</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4"/>
              </w:rPr>
              <w:t>490,000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488,186</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488,368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U.S. Term Loan (First Lien)</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w w:val="99"/>
              </w:rPr>
              <w:t>12/20/2018</w:t>
            </w:r>
          </w:p>
        </w:tc>
        <w:tc>
          <w:tcPr>
            <w:tcW w:w="7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w w:val="85"/>
              </w:rPr>
              <w:t>$1,736,393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1,747,098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1,085,246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Western Digital Corporation</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 B (USD)</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5/1/2023</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$1,600,000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1,568,172</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1,608,288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Windstream Services, LLC</w:t>
            </w:r>
          </w:p>
        </w:tc>
        <w:tc>
          <w:tcPr>
            <w:tcW w:w="206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340" w:type="dxa"/>
            <w:vAlign w:val="bottom"/>
          </w:tcPr>
          <w:p>
            <w:pPr>
              <w:ind w:left="340"/>
              <w:spacing w:after="0" w:line="149" w:lineRule="exact"/>
              <w:rPr>
                <w:sz w:val="20"/>
                <w:szCs w:val="20"/>
                <w:color w:val="auto"/>
              </w:rPr>
            </w:pPr>
            <w:r>
              <w:rPr>
                <w:rFonts w:ascii="Arial" w:cs="Arial" w:eastAsia="Arial" w:hAnsi="Arial"/>
                <w:sz w:val="14"/>
                <w:szCs w:val="14"/>
                <w:color w:val="auto"/>
              </w:rPr>
              <w:t>Term Loan B6</w:t>
            </w:r>
          </w:p>
        </w:tc>
        <w:tc>
          <w:tcPr>
            <w:tcW w:w="620" w:type="dxa"/>
            <w:vAlign w:val="bottom"/>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80" w:type="dxa"/>
            <w:vAlign w:val="bottom"/>
          </w:tcPr>
          <w:p>
            <w:pPr>
              <w:jc w:val="right"/>
              <w:ind w:right="92"/>
              <w:spacing w:after="0" w:line="149" w:lineRule="exact"/>
              <w:rPr>
                <w:sz w:val="20"/>
                <w:szCs w:val="20"/>
                <w:color w:val="auto"/>
              </w:rPr>
            </w:pPr>
            <w:r>
              <w:rPr>
                <w:rFonts w:ascii="Arial" w:cs="Arial" w:eastAsia="Arial" w:hAnsi="Arial"/>
                <w:sz w:val="14"/>
                <w:szCs w:val="14"/>
                <w:color w:val="auto"/>
              </w:rPr>
              <w:t>3/29/2021</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5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4"/>
              </w:rPr>
              <w:t>249,375</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243,569</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250,856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206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3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80" w:type="dxa"/>
            <w:vAlign w:val="bottom"/>
            <w:shd w:val="clear" w:color="auto" w:fill="CCEEFF"/>
          </w:tcPr>
          <w:p>
            <w:pPr>
              <w:jc w:val="right"/>
              <w:ind w:right="92"/>
              <w:spacing w:after="0" w:line="149" w:lineRule="exact"/>
              <w:rPr>
                <w:sz w:val="20"/>
                <w:szCs w:val="20"/>
                <w:color w:val="auto"/>
              </w:rPr>
            </w:pPr>
            <w:r>
              <w:rPr>
                <w:rFonts w:ascii="Arial" w:cs="Arial" w:eastAsia="Arial" w:hAnsi="Arial"/>
                <w:sz w:val="14"/>
                <w:szCs w:val="14"/>
                <w:color w:val="auto"/>
              </w:rPr>
              <w:t>6/27/2022</w:t>
            </w:r>
          </w:p>
        </w:tc>
        <w:tc>
          <w:tcPr>
            <w:tcW w:w="7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85"/>
              </w:rPr>
              <w:t>$2,970,000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2,957,142</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2,971,871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30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3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299,967,726</w:t>
            </w:r>
          </w:p>
        </w:tc>
        <w:tc>
          <w:tcPr>
            <w:tcW w:w="24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290,957,156</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00" w:type="dxa"/>
            <w:vAlign w:val="bottom"/>
            <w:gridSpan w:val="3"/>
          </w:tcPr>
          <w:p>
            <w:pPr>
              <w:ind w:left="2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3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060" w:type="dxa"/>
            <w:vAlign w:val="bottom"/>
            <w:tcBorders>
              <w:top w:val="single" w:sz="8" w:color="CCEEFF"/>
            </w:tcBorders>
            <w:shd w:val="clear" w:color="auto" w:fill="CCEEFF"/>
          </w:tcPr>
          <w:p>
            <w:pPr>
              <w:spacing w:after="0"/>
              <w:rPr>
                <w:sz w:val="11"/>
                <w:szCs w:val="11"/>
                <w:color w:val="auto"/>
              </w:rPr>
            </w:pPr>
          </w:p>
        </w:tc>
        <w:tc>
          <w:tcPr>
            <w:tcW w:w="234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680" w:type="dxa"/>
            <w:vAlign w:val="bottom"/>
            <w:tcBorders>
              <w:top w:val="single" w:sz="8" w:color="CCEEFF"/>
            </w:tcBorders>
            <w:shd w:val="clear" w:color="auto" w:fill="CCEEFF"/>
          </w:tcPr>
          <w:p>
            <w:pPr>
              <w:spacing w:after="0"/>
              <w:rPr>
                <w:sz w:val="11"/>
                <w:szCs w:val="11"/>
                <w:color w:val="auto"/>
              </w:rPr>
            </w:pPr>
          </w:p>
        </w:tc>
        <w:tc>
          <w:tcPr>
            <w:tcW w:w="88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50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30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06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620" w:type="dxa"/>
            <w:vAlign w:val="bottom"/>
            <w:gridSpan w:val="2"/>
          </w:tcPr>
          <w:p>
            <w:pPr>
              <w:jc w:val="right"/>
              <w:spacing w:after="0" w:line="149" w:lineRule="exact"/>
              <w:rPr>
                <w:sz w:val="20"/>
                <w:szCs w:val="20"/>
                <w:color w:val="auto"/>
              </w:rPr>
            </w:pPr>
            <w:r>
              <w:rPr>
                <w:rFonts w:ascii="Arial" w:cs="Arial" w:eastAsia="Arial" w:hAnsi="Arial"/>
                <w:sz w:val="14"/>
                <w:szCs w:val="14"/>
                <w:u w:val="single" w:color="auto"/>
                <w:color w:val="auto"/>
                <w:w w:val="85"/>
              </w:rPr>
              <w:t>$</w:t>
            </w:r>
            <w:r>
              <w:rPr>
                <w:rFonts w:ascii="Arial" w:cs="Arial" w:eastAsia="Arial" w:hAnsi="Arial"/>
                <w:sz w:val="14"/>
                <w:szCs w:val="14"/>
                <w:color w:val="auto"/>
                <w:w w:val="85"/>
              </w:rPr>
              <w:t>5,172,517</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5,172,517</w:t>
            </w:r>
          </w:p>
        </w:tc>
        <w:tc>
          <w:tcPr>
            <w:tcW w:w="2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5,172,517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3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340" w:type="dxa"/>
            <w:vAlign w:val="bottom"/>
          </w:tcPr>
          <w:p>
            <w:pPr>
              <w:spacing w:after="0"/>
              <w:rPr>
                <w:sz w:val="2"/>
                <w:szCs w:val="2"/>
                <w:color w:val="auto"/>
              </w:rPr>
            </w:pPr>
          </w:p>
        </w:tc>
        <w:tc>
          <w:tcPr>
            <w:tcW w:w="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3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2060" w:type="dxa"/>
            <w:vAlign w:val="bottom"/>
            <w:shd w:val="clear" w:color="auto" w:fill="CCEEFF"/>
          </w:tcPr>
          <w:p>
            <w:pPr>
              <w:spacing w:after="0"/>
              <w:rPr>
                <w:sz w:val="12"/>
                <w:szCs w:val="12"/>
                <w:color w:val="auto"/>
              </w:rPr>
            </w:pPr>
          </w:p>
        </w:tc>
        <w:tc>
          <w:tcPr>
            <w:tcW w:w="23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6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u w:val="single" w:color="auto"/>
                <w:color w:val="auto"/>
                <w:w w:val="85"/>
              </w:rPr>
              <w:t>$</w:t>
            </w:r>
            <w:r>
              <w:rPr>
                <w:rFonts w:ascii="Arial" w:cs="Arial" w:eastAsia="Arial" w:hAnsi="Arial"/>
                <w:sz w:val="14"/>
                <w:szCs w:val="14"/>
                <w:b w:val="1"/>
                <w:bCs w:val="1"/>
                <w:color w:val="auto"/>
                <w:w w:val="85"/>
              </w:rPr>
              <w:t>5,172,517</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5,172,517</w:t>
            </w:r>
          </w:p>
        </w:tc>
        <w:tc>
          <w:tcPr>
            <w:tcW w:w="2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5,172,517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2240" w:hanging="5612"/>
        <w:spacing w:after="0" w:line="731" w:lineRule="auto"/>
        <w:tabs>
          <w:tab w:leader="none" w:pos="45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August 31, 2016. 21</w:t>
      </w:r>
    </w:p>
    <w:p>
      <w:pPr>
        <w:sectPr>
          <w:pgSz w:w="11900" w:h="16838" w:orient="portrait"/>
          <w:cols w:equalWidth="0" w:num="1">
            <w:col w:w="11420"/>
          </w:cols>
          <w:pgMar w:left="240" w:top="127" w:right="239" w:bottom="1440" w:gutter="0" w:footer="0" w:header="0"/>
        </w:sectPr>
      </w:pPr>
    </w:p>
    <w:bookmarkStart w:id="26" w:name="page27"/>
    <w:bookmarkEnd w:id="26"/>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29,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Asset</w:t>
            </w:r>
          </w:p>
        </w:tc>
        <w:tc>
          <w:tcPr>
            <w:tcW w:w="100" w:type="dxa"/>
            <w:vAlign w:val="bottom"/>
          </w:tcPr>
          <w:p>
            <w:pPr>
              <w:spacing w:after="0"/>
              <w:rPr>
                <w:sz w:val="14"/>
                <w:szCs w:val="14"/>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w:t>
            </w:r>
          </w:p>
        </w:tc>
        <w:tc>
          <w:tcPr>
            <w:tcW w:w="7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8"/>
              </w:rPr>
              <w:t>Current</w:t>
            </w:r>
          </w:p>
        </w:tc>
        <w:tc>
          <w:tcPr>
            <w:tcW w:w="7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Maturity</w:t>
            </w:r>
          </w:p>
        </w:tc>
        <w:tc>
          <w:tcPr>
            <w:tcW w:w="80" w:type="dxa"/>
            <w:vAlign w:val="bottom"/>
          </w:tcPr>
          <w:p>
            <w:pPr>
              <w:spacing w:after="0"/>
              <w:rPr>
                <w:sz w:val="14"/>
                <w:szCs w:val="14"/>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rPr>
              <w:t>Principal /</w:t>
            </w:r>
          </w:p>
        </w:tc>
        <w:tc>
          <w:tcPr>
            <w:tcW w:w="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780" w:type="dxa"/>
            <w:vAlign w:val="bottom"/>
            <w:vMerge w:val="restart"/>
          </w:tcPr>
          <w:p>
            <w:pPr>
              <w:spacing w:after="0"/>
              <w:rPr>
                <w:sz w:val="20"/>
                <w:szCs w:val="20"/>
                <w:color w:val="auto"/>
              </w:rPr>
            </w:pPr>
            <w:r>
              <w:rPr>
                <w:rFonts w:ascii="Arial" w:cs="Arial" w:eastAsia="Arial" w:hAnsi="Arial"/>
                <w:sz w:val="14"/>
                <w:szCs w:val="14"/>
                <w:b w:val="1"/>
                <w:bCs w:val="1"/>
                <w:color w:val="auto"/>
                <w:w w:val="91"/>
              </w:rPr>
              <w:t>Issuer Name</w:t>
            </w:r>
          </w:p>
        </w:tc>
        <w:tc>
          <w:tcPr>
            <w:tcW w:w="1500" w:type="dxa"/>
            <w:vAlign w:val="bottom"/>
            <w:vMerge w:val="restart"/>
          </w:tcPr>
          <w:p>
            <w:pPr>
              <w:spacing w:after="0"/>
              <w:rPr>
                <w:sz w:val="12"/>
                <w:szCs w:val="12"/>
                <w:color w:val="auto"/>
              </w:rPr>
            </w:pPr>
          </w:p>
        </w:tc>
        <w:tc>
          <w:tcPr>
            <w:tcW w:w="2260" w:type="dxa"/>
            <w:vAlign w:val="bottom"/>
            <w:vMerge w:val="restart"/>
          </w:tcPr>
          <w:p>
            <w:pPr>
              <w:ind w:left="860"/>
              <w:spacing w:after="0"/>
              <w:rPr>
                <w:sz w:val="20"/>
                <w:szCs w:val="20"/>
                <w:color w:val="auto"/>
              </w:rPr>
            </w:pPr>
            <w:r>
              <w:rPr>
                <w:rFonts w:ascii="Arial" w:cs="Arial" w:eastAsia="Arial" w:hAnsi="Arial"/>
                <w:sz w:val="14"/>
                <w:szCs w:val="14"/>
                <w:b w:val="1"/>
                <w:bCs w:val="1"/>
                <w:color w:val="auto"/>
              </w:rPr>
              <w:t>Industry</w:t>
            </w:r>
          </w:p>
        </w:tc>
        <w:tc>
          <w:tcPr>
            <w:tcW w:w="100" w:type="dxa"/>
            <w:vAlign w:val="bottom"/>
            <w:vMerge w:val="restart"/>
          </w:tcPr>
          <w:p>
            <w:pPr>
              <w:spacing w:after="0"/>
              <w:rPr>
                <w:sz w:val="12"/>
                <w:szCs w:val="12"/>
                <w:color w:val="auto"/>
              </w:rPr>
            </w:pPr>
          </w:p>
        </w:tc>
        <w:tc>
          <w:tcPr>
            <w:tcW w:w="20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gridSpan w:val="2"/>
            <w:vMerge w:val="continue"/>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62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rPr>
              <w:t>Cost</w:t>
            </w:r>
          </w:p>
        </w:tc>
        <w:tc>
          <w:tcPr>
            <w:tcW w:w="160" w:type="dxa"/>
            <w:vAlign w:val="bottom"/>
          </w:tcPr>
          <w:p>
            <w:pPr>
              <w:spacing w:after="0"/>
              <w:rPr>
                <w:sz w:val="12"/>
                <w:szCs w:val="12"/>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Fair Value</w:t>
            </w:r>
          </w:p>
        </w:tc>
        <w:tc>
          <w:tcPr>
            <w:tcW w:w="6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780" w:type="dxa"/>
            <w:vAlign w:val="bottom"/>
            <w:tcBorders>
              <w:bottom w:val="single" w:sz="8" w:color="auto"/>
            </w:tcBorders>
            <w:vMerge w:val="continue"/>
          </w:tcPr>
          <w:p>
            <w:pPr>
              <w:spacing w:after="0"/>
              <w:rPr>
                <w:sz w:val="15"/>
                <w:szCs w:val="15"/>
                <w:color w:val="auto"/>
              </w:rPr>
            </w:pPr>
          </w:p>
        </w:tc>
        <w:tc>
          <w:tcPr>
            <w:tcW w:w="1500" w:type="dxa"/>
            <w:vAlign w:val="bottom"/>
            <w:tcBorders>
              <w:bottom w:val="single" w:sz="8" w:color="CCEEFF"/>
            </w:tcBorders>
            <w:vMerge w:val="continue"/>
          </w:tcPr>
          <w:p>
            <w:pPr>
              <w:spacing w:after="0"/>
              <w:rPr>
                <w:sz w:val="15"/>
                <w:szCs w:val="15"/>
                <w:color w:val="auto"/>
              </w:rPr>
            </w:pPr>
          </w:p>
        </w:tc>
        <w:tc>
          <w:tcPr>
            <w:tcW w:w="226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04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Name</w:t>
            </w:r>
          </w:p>
        </w:tc>
        <w:tc>
          <w:tcPr>
            <w:tcW w:w="10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7"/>
              </w:rPr>
              <w:t>Type</w:t>
            </w:r>
          </w:p>
        </w:tc>
        <w:tc>
          <w:tcPr>
            <w:tcW w:w="100" w:type="dxa"/>
            <w:vAlign w:val="bottom"/>
            <w:tcBorders>
              <w:bottom w:val="single" w:sz="8" w:color="CCEEFF"/>
            </w:tcBorders>
          </w:tcPr>
          <w:p>
            <w:pPr>
              <w:spacing w:after="0"/>
              <w:rPr>
                <w:sz w:val="15"/>
                <w:szCs w:val="15"/>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Rate</w:t>
            </w:r>
          </w:p>
        </w:tc>
        <w:tc>
          <w:tcPr>
            <w:tcW w:w="26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Date</w:t>
            </w:r>
          </w:p>
        </w:tc>
        <w:tc>
          <w:tcPr>
            <w:tcW w:w="8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6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of Shares</w:t>
            </w:r>
          </w:p>
        </w:tc>
        <w:tc>
          <w:tcPr>
            <w:tcW w:w="1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60" w:type="dxa"/>
            <w:vAlign w:val="bottom"/>
            <w:tcBorders>
              <w:bottom w:val="single" w:sz="8" w:color="CCEEFF"/>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28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Education Management II, LLC</w:t>
            </w:r>
          </w:p>
        </w:tc>
        <w:tc>
          <w:tcPr>
            <w:tcW w:w="22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Leisure Goods/Activities/Movies</w:t>
            </w:r>
          </w:p>
        </w:tc>
        <w:tc>
          <w:tcPr>
            <w:tcW w:w="100" w:type="dxa"/>
            <w:vAlign w:val="bottom"/>
            <w:shd w:val="clear" w:color="auto" w:fill="CCEEFF"/>
          </w:tcPr>
          <w:p>
            <w:pPr>
              <w:spacing w:after="0"/>
              <w:rPr>
                <w:sz w:val="12"/>
                <w:szCs w:val="12"/>
                <w:color w:val="auto"/>
              </w:rPr>
            </w:pPr>
          </w:p>
        </w:tc>
        <w:tc>
          <w:tcPr>
            <w:tcW w:w="204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A-1 Preferred Shares</w:t>
            </w: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2"/>
              </w:rPr>
              <w:t>Equity</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60"/>
              <w:spacing w:after="0" w:line="142"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669,214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A-2 Preferred Shares</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18,975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1,897,538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Equity</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0.00%</w:t>
            </w: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14,813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964,466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190,095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24 Hour Holdings III,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5/28/2021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488,586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455,154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Acosta Holdco,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Media</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B1</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9/26/2021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1,972,936</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1,959,834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1,855,389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Aspen Dental Management,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Initial</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4/29/2022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495,228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495,221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Advantage Sales &amp; Marketing,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Services: Business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Delayed Draw 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7/25/2021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2,471,231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2,468,039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2,342,826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Agrofresh,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Food Services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5.75%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7/30/2021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1,990,000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1,980,704</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1,935,275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Aegis Toxicology Science Corporation</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2/24/2021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985,000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985,000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797,850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Akorn,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4/16/2021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398,056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396,681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396,066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Albertson’s LLC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Retailers (Except Food and Drugs)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B-4</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8/25/2021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3,384,425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3,367,410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3,302,623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Alere Inc. (fka IM US Holdings,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6/20/2022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927,265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925,091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925,365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Alion Science and Technology</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High Tech Industries</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Term Loan B (First Lien)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8/19/2021</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9"/>
              </w:rPr>
              <w:t>2,985,000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2,971,074</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2,824,555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Alliance Healthcare Services,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6/3/2019</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994,856</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990,161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906,981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Alliant Holdings I, LLC</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Banking, Finance, Insurance &amp; Real</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Term Loan B (First Lien)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Estate</w:t>
            </w: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8/12/2022</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992,679</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960,921</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Alvogen Pharma US,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4/4/2022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480,447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478,240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456,425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American Beacon Advisors,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Intermediaries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4/30/2022</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248,749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247,612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244,190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LC-2 Facility</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0.29%</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7/26/2016</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9,447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9,445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Food Products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LC-3 Facility</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0.29%</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7/26/2016</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5,244</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5,166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Aramark Corporation</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Food Products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U.S. Term F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2/24/2021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3,150,423</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3,150,423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3,126,133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Asurion, LLC (fka Asurion</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Insurance</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89"/>
              </w:rPr>
              <w:t>Incremental Tranche B-1 Term Loan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5/24/2019</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9"/>
              </w:rPr>
              <w:t>2,596,480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2,573,245</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2,441,237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rPr>
              <w:t>Asurion, LLC (fka Asurion</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Insurance</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Loan B4 (First Lien)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Corporation)</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5.00%</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8/4/2022</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2,478,125</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2,466,303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2,270,582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Auction.com, LLC</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Banking, Finance, Insurance &amp; Real</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Estate</w:t>
            </w: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6.00%</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5/13/2019</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9"/>
              </w:rPr>
              <w:t>2,522,992</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2,522,722</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2,491,455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rPr>
              <w:t>Avantor Performance Materials</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Chemicals/Plastics</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 Inc.</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6/24/2017</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2,156,953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2,153,896</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2,135,384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Bass Pro Group, LLC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Retailers (Except Food and Drugs)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6/5/2020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1,488,750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1,485,895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1,397,564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Belmond Interfin Ltd.</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3/19/2021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491,249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489,361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477,127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Berry Plastics Corporation</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E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1/6/2021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1,314,499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1,305,069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1,291,903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rPr>
              <w:t>BJ’s Wholesale Club, Inc.</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Food/Drug Retailers</w:t>
            </w:r>
          </w:p>
        </w:tc>
        <w:tc>
          <w:tcPr>
            <w:tcW w:w="2040" w:type="dxa"/>
            <w:vAlign w:val="bottom"/>
          </w:tcPr>
          <w:p>
            <w:pPr>
              <w:spacing w:after="0" w:line="138" w:lineRule="exact"/>
              <w:rPr>
                <w:sz w:val="20"/>
                <w:szCs w:val="20"/>
                <w:color w:val="auto"/>
              </w:rPr>
            </w:pPr>
            <w:r>
              <w:rPr>
                <w:rFonts w:ascii="Arial" w:cs="Arial" w:eastAsia="Arial" w:hAnsi="Arial"/>
                <w:sz w:val="14"/>
                <w:szCs w:val="14"/>
                <w:color w:val="auto"/>
                <w:w w:val="88"/>
              </w:rPr>
              <w:t>New 2013 (November) Replacement</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line="159" w:lineRule="exact"/>
              <w:rPr>
                <w:sz w:val="20"/>
                <w:szCs w:val="20"/>
                <w:color w:val="auto"/>
              </w:rPr>
            </w:pPr>
            <w:r>
              <w:rPr>
                <w:rFonts w:ascii="Arial" w:cs="Arial" w:eastAsia="Arial" w:hAnsi="Arial"/>
                <w:sz w:val="14"/>
                <w:szCs w:val="14"/>
                <w:color w:val="auto"/>
              </w:rPr>
              <w:t>Loan (First Lien)</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4.50%</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9/26/2019</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1,476,196</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1,475,409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1,401,161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Blue Coat Systems</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5/20/2022</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995,159</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945,131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BMC Software</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Technology</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9/10/2020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1,979,798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1,926,080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1,571,821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Brickman Group Holdings,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Brokers/Dealers/Investment Houses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12/18/2020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1,476,212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1,464,327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1,426,390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Brock Holdings III,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Industrial Equipment</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3/16/2017</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1,917,168</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1,924,101</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1,802,138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Burlington Coat Factory Warehouse</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Retailers (Except Food and Drugs)</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Term B-2 Loan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Corporation</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8/13/2021</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9"/>
              </w:rPr>
              <w:t>1,861,667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1,853,426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1,845,843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BWAY Holding Company</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8/14/2020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976,335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930,826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Caesars Entertainment Corp.</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B-7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13.25%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3/1/2017</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995,000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991,037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814,656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w w:val="96"/>
              </w:rPr>
              <w:t>Camp International Holding Company</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Aerospace and Defense</w:t>
            </w:r>
          </w:p>
        </w:tc>
        <w:tc>
          <w:tcPr>
            <w:tcW w:w="2040" w:type="dxa"/>
            <w:vAlign w:val="bottom"/>
          </w:tcPr>
          <w:p>
            <w:pPr>
              <w:spacing w:after="0" w:line="138" w:lineRule="exact"/>
              <w:rPr>
                <w:sz w:val="20"/>
                <w:szCs w:val="20"/>
                <w:color w:val="auto"/>
              </w:rPr>
            </w:pPr>
            <w:r>
              <w:rPr>
                <w:rFonts w:ascii="Arial" w:cs="Arial" w:eastAsia="Arial" w:hAnsi="Arial"/>
                <w:sz w:val="14"/>
                <w:szCs w:val="14"/>
                <w:color w:val="auto"/>
                <w:w w:val="89"/>
              </w:rPr>
              <w:t>2013 Replacement Term Loan (First</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line="159" w:lineRule="exact"/>
              <w:rPr>
                <w:sz w:val="20"/>
                <w:szCs w:val="20"/>
                <w:color w:val="auto"/>
              </w:rPr>
            </w:pPr>
            <w:r>
              <w:rPr>
                <w:rFonts w:ascii="Arial" w:cs="Arial" w:eastAsia="Arial" w:hAnsi="Arial"/>
                <w:sz w:val="14"/>
                <w:szCs w:val="14"/>
                <w:color w:val="auto"/>
              </w:rPr>
              <w:t>Lien)</w:t>
            </w: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5/31/2019</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1,940,113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1,940,984</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1,806,730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Capital Automotive L.P.</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Conglomerate</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Tranche B-1 Term Loan Facility</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4/10/2019</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2,051,828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2,055,060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2,044,564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Catalent Pharma Solutions,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Drugs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Initial Term B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5/20/2021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492,501</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490,549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487,271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Cengage Learning Acquisitions,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Publishing</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3/31/2020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2,647,871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2,670,807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2,539,758</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rPr>
              <w:t>Charter Communications Operating,</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Cable and Satellite Television</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F Loan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LLC</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3.00%</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1"/>
              </w:rPr>
              <w:t>12/31/2020</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2,628,783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2,621,343</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2,566,823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5"/>
              </w:rPr>
              <w:t>CHS/Community Health Systems,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G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12/31/2019</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1,022,569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994,876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974,212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w w:val="95"/>
              </w:rPr>
              <w:t>CHS/Community Health Systems,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H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1/27/2021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1,881,500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1,828,566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1,785,920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Cinedigm Digital Funding I, LLC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Services: Business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2/28/2018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298,828</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297,362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295,840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CITGO Petroleum Corporation</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Oil &amp; Gas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7/29/2021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1,984,975</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1,962,423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1,865,876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4"/>
              </w:rPr>
              <w:t>Communications Sales &amp; Leasing,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Telecommunications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10/24/2022</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1,990,000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1,978,594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1,847,596</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CommScope, Inc.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Telecommunications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12/29/2022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498,750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497,568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494,176</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Consolidated Aerospace</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Aerospace and Defense</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shd w:val="clear" w:color="auto" w:fill="CCEEFF"/>
          </w:tcPr>
          <w:p>
            <w:pPr>
              <w:ind w:left="140"/>
              <w:spacing w:after="0" w:line="159" w:lineRule="exact"/>
              <w:rPr>
                <w:sz w:val="20"/>
                <w:szCs w:val="20"/>
                <w:color w:val="auto"/>
              </w:rPr>
            </w:pPr>
            <w:r>
              <w:rPr>
                <w:rFonts w:ascii="Arial" w:cs="Arial" w:eastAsia="Arial" w:hAnsi="Arial"/>
                <w:sz w:val="14"/>
                <w:szCs w:val="14"/>
                <w:color w:val="auto"/>
              </w:rPr>
              <w:t>Manufacturing, LLC</w:t>
            </w: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8/11/2022</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9"/>
              </w:rPr>
              <w:t>1,437,500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1,430,556</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1,329,688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Concordia Healthcare Corp</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1"/>
              </w:rPr>
              <w:t>10/21/2021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1,894,483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1,920,000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CPI Acquisition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Technology</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8/17/2022</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1,436,782</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1,415,977</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1,396,667</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rPr>
              <w:t>CPI International Acquisition, Inc.</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Electronics/Electric</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B Loan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(f/k/a Catalyst Holdings, Inc.)</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1"/>
              </w:rPr>
              <w:t>11/17/2017</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1,564,182</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1,564,182</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1,501,615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Crosby US Acquisition Corp.</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Industrial Equipment</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Initial Term Loan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11/23/2020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735,000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734,245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536,550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w w:val="97"/>
              </w:rPr>
              <w:t>CT Technologies Intermediate Hldgs,</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5.25%</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12/1/2021</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1,485,038</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1,471,665</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1,433,061</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Conglomerate</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Dollar Loan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12/19/2017</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771,625</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742,910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721,469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Culligan International Company</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Conglomerate</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Dollar Loan (Second Lien)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9.50%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6/19/2018</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783,162</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754,065</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734,214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Cumulus Media Holdings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Broadcast Radio and Television</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12/23/2020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470,093</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466,690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304,973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DAE Aviation (StandardAero)</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Aerospace and Defense</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7/7/2022</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1,995,000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1,985,759</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1,970,063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DCS Business Services,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Financial Intermediaries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B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8.75%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3/19/2018</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2,409,739</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2,397,948</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2,409,739</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Dell International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Technology</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B2</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4/29/2020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2,904,989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2,892,348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2,889,854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Delta 2 (Lux) S.a.r.l.</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B-3</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7/30/2021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995,870</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925,000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w w:val="97"/>
              </w:rPr>
              <w:t>Deluxe Entertainment Service Group,</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Leisure Goods/Activities/Movies</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Inc.</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2/28/2020</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1,882,983</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1,884,279</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1,751,174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Lodging &amp; Casinos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5/7/2021</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926,971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923,222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897,614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Lodging &amp; Casinos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(Add-On)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5/7/2021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980,687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968,330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DJO Finance, LLC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6/8/2020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497,500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495,435</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478,222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DPX Holdings B.V.</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2015 Incr Dollar</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3/11/2021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2,955,000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2,948,456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2,799,863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Drew Marine Group, Inc.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1"/>
              </w:rPr>
              <w:t>11/19/2020</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2,472,161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2,445,601</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2,299,110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DTZ U.S. Borrower,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Construction &amp; Building</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 Add-on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4.25%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11/4/2021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2,985,000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2,970,317</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2,869,331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Edelman Financial Group, Inc.</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Banking, Finance, Insurance &amp; Real</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Term Loan</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360" w:type="dxa"/>
            <w:vAlign w:val="bottom"/>
            <w:gridSpan w:val="2"/>
            <w:shd w:val="clear" w:color="auto" w:fill="CCEEFF"/>
          </w:tcPr>
          <w:p>
            <w:pPr>
              <w:spacing w:after="0" w:line="159" w:lineRule="exact"/>
              <w:rPr>
                <w:sz w:val="20"/>
                <w:szCs w:val="20"/>
                <w:color w:val="auto"/>
              </w:rPr>
            </w:pPr>
            <w:r>
              <w:rPr>
                <w:rFonts w:ascii="Arial" w:cs="Arial" w:eastAsia="Arial" w:hAnsi="Arial"/>
                <w:sz w:val="14"/>
                <w:szCs w:val="14"/>
                <w:color w:val="auto"/>
              </w:rPr>
              <w:t>Estate</w:t>
            </w:r>
          </w:p>
        </w:tc>
        <w:tc>
          <w:tcPr>
            <w:tcW w:w="20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6.50%</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1"/>
              </w:rPr>
              <w:t>12/19/2022</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w w:val="89"/>
              </w:rPr>
              <w:t>1,500,000</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1,470,617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w w:val="96"/>
              </w:rPr>
              <w:t>1,459,695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Education Management II,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Leisure Goods/Activities/Movies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A</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7/2/2020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501,970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485,313</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160,630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Education Management II, LLC</w:t>
            </w:r>
          </w:p>
        </w:tc>
        <w:tc>
          <w:tcPr>
            <w:tcW w:w="2360" w:type="dxa"/>
            <w:vAlign w:val="bottom"/>
            <w:gridSpan w:val="2"/>
            <w:shd w:val="clear" w:color="auto" w:fill="CCEEFF"/>
          </w:tcPr>
          <w:p>
            <w:pPr>
              <w:spacing w:after="0" w:line="138" w:lineRule="exact"/>
              <w:rPr>
                <w:sz w:val="20"/>
                <w:szCs w:val="20"/>
                <w:color w:val="auto"/>
              </w:rPr>
            </w:pPr>
            <w:r>
              <w:rPr>
                <w:rFonts w:ascii="Arial" w:cs="Arial" w:eastAsia="Arial" w:hAnsi="Arial"/>
                <w:sz w:val="14"/>
                <w:szCs w:val="14"/>
                <w:color w:val="auto"/>
              </w:rPr>
              <w:t>Leisure Goods/Activities/Movies</w:t>
            </w:r>
          </w:p>
        </w:tc>
        <w:tc>
          <w:tcPr>
            <w:tcW w:w="20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Term Loan B (2.00% Cash/6.50%</w:t>
            </w:r>
          </w:p>
        </w:tc>
        <w:tc>
          <w:tcPr>
            <w:tcW w:w="580" w:type="dxa"/>
            <w:vAlign w:val="bottom"/>
            <w:gridSpan w:val="3"/>
            <w:shd w:val="clear" w:color="auto" w:fill="CCEEFF"/>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7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4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PIK)</w:t>
            </w:r>
          </w:p>
        </w:tc>
        <w:tc>
          <w:tcPr>
            <w:tcW w:w="10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60"/>
              <w:spacing w:after="0" w:line="159" w:lineRule="exact"/>
              <w:rPr>
                <w:sz w:val="20"/>
                <w:szCs w:val="20"/>
                <w:color w:val="auto"/>
              </w:rPr>
            </w:pPr>
            <w:r>
              <w:rPr>
                <w:rFonts w:ascii="Arial" w:cs="Arial" w:eastAsia="Arial" w:hAnsi="Arial"/>
                <w:sz w:val="14"/>
                <w:szCs w:val="14"/>
                <w:color w:val="auto"/>
              </w:rPr>
              <w:t>8.50%</w:t>
            </w:r>
          </w:p>
        </w:tc>
        <w:tc>
          <w:tcPr>
            <w:tcW w:w="74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7/2/2020</w:t>
            </w:r>
          </w:p>
        </w:tc>
        <w:tc>
          <w:tcPr>
            <w:tcW w:w="160" w:type="dxa"/>
            <w:vAlign w:val="bottom"/>
            <w:gridSpan w:val="2"/>
            <w:shd w:val="clear" w:color="auto" w:fill="CCEEFF"/>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893,447</w:t>
            </w:r>
          </w:p>
        </w:tc>
        <w:tc>
          <w:tcPr>
            <w:tcW w:w="12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867,647</w:t>
            </w:r>
          </w:p>
        </w:tc>
        <w:tc>
          <w:tcPr>
            <w:tcW w:w="1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56,582</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w w:val="98"/>
              </w:rPr>
              <w:t>Emerald Performance Materials,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Chemicals/Plastics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4.50%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8/1/2021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484,659</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482,690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473,148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w w:val="98"/>
              </w:rPr>
              <w:t>Emerald Performance Materials, LLC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(Second Lien)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8/1/2022</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500,000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497,844</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Emerald 2 Limited</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Chemicals/Plastics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B1A</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5/14/2021</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991,762</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866,670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Endo International plc</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Healthcare &amp; Pharmaceuticals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3.75%</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9/26/2022</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9"/>
              </w:rPr>
              <w:t>1,000,000</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997,602</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987,780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tcPr>
          <w:p>
            <w:pPr>
              <w:spacing w:after="0" w:line="149" w:lineRule="exact"/>
              <w:rPr>
                <w:sz w:val="20"/>
                <w:szCs w:val="20"/>
                <w:color w:val="auto"/>
              </w:rPr>
            </w:pPr>
            <w:r>
              <w:rPr>
                <w:rFonts w:ascii="Arial" w:cs="Arial" w:eastAsia="Arial" w:hAnsi="Arial"/>
                <w:sz w:val="14"/>
                <w:szCs w:val="14"/>
                <w:color w:val="auto"/>
              </w:rPr>
              <w:t>EnergySolutions, LLC</w:t>
            </w:r>
          </w:p>
        </w:tc>
        <w:tc>
          <w:tcPr>
            <w:tcW w:w="2360" w:type="dxa"/>
            <w:vAlign w:val="bottom"/>
            <w:gridSpan w:val="2"/>
          </w:tcPr>
          <w:p>
            <w:pPr>
              <w:spacing w:after="0" w:line="149" w:lineRule="exact"/>
              <w:rPr>
                <w:sz w:val="20"/>
                <w:szCs w:val="20"/>
                <w:color w:val="auto"/>
              </w:rPr>
            </w:pPr>
            <w:r>
              <w:rPr>
                <w:rFonts w:ascii="Arial" w:cs="Arial" w:eastAsia="Arial" w:hAnsi="Arial"/>
                <w:sz w:val="14"/>
                <w:szCs w:val="14"/>
                <w:color w:val="auto"/>
              </w:rPr>
              <w:t>Environmental Industries</w:t>
            </w:r>
          </w:p>
        </w:tc>
        <w:tc>
          <w:tcPr>
            <w:tcW w:w="2040" w:type="dxa"/>
            <w:vAlign w:val="bottom"/>
          </w:tcPr>
          <w:p>
            <w:pPr>
              <w:spacing w:after="0" w:line="149" w:lineRule="exact"/>
              <w:rPr>
                <w:sz w:val="20"/>
                <w:szCs w:val="20"/>
                <w:color w:val="auto"/>
              </w:rPr>
            </w:pPr>
            <w:r>
              <w:rPr>
                <w:rFonts w:ascii="Arial" w:cs="Arial" w:eastAsia="Arial" w:hAnsi="Arial"/>
                <w:sz w:val="14"/>
                <w:szCs w:val="14"/>
                <w:color w:val="auto"/>
              </w:rPr>
              <w:t>Term Loan B</w:t>
            </w:r>
          </w:p>
        </w:tc>
        <w:tc>
          <w:tcPr>
            <w:tcW w:w="580" w:type="dxa"/>
            <w:vAlign w:val="bottom"/>
            <w:gridSpan w:val="3"/>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6.75%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5/29/2020</w:t>
            </w:r>
          </w:p>
        </w:tc>
        <w:tc>
          <w:tcPr>
            <w:tcW w:w="16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937,857</w:t>
            </w:r>
          </w:p>
        </w:tc>
        <w:tc>
          <w:tcPr>
            <w:tcW w:w="12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923,660</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731,528</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Evergreen Acqco 1 LP</w:t>
            </w:r>
          </w:p>
        </w:tc>
        <w:tc>
          <w:tcPr>
            <w:tcW w:w="23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Retailers (Except Food and Drugs)</w:t>
            </w:r>
          </w:p>
        </w:tc>
        <w:tc>
          <w:tcPr>
            <w:tcW w:w="20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Term Loan</w:t>
            </w:r>
          </w:p>
        </w:tc>
        <w:tc>
          <w:tcPr>
            <w:tcW w:w="580" w:type="dxa"/>
            <w:vAlign w:val="bottom"/>
            <w:gridSpan w:val="3"/>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7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5.00%</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7/9/2019</w:t>
            </w:r>
          </w:p>
        </w:tc>
        <w:tc>
          <w:tcPr>
            <w:tcW w:w="160" w:type="dxa"/>
            <w:vAlign w:val="bottom"/>
            <w:gridSpan w:val="2"/>
            <w:shd w:val="clear" w:color="auto" w:fill="CCEEFF"/>
          </w:tcPr>
          <w:p>
            <w:pPr>
              <w:ind w:left="80"/>
              <w:spacing w:after="0" w:line="149" w:lineRule="exact"/>
              <w:rPr>
                <w:sz w:val="20"/>
                <w:szCs w:val="20"/>
                <w:color w:val="auto"/>
              </w:rPr>
            </w:pPr>
            <w:r>
              <w:rPr>
                <w:rFonts w:ascii="Arial" w:cs="Arial" w:eastAsia="Arial" w:hAnsi="Arial"/>
                <w:sz w:val="14"/>
                <w:szCs w:val="14"/>
                <w:color w:val="auto"/>
                <w:w w:val="76"/>
              </w:rPr>
              <w:t>$</w:t>
            </w:r>
          </w:p>
        </w:tc>
        <w:tc>
          <w:tcPr>
            <w:tcW w:w="7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965,081</w:t>
            </w:r>
          </w:p>
        </w:tc>
        <w:tc>
          <w:tcPr>
            <w:tcW w:w="12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963,406</w:t>
            </w:r>
          </w:p>
        </w:tc>
        <w:tc>
          <w:tcPr>
            <w:tcW w:w="1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719,951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280" w:type="dxa"/>
            <w:vAlign w:val="bottom"/>
            <w:gridSpan w:val="2"/>
          </w:tcPr>
          <w:p>
            <w:pPr>
              <w:spacing w:after="0" w:line="138" w:lineRule="exact"/>
              <w:rPr>
                <w:sz w:val="20"/>
                <w:szCs w:val="20"/>
                <w:color w:val="auto"/>
              </w:rPr>
            </w:pPr>
            <w:r>
              <w:rPr>
                <w:rFonts w:ascii="Arial" w:cs="Arial" w:eastAsia="Arial" w:hAnsi="Arial"/>
                <w:sz w:val="14"/>
                <w:szCs w:val="14"/>
                <w:color w:val="auto"/>
              </w:rPr>
              <w:t>EWT Holdings III Corp. (fka WTG</w:t>
            </w:r>
          </w:p>
        </w:tc>
        <w:tc>
          <w:tcPr>
            <w:tcW w:w="2360" w:type="dxa"/>
            <w:vAlign w:val="bottom"/>
            <w:gridSpan w:val="2"/>
          </w:tcPr>
          <w:p>
            <w:pPr>
              <w:spacing w:after="0" w:line="138" w:lineRule="exact"/>
              <w:rPr>
                <w:sz w:val="20"/>
                <w:szCs w:val="20"/>
                <w:color w:val="auto"/>
              </w:rPr>
            </w:pPr>
            <w:r>
              <w:rPr>
                <w:rFonts w:ascii="Arial" w:cs="Arial" w:eastAsia="Arial" w:hAnsi="Arial"/>
                <w:sz w:val="14"/>
                <w:szCs w:val="14"/>
                <w:color w:val="auto"/>
              </w:rPr>
              <w:t>Industrial Equipment</w:t>
            </w:r>
          </w:p>
        </w:tc>
        <w:tc>
          <w:tcPr>
            <w:tcW w:w="2040" w:type="dxa"/>
            <w:vAlign w:val="bottom"/>
          </w:tcPr>
          <w:p>
            <w:pPr>
              <w:spacing w:after="0" w:line="138" w:lineRule="exact"/>
              <w:rPr>
                <w:sz w:val="20"/>
                <w:szCs w:val="20"/>
                <w:color w:val="auto"/>
              </w:rPr>
            </w:pPr>
            <w:r>
              <w:rPr>
                <w:rFonts w:ascii="Arial" w:cs="Arial" w:eastAsia="Arial" w:hAnsi="Arial"/>
                <w:sz w:val="14"/>
                <w:szCs w:val="14"/>
                <w:color w:val="auto"/>
              </w:rPr>
              <w:t>Term Loan (First Lien)</w:t>
            </w:r>
          </w:p>
        </w:tc>
        <w:tc>
          <w:tcPr>
            <w:tcW w:w="580" w:type="dxa"/>
            <w:vAlign w:val="bottom"/>
            <w:gridSpan w:val="3"/>
          </w:tcPr>
          <w:p>
            <w:pPr>
              <w:ind w:left="100"/>
              <w:spacing w:after="0" w:line="138" w:lineRule="exact"/>
              <w:rPr>
                <w:sz w:val="20"/>
                <w:szCs w:val="20"/>
                <w:color w:val="auto"/>
              </w:rPr>
            </w:pPr>
            <w:r>
              <w:rPr>
                <w:rFonts w:ascii="Arial" w:cs="Arial" w:eastAsia="Arial" w:hAnsi="Arial"/>
                <w:sz w:val="14"/>
                <w:szCs w:val="14"/>
                <w:color w:val="auto"/>
              </w:rPr>
              <w:t>Loan</w:t>
            </w: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280" w:type="dxa"/>
            <w:vAlign w:val="bottom"/>
            <w:gridSpan w:val="2"/>
          </w:tcPr>
          <w:p>
            <w:pPr>
              <w:ind w:left="140"/>
              <w:spacing w:after="0" w:line="159" w:lineRule="exact"/>
              <w:rPr>
                <w:sz w:val="20"/>
                <w:szCs w:val="20"/>
                <w:color w:val="auto"/>
              </w:rPr>
            </w:pPr>
            <w:r>
              <w:rPr>
                <w:rFonts w:ascii="Arial" w:cs="Arial" w:eastAsia="Arial" w:hAnsi="Arial"/>
                <w:sz w:val="14"/>
                <w:szCs w:val="14"/>
                <w:color w:val="auto"/>
              </w:rPr>
              <w:t>Holdings III Corp.)</w:t>
            </w:r>
          </w:p>
        </w:tc>
        <w:tc>
          <w:tcPr>
            <w:tcW w:w="2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gridSpan w:val="2"/>
          </w:tcPr>
          <w:p>
            <w:pPr>
              <w:jc w:val="right"/>
              <w:ind w:right="160"/>
              <w:spacing w:after="0" w:line="159" w:lineRule="exact"/>
              <w:rPr>
                <w:sz w:val="20"/>
                <w:szCs w:val="20"/>
                <w:color w:val="auto"/>
              </w:rPr>
            </w:pPr>
            <w:r>
              <w:rPr>
                <w:rFonts w:ascii="Arial" w:cs="Arial" w:eastAsia="Arial" w:hAnsi="Arial"/>
                <w:sz w:val="14"/>
                <w:szCs w:val="14"/>
                <w:color w:val="auto"/>
              </w:rPr>
              <w:t>4.75%</w:t>
            </w:r>
          </w:p>
        </w:tc>
        <w:tc>
          <w:tcPr>
            <w:tcW w:w="74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rPr>
              <w:t>1/15/2021</w:t>
            </w:r>
          </w:p>
        </w:tc>
        <w:tc>
          <w:tcPr>
            <w:tcW w:w="160" w:type="dxa"/>
            <w:vAlign w:val="bottom"/>
            <w:gridSpan w:val="2"/>
          </w:tcPr>
          <w:p>
            <w:pPr>
              <w:ind w:left="80"/>
              <w:spacing w:after="0" w:line="159" w:lineRule="exact"/>
              <w:rPr>
                <w:sz w:val="20"/>
                <w:szCs w:val="20"/>
                <w:color w:val="auto"/>
              </w:rPr>
            </w:pPr>
            <w:r>
              <w:rPr>
                <w:rFonts w:ascii="Arial" w:cs="Arial" w:eastAsia="Arial" w:hAnsi="Arial"/>
                <w:sz w:val="14"/>
                <w:szCs w:val="14"/>
                <w:color w:val="auto"/>
                <w:w w:val="76"/>
              </w:rPr>
              <w:t>$</w:t>
            </w:r>
          </w:p>
        </w:tc>
        <w:tc>
          <w:tcPr>
            <w:tcW w:w="760" w:type="dxa"/>
            <w:vAlign w:val="bottom"/>
            <w:gridSpan w:val="2"/>
          </w:tcPr>
          <w:p>
            <w:pPr>
              <w:jc w:val="right"/>
              <w:ind w:right="180"/>
              <w:spacing w:after="0" w:line="159" w:lineRule="exact"/>
              <w:rPr>
                <w:sz w:val="20"/>
                <w:szCs w:val="20"/>
                <w:color w:val="auto"/>
              </w:rPr>
            </w:pPr>
            <w:r>
              <w:rPr>
                <w:rFonts w:ascii="Arial" w:cs="Arial" w:eastAsia="Arial" w:hAnsi="Arial"/>
                <w:sz w:val="14"/>
                <w:szCs w:val="14"/>
                <w:color w:val="auto"/>
                <w:w w:val="89"/>
              </w:rPr>
              <w:t>1,967,406</w:t>
            </w:r>
          </w:p>
        </w:tc>
        <w:tc>
          <w:tcPr>
            <w:tcW w:w="12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1,962,950</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color w:val="auto"/>
                <w:w w:val="96"/>
              </w:rPr>
              <w:t>1,908,383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1"/>
        </w:trPr>
        <w:tc>
          <w:tcPr>
            <w:tcW w:w="780" w:type="dxa"/>
            <w:vAlign w:val="bottom"/>
            <w:shd w:val="clear" w:color="auto" w:fill="CCEEFF"/>
          </w:tcPr>
          <w:p>
            <w:pPr>
              <w:spacing w:after="0"/>
              <w:rPr>
                <w:sz w:val="9"/>
                <w:szCs w:val="9"/>
                <w:color w:val="auto"/>
              </w:rPr>
            </w:pPr>
          </w:p>
        </w:tc>
        <w:tc>
          <w:tcPr>
            <w:tcW w:w="1500" w:type="dxa"/>
            <w:vAlign w:val="bottom"/>
            <w:shd w:val="clear" w:color="auto" w:fill="CCEEFF"/>
          </w:tcPr>
          <w:p>
            <w:pPr>
              <w:spacing w:after="0"/>
              <w:rPr>
                <w:sz w:val="9"/>
                <w:szCs w:val="9"/>
                <w:color w:val="auto"/>
              </w:rPr>
            </w:pPr>
          </w:p>
        </w:tc>
        <w:tc>
          <w:tcPr>
            <w:tcW w:w="22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3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0" w:type="dxa"/>
            <w:vAlign w:val="bottom"/>
            <w:shd w:val="clear" w:color="auto" w:fill="CCEEFF"/>
          </w:tcPr>
          <w:p>
            <w:pPr>
              <w:spacing w:after="0"/>
              <w:rPr>
                <w:sz w:val="9"/>
                <w:szCs w:val="9"/>
                <w:color w:val="auto"/>
              </w:rPr>
            </w:pPr>
          </w:p>
        </w:tc>
        <w:tc>
          <w:tcPr>
            <w:tcW w:w="260" w:type="dxa"/>
            <w:vAlign w:val="bottom"/>
            <w:shd w:val="clear" w:color="auto" w:fill="CCEEFF"/>
          </w:tcPr>
          <w:p>
            <w:pPr>
              <w:spacing w:after="0"/>
              <w:rPr>
                <w:sz w:val="9"/>
                <w:szCs w:val="9"/>
                <w:color w:val="auto"/>
              </w:rPr>
            </w:pPr>
          </w:p>
        </w:tc>
        <w:tc>
          <w:tcPr>
            <w:tcW w:w="6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580" w:type="dxa"/>
            <w:vAlign w:val="bottom"/>
            <w:shd w:val="clear" w:color="auto" w:fill="CCEEFF"/>
          </w:tcPr>
          <w:p>
            <w:pPr>
              <w:spacing w:after="0"/>
              <w:rPr>
                <w:sz w:val="9"/>
                <w:szCs w:val="9"/>
                <w:color w:val="auto"/>
              </w:rPr>
            </w:pPr>
          </w:p>
        </w:tc>
        <w:tc>
          <w:tcPr>
            <w:tcW w:w="1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40" w:type="dxa"/>
            <w:vAlign w:val="bottom"/>
            <w:shd w:val="clear" w:color="auto" w:fill="CCEEFF"/>
          </w:tcPr>
          <w:p>
            <w:pPr>
              <w:spacing w:after="0"/>
              <w:rPr>
                <w:sz w:val="9"/>
                <w:szCs w:val="9"/>
                <w:color w:val="auto"/>
              </w:rPr>
            </w:pPr>
          </w:p>
        </w:tc>
        <w:tc>
          <w:tcPr>
            <w:tcW w:w="620" w:type="dxa"/>
            <w:vAlign w:val="bottom"/>
            <w:shd w:val="clear" w:color="auto" w:fill="CCEEFF"/>
          </w:tcPr>
          <w:p>
            <w:pPr>
              <w:spacing w:after="0"/>
              <w:rPr>
                <w:sz w:val="9"/>
                <w:szCs w:val="9"/>
                <w:color w:val="auto"/>
              </w:rPr>
            </w:pPr>
          </w:p>
        </w:tc>
        <w:tc>
          <w:tcPr>
            <w:tcW w:w="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27" w:name="page28"/>
    <w:bookmarkEnd w:id="2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shd w:val="clear" w:color="auto" w:fill="CCEEFF"/>
          </w:tcPr>
          <w:p>
            <w:pPr>
              <w:spacing w:after="0"/>
              <w:rPr>
                <w:sz w:val="20"/>
                <w:szCs w:val="20"/>
                <w:color w:val="auto"/>
              </w:rPr>
            </w:pPr>
            <w:r>
              <w:rPr>
                <w:rFonts w:ascii="Arial" w:cs="Arial" w:eastAsia="Arial" w:hAnsi="Arial"/>
                <w:sz w:val="14"/>
                <w:szCs w:val="14"/>
                <w:color w:val="auto"/>
              </w:rPr>
              <w:t>Federal-Mogul Corporation</w:t>
            </w:r>
          </w:p>
        </w:tc>
        <w:tc>
          <w:tcPr>
            <w:tcW w:w="2220" w:type="dxa"/>
            <w:vAlign w:val="bottom"/>
            <w:shd w:val="clear" w:color="auto" w:fill="CCEEFF"/>
          </w:tcPr>
          <w:p>
            <w:pPr>
              <w:ind w:left="60"/>
              <w:spacing w:after="0"/>
              <w:rPr>
                <w:sz w:val="20"/>
                <w:szCs w:val="20"/>
                <w:color w:val="auto"/>
              </w:rPr>
            </w:pPr>
            <w:r>
              <w:rPr>
                <w:rFonts w:ascii="Arial" w:cs="Arial" w:eastAsia="Arial" w:hAnsi="Arial"/>
                <w:sz w:val="14"/>
                <w:szCs w:val="14"/>
                <w:color w:val="auto"/>
              </w:rPr>
              <w:t>Automotive</w:t>
            </w:r>
          </w:p>
        </w:tc>
        <w:tc>
          <w:tcPr>
            <w:tcW w:w="22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Tranche C Term Loan</w:t>
            </w:r>
          </w:p>
        </w:tc>
        <w:tc>
          <w:tcPr>
            <w:tcW w:w="600" w:type="dxa"/>
            <w:vAlign w:val="bottom"/>
            <w:shd w:val="clear" w:color="auto" w:fill="CCEEFF"/>
          </w:tcPr>
          <w:p>
            <w:pPr>
              <w:ind w:left="80"/>
              <w:spacing w:after="0"/>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4/15/2021</w:t>
            </w:r>
          </w:p>
        </w:tc>
        <w:tc>
          <w:tcPr>
            <w:tcW w:w="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w w:val="86"/>
              </w:rPr>
              <w:t>2,955,000</w:t>
            </w:r>
          </w:p>
        </w:tc>
        <w:tc>
          <w:tcPr>
            <w:tcW w:w="920" w:type="dxa"/>
            <w:vAlign w:val="bottom"/>
            <w:shd w:val="clear" w:color="auto" w:fill="CCEEFF"/>
          </w:tcPr>
          <w:p>
            <w:pPr>
              <w:jc w:val="right"/>
              <w:ind w:right="112"/>
              <w:spacing w:after="0"/>
              <w:rPr>
                <w:sz w:val="20"/>
                <w:szCs w:val="20"/>
                <w:color w:val="auto"/>
              </w:rPr>
            </w:pPr>
            <w:r>
              <w:rPr>
                <w:rFonts w:ascii="Arial" w:cs="Arial" w:eastAsia="Arial" w:hAnsi="Arial"/>
                <w:sz w:val="14"/>
                <w:szCs w:val="14"/>
                <w:color w:val="auto"/>
              </w:rPr>
              <w:t>2,943,580</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2,345,530</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First Data Corporation</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Financial Intermediaries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First Data Corp T/L (2018 New</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60" w:type="dxa"/>
            <w:vAlign w:val="bottom"/>
          </w:tcPr>
          <w:p>
            <w:pPr>
              <w:ind w:left="200"/>
              <w:spacing w:after="0" w:line="159" w:lineRule="exact"/>
              <w:rPr>
                <w:sz w:val="20"/>
                <w:szCs w:val="20"/>
                <w:color w:val="auto"/>
              </w:rPr>
            </w:pPr>
            <w:r>
              <w:rPr>
                <w:rFonts w:ascii="Arial" w:cs="Arial" w:eastAsia="Arial" w:hAnsi="Arial"/>
                <w:sz w:val="14"/>
                <w:szCs w:val="14"/>
                <w:color w:val="auto"/>
              </w:rPr>
              <w:t>Dollar)</w:t>
            </w: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3.93%</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3/23/2018</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2,790,451</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2,748,229</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2,752,780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First Data Corporation</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First Data T/L Ext (2021)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4.43%</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3/24/2021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2,111,028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2,034,284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2,077,779</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7"/>
              </w:rPr>
              <w:t>First Eagle Investment Management</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spacing w:after="0"/>
              <w:rPr>
                <w:sz w:val="13"/>
                <w:szCs w:val="13"/>
                <w:color w:val="auto"/>
              </w:rPr>
            </w:pPr>
          </w:p>
        </w:tc>
        <w:tc>
          <w:tcPr>
            <w:tcW w:w="2220" w:type="dxa"/>
            <w:vAlign w:val="bottom"/>
          </w:tcPr>
          <w:p>
            <w:pPr>
              <w:ind w:left="60"/>
              <w:spacing w:after="0" w:line="159" w:lineRule="exact"/>
              <w:rPr>
                <w:sz w:val="20"/>
                <w:szCs w:val="20"/>
                <w:color w:val="auto"/>
              </w:rPr>
            </w:pPr>
            <w:r>
              <w:rPr>
                <w:rFonts w:ascii="Arial" w:cs="Arial" w:eastAsia="Arial" w:hAnsi="Arial"/>
                <w:sz w:val="14"/>
                <w:szCs w:val="14"/>
                <w:color w:val="auto"/>
              </w:rPr>
              <w:t>Estate</w:t>
            </w: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12/1/2022</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1,500,000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1,470,946</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1,412,504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Fitness International, LLC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1,976,234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1,945,935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1,850,249</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FMG Resources (August 2006) Pty</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Nonferrous Metals/Minerals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w w:val="98"/>
              </w:rPr>
              <w:t>LTD (FMG America Finance, Inc.)</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6/28/2019</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1,962,387</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1,962,515</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1,504,738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Delayed Draw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199,120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198,391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187,344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Garda World Security Corporation</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11/6/2020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778,380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775,586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732,346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Gardner Denver,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Initial Dollar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7/30/2020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2,451,137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2,445,005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2,016,452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Gates Global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7/5/2021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488,813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433,883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Generac Power Systems,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5/31/2020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693,858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684,537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676,511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General Nutrition Centers,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Amended Tranche B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3/4/2019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4,131,271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4,121,165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4,012,497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Global Tel*Link Corporation</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5/26/2020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2,725,318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2,717,647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2,237,023</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Goodyear Tire &amp; Rubber Company,</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Loan (Second Lien)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The</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4/30/2019</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2,000,000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1,974,077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2,005,000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Grosvenor Capital Management</w:t>
            </w:r>
          </w:p>
        </w:tc>
        <w:tc>
          <w:tcPr>
            <w:tcW w:w="22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5"/>
              </w:rPr>
              <w:t>Brokers/Dealers/Investment Houses</w:t>
            </w: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Initial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Holdings, LP</w:t>
            </w:r>
          </w:p>
        </w:tc>
        <w:tc>
          <w:tcPr>
            <w:tcW w:w="22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1/4/2021</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6"/>
              </w:rPr>
              <w:t>1,264,036</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1,259,418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1,191,354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GTCR Valor Companies,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1,974,982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1,941,456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1,959,340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Harland Clarke Holdings Corp. (fka</w:t>
            </w:r>
          </w:p>
        </w:tc>
        <w:tc>
          <w:tcPr>
            <w:tcW w:w="22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Publishing</w:t>
            </w: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Tranche B-4 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Clarke American Corp.)</w:t>
            </w:r>
          </w:p>
        </w:tc>
        <w:tc>
          <w:tcPr>
            <w:tcW w:w="22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8/2/2019</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475,000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473,378</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421,561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HCA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Tranche B-4 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3.36%</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5/1/2018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2,119,664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2,053,127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2,116,294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Headwaters Incorporated</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Building &amp; Development</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3/24/2022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247,628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248,285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w w:val="96"/>
              </w:rPr>
              <w:t>Hercules Achievement Holdings,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249,370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246,940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244,929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Hertz Corporation, The</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Automotive</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B-1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2,910,000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2,933,230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2,879,998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Hoffmaster Group,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5/8/2020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1,970,000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1,955,325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1,915,825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Hostess Brand, LLC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Beverage, Food &amp; Tobacco</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8/3/2022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995,241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983,784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Huntsman International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4/19/2019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3,840,541</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3,814,577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3,727,245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4"/>
              </w:rPr>
              <w:t>Husky Injection Molding Systems Ltd.</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491,196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489,277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465,757</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5"/>
              </w:rPr>
              <w:t>Infor (US), Inc. (fka Lawson Software</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Tranche B-5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Inc.)</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6/3/2020</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2,188,296</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2,174,333</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2,015,049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Insight Global</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10/29/2021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1,979,592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1,971,967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1,961,439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Informatica Corporation</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8/5/2022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497,554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468,411</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 Crew Group,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Term B-1 Loan Retired 03/05/2014</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3/5/2021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955,481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955,481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639,379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Jazz Acquisition,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First Lien 6/14</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492,727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491,745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434,832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J.Jill Group,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5/9/2022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990,362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925,350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Kinetic Concepts,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Dollar Term D-1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5/4/2018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2,452,586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2,436,004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2,392,645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Koosharem, LLC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5/15/2020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2,965,050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2,942,458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2,683,370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Kraton Polymers,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2,500,000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2,252,500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2,250,000</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LPL Holdings</w:t>
            </w:r>
          </w:p>
        </w:tc>
        <w:tc>
          <w:tcPr>
            <w:tcW w:w="22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B (2022)</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spacing w:after="0"/>
              <w:rPr>
                <w:sz w:val="13"/>
                <w:szCs w:val="13"/>
                <w:color w:val="auto"/>
              </w:rPr>
            </w:pPr>
          </w:p>
        </w:tc>
        <w:tc>
          <w:tcPr>
            <w:tcW w:w="22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Estate</w:t>
            </w:r>
          </w:p>
        </w:tc>
        <w:tc>
          <w:tcPr>
            <w:tcW w:w="2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11/21/2022</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6"/>
              </w:rPr>
              <w:t>2,000,000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1,980,543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1,900,000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Mauser Holdings,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Containers/Glass Products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7/31/2021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493,750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491,750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475,234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Michaels Stores,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486,250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486,250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479,792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Michaels Stores,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1/28/2020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1,212,794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1,208,220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1,201,042</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 Holding Corp.</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7/8/2021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992,447</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987,851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950,268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Microsemi Corporation</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2,183,824</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2,119,162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2,180,177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Midas Intermediate Holdco II, LLC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Automotive</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(Initial)</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8/18/2021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246,875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245,802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244,098</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376,136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375,400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366,500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MSC Software Corporation</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5/29/2020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977,601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886,500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National Veterinary Associates,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8/14/2021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987,526</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984,296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959,549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National Vision,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250,000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249,729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218,750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Neptune Finco (CSC Holdings)</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Cable and Satellite Television</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10/7/2022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985,784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989,750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 Millennium Holdco</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12/21/2020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2,007,042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1,811,375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1,822,655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Nortek,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985,022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974,747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939,464</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NorthStar Asset Management Group</w:t>
            </w:r>
          </w:p>
        </w:tc>
        <w:tc>
          <w:tcPr>
            <w:tcW w:w="22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w w:val="95"/>
              </w:rPr>
              <w:t>Banking, Finance, Insurance &amp; Real</w:t>
            </w: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w:t>
            </w:r>
          </w:p>
        </w:tc>
        <w:tc>
          <w:tcPr>
            <w:tcW w:w="2220" w:type="dxa"/>
            <w:vAlign w:val="bottom"/>
            <w:shd w:val="clear" w:color="auto" w:fill="CCEEFF"/>
          </w:tcPr>
          <w:p>
            <w:pPr>
              <w:ind w:left="60"/>
              <w:spacing w:after="0" w:line="159" w:lineRule="exact"/>
              <w:rPr>
                <w:sz w:val="20"/>
                <w:szCs w:val="20"/>
                <w:color w:val="auto"/>
              </w:rPr>
            </w:pPr>
            <w:r>
              <w:rPr>
                <w:rFonts w:ascii="Arial" w:cs="Arial" w:eastAsia="Arial" w:hAnsi="Arial"/>
                <w:sz w:val="14"/>
                <w:szCs w:val="14"/>
                <w:color w:val="auto"/>
              </w:rPr>
              <w:t>Estate</w:t>
            </w:r>
          </w:p>
        </w:tc>
        <w:tc>
          <w:tcPr>
            <w:tcW w:w="2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4.63%</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1/30/2023</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6"/>
              </w:rPr>
              <w:t>2,000,000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1,930,000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1,950,000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Novelis,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Conglomerate</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4,771,058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4,749,389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4,440,090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Novetta Solutions</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(200MM)</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10/16/2022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1,980,636</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1,940,000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Novetta Solutions</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(2nd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9.50%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990,269</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950,000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NPC International,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Food Services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12/28/2018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481,250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481,250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472,829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NRG Energy,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Utilities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(2013)</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2.75%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7/2/2018</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3,821,925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3,808,282</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3,751,449</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Numericable</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Broadcast Radio and Television</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B-5</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4.56%</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7/31/2022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995,164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953,171</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4/7/2017</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789,045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789,045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774,645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Onex Carestream Finance LP</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 2013)</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6/7/2019</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3,832,558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3,821,232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3,244,912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OnexYork Acquisition Co</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493,749</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490,644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459,435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OpenLink International, LLC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10/30/2017</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2,944,496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2,943,282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2,811,994</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6"/>
              </w:rPr>
              <w:t>P.F. Chang’s China Bistro, Inc. (Wok</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Food/Drug Retailers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Term Borrowing</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Acquisition Corp.)</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6/24/2019</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1,432,750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1,427,110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1,336,039</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P2 Upstream Acquisition Co. (P2</w:t>
            </w:r>
          </w:p>
        </w:tc>
        <w:tc>
          <w:tcPr>
            <w:tcW w:w="22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Upstream Canada BC ULC)</w:t>
            </w:r>
          </w:p>
        </w:tc>
        <w:tc>
          <w:tcPr>
            <w:tcW w:w="22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w w:val="99"/>
              </w:rPr>
              <w:t>10/30/2020</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980,000</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976,133</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774,200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Penn Products Terminal,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4/13/2022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248,125</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246,994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218,350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1,000,000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980,217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978,590</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PetCo Animal Supplies Stores,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5.62%</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1/15/2023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1,000,000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980,216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978,960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Petsmart, Inc. (Argos Merger Sub,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9"/>
              </w:rPr>
              <w:t>Retailers (Except Food and Drugs)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3/11/2022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987,862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961,176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PGX Holdings,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9/29/2020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954,643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947,123</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941,917</w:t>
            </w:r>
          </w:p>
        </w:tc>
      </w:tr>
      <w:tr>
        <w:trPr>
          <w:trHeight w:val="138"/>
        </w:trPr>
        <w:tc>
          <w:tcPr>
            <w:tcW w:w="222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2"/>
              </w:rPr>
              <w:t>Pharmaceutical Product Development,</w:t>
            </w:r>
          </w:p>
        </w:tc>
        <w:tc>
          <w:tcPr>
            <w:tcW w:w="222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Conglomerate</w:t>
            </w:r>
          </w:p>
        </w:tc>
        <w:tc>
          <w:tcPr>
            <w:tcW w:w="2260" w:type="dxa"/>
            <w:vAlign w:val="bottom"/>
            <w:shd w:val="clear" w:color="auto" w:fill="CCEEFF"/>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59"/>
        </w:trPr>
        <w:tc>
          <w:tcPr>
            <w:tcW w:w="2220" w:type="dxa"/>
            <w:vAlign w:val="bottom"/>
            <w:shd w:val="clear" w:color="auto" w:fill="CCEEFF"/>
          </w:tcPr>
          <w:p>
            <w:pPr>
              <w:ind w:left="140"/>
              <w:spacing w:after="0" w:line="159" w:lineRule="exact"/>
              <w:rPr>
                <w:sz w:val="20"/>
                <w:szCs w:val="20"/>
                <w:color w:val="auto"/>
              </w:rPr>
            </w:pPr>
            <w:r>
              <w:rPr>
                <w:rFonts w:ascii="Arial" w:cs="Arial" w:eastAsia="Arial" w:hAnsi="Arial"/>
                <w:sz w:val="14"/>
                <w:szCs w:val="14"/>
                <w:color w:val="auto"/>
              </w:rPr>
              <w:t>Inc. (Jaguar Holdings, LLC)</w:t>
            </w:r>
          </w:p>
        </w:tc>
        <w:tc>
          <w:tcPr>
            <w:tcW w:w="222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8/18/2022</w:t>
            </w:r>
          </w:p>
        </w:tc>
        <w:tc>
          <w:tcPr>
            <w:tcW w:w="1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w w:val="86"/>
              </w:rPr>
              <w:t>1,920,848</w:t>
            </w:r>
          </w:p>
        </w:tc>
        <w:tc>
          <w:tcPr>
            <w:tcW w:w="920" w:type="dxa"/>
            <w:vAlign w:val="bottom"/>
            <w:shd w:val="clear" w:color="auto" w:fill="CCEEFF"/>
          </w:tcPr>
          <w:p>
            <w:pPr>
              <w:jc w:val="right"/>
              <w:ind w:right="112"/>
              <w:spacing w:after="0" w:line="159" w:lineRule="exact"/>
              <w:rPr>
                <w:sz w:val="20"/>
                <w:szCs w:val="20"/>
                <w:color w:val="auto"/>
              </w:rPr>
            </w:pPr>
            <w:r>
              <w:rPr>
                <w:rFonts w:ascii="Arial" w:cs="Arial" w:eastAsia="Arial" w:hAnsi="Arial"/>
                <w:sz w:val="14"/>
                <w:szCs w:val="14"/>
                <w:color w:val="auto"/>
              </w:rPr>
              <w:t>1,911,850</w:t>
            </w:r>
          </w:p>
        </w:tc>
        <w:tc>
          <w:tcPr>
            <w:tcW w:w="8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1,872,346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6/16/2021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490,535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458,025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Physio-Control International,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6/6/2022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498,750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496,371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498,127</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Pinnacle Foods Finance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Food Products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New Term Loan G</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4/29/2020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2,581,332</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2,577,286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2,553,737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Planet Fitness Holdings LLC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Leisure Goods/Activities/Movies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3/31/2021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2,417,118</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2,410,079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2,368,776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PrePaid Legal Services,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7/1/2019</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724,167</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721,080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716,020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Presidio,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1,902,292</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1,846,615</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1,816,688</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9"/>
              </w:rPr>
              <w:t>Prime Security Services (Protection</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One)</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7/1/2021</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1,995,000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1,985,640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1,924,178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Ranpak Holdings,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938,354</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936,008</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886,745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Ranpak Holdings,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10/3/2022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497,866</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400,000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Redtop Acquisitions Limited</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w w:val="94"/>
              </w:rPr>
              <w:t>Initial Dollar 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12/3/2020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487,461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482,444</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Regal Cinemas Corporation</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Services: Consumer</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496,320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496,256</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Research Now Group,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3/18/2021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2,058,445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2,048,627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1,996,692</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Rexnord LLC/RBS Global,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B Loan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8/21/2020</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1,630,123</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1,631,387</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1,557,647</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Reynolds Group Holdings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Incremental U.S.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12/1/2018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1,910,551</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1,910,551</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1,902,946</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Riverbed Technology, Inc.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Technology</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2/25/2022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992,500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988,224</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970,873</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Rocket Software,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2/8/2018</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1,901,835</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1,889,759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1,889,150</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rPr>
              <w:t>Rovi Solutions Corporation / Rovi</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Electronics/Electric</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Tranche B-3 Term Loan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Guides, Inc.</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3.75%</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7/2/2021</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1,477,500</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1,471,640</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1,422,094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6/20/2022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497,500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495,187</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479,675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Royal Adhesives and Sealants</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(Second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8.50%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6/19/2023</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500,000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496,388</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478,335</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RPI Finance Trust</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Financial Intermediaries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B-4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11/9/2020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5,155,193</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5,155,193</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5,132,665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B1</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825,000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808,500</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800,770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Sable International Finance Ltd</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12/2/2022</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675,000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661,500</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655,175</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SBP Holdings LP</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3/27/2021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982,500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978,645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707,400</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Scientific Games International, Inc.</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B2</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10/1/2021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990,000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981,872</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904,613</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SCS Holdings (Sirius Computer)</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10/30/2022</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w w:val="86"/>
              </w:rPr>
              <w:t>1,977,528</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1,939,305</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1,937,978</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Seadrill Operating LP</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Oil &amp; Gas</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 B</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987,406</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919,799</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407,305</w:t>
            </w:r>
          </w:p>
        </w:tc>
      </w:tr>
      <w:tr>
        <w:trPr>
          <w:trHeight w:val="138"/>
        </w:trPr>
        <w:tc>
          <w:tcPr>
            <w:tcW w:w="2220" w:type="dxa"/>
            <w:vAlign w:val="bottom"/>
          </w:tcPr>
          <w:p>
            <w:pPr>
              <w:spacing w:after="0" w:line="138" w:lineRule="exact"/>
              <w:rPr>
                <w:sz w:val="20"/>
                <w:szCs w:val="20"/>
                <w:color w:val="auto"/>
              </w:rPr>
            </w:pPr>
            <w:r>
              <w:rPr>
                <w:rFonts w:ascii="Arial" w:cs="Arial" w:eastAsia="Arial" w:hAnsi="Arial"/>
                <w:sz w:val="14"/>
                <w:szCs w:val="14"/>
                <w:color w:val="auto"/>
                <w:w w:val="90"/>
              </w:rPr>
              <w:t>Sensus USA Inc. (fka Sensus Metering</w:t>
            </w:r>
          </w:p>
        </w:tc>
        <w:tc>
          <w:tcPr>
            <w:tcW w:w="2220" w:type="dxa"/>
            <w:vAlign w:val="bottom"/>
          </w:tcPr>
          <w:p>
            <w:pPr>
              <w:ind w:left="60"/>
              <w:spacing w:after="0" w:line="138" w:lineRule="exact"/>
              <w:rPr>
                <w:sz w:val="20"/>
                <w:szCs w:val="20"/>
                <w:color w:val="auto"/>
              </w:rPr>
            </w:pPr>
            <w:r>
              <w:rPr>
                <w:rFonts w:ascii="Arial" w:cs="Arial" w:eastAsia="Arial" w:hAnsi="Arial"/>
                <w:sz w:val="14"/>
                <w:szCs w:val="14"/>
                <w:color w:val="auto"/>
              </w:rPr>
              <w:t>Utilities</w:t>
            </w:r>
          </w:p>
        </w:tc>
        <w:tc>
          <w:tcPr>
            <w:tcW w:w="2260" w:type="dxa"/>
            <w:vAlign w:val="bottom"/>
          </w:tcPr>
          <w:p>
            <w:pPr>
              <w:ind w:left="200"/>
              <w:spacing w:after="0" w:line="138"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38" w:lineRule="exact"/>
              <w:rPr>
                <w:sz w:val="20"/>
                <w:szCs w:val="20"/>
                <w:color w:val="auto"/>
              </w:rPr>
            </w:pPr>
            <w:r>
              <w:rPr>
                <w:rFonts w:ascii="Arial" w:cs="Arial" w:eastAsia="Arial" w:hAnsi="Arial"/>
                <w:sz w:val="14"/>
                <w:szCs w:val="14"/>
                <w:color w:val="auto"/>
              </w:rPr>
              <w:t>Loan</w:t>
            </w: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0" w:type="dxa"/>
            <w:vAlign w:val="bottom"/>
          </w:tcPr>
          <w:p>
            <w:pPr>
              <w:spacing w:after="0"/>
              <w:rPr>
                <w:sz w:val="11"/>
                <w:szCs w:val="11"/>
                <w:color w:val="auto"/>
              </w:rPr>
            </w:pPr>
          </w:p>
        </w:tc>
      </w:tr>
      <w:tr>
        <w:trPr>
          <w:trHeight w:val="159"/>
        </w:trPr>
        <w:tc>
          <w:tcPr>
            <w:tcW w:w="2220" w:type="dxa"/>
            <w:vAlign w:val="bottom"/>
          </w:tcPr>
          <w:p>
            <w:pPr>
              <w:ind w:left="140"/>
              <w:spacing w:after="0" w:line="159" w:lineRule="exact"/>
              <w:rPr>
                <w:sz w:val="20"/>
                <w:szCs w:val="20"/>
                <w:color w:val="auto"/>
              </w:rPr>
            </w:pPr>
            <w:r>
              <w:rPr>
                <w:rFonts w:ascii="Arial" w:cs="Arial" w:eastAsia="Arial" w:hAnsi="Arial"/>
                <w:sz w:val="14"/>
                <w:szCs w:val="14"/>
                <w:color w:val="auto"/>
              </w:rPr>
              <w:t>Systems)</w:t>
            </w:r>
          </w:p>
        </w:tc>
        <w:tc>
          <w:tcPr>
            <w:tcW w:w="222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5/9/2017</w:t>
            </w:r>
          </w:p>
        </w:tc>
        <w:tc>
          <w:tcPr>
            <w:tcW w:w="180" w:type="dxa"/>
            <w:vAlign w:val="bottom"/>
          </w:tcPr>
          <w:p>
            <w:pPr>
              <w:jc w:val="right"/>
              <w:spacing w:after="0" w:line="15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59" w:lineRule="exact"/>
              <w:rPr>
                <w:sz w:val="20"/>
                <w:szCs w:val="20"/>
                <w:color w:val="auto"/>
              </w:rPr>
            </w:pPr>
            <w:r>
              <w:rPr>
                <w:rFonts w:ascii="Arial" w:cs="Arial" w:eastAsia="Arial" w:hAnsi="Arial"/>
                <w:sz w:val="14"/>
                <w:szCs w:val="14"/>
                <w:color w:val="auto"/>
                <w:w w:val="86"/>
              </w:rPr>
              <w:t>1,905,121</w:t>
            </w:r>
          </w:p>
        </w:tc>
        <w:tc>
          <w:tcPr>
            <w:tcW w:w="920" w:type="dxa"/>
            <w:vAlign w:val="bottom"/>
          </w:tcPr>
          <w:p>
            <w:pPr>
              <w:jc w:val="right"/>
              <w:ind w:right="112"/>
              <w:spacing w:after="0" w:line="159" w:lineRule="exact"/>
              <w:rPr>
                <w:sz w:val="20"/>
                <w:szCs w:val="20"/>
                <w:color w:val="auto"/>
              </w:rPr>
            </w:pPr>
            <w:r>
              <w:rPr>
                <w:rFonts w:ascii="Arial" w:cs="Arial" w:eastAsia="Arial" w:hAnsi="Arial"/>
                <w:sz w:val="14"/>
                <w:szCs w:val="14"/>
                <w:color w:val="auto"/>
              </w:rPr>
              <w:t>1,902,477</w:t>
            </w:r>
          </w:p>
        </w:tc>
        <w:tc>
          <w:tcPr>
            <w:tcW w:w="800" w:type="dxa"/>
            <w:vAlign w:val="bottom"/>
          </w:tcPr>
          <w:p>
            <w:pPr>
              <w:jc w:val="right"/>
              <w:spacing w:after="0" w:line="159" w:lineRule="exact"/>
              <w:rPr>
                <w:sz w:val="20"/>
                <w:szCs w:val="20"/>
                <w:color w:val="auto"/>
              </w:rPr>
            </w:pPr>
            <w:r>
              <w:rPr>
                <w:rFonts w:ascii="Arial" w:cs="Arial" w:eastAsia="Arial" w:hAnsi="Arial"/>
                <w:sz w:val="14"/>
                <w:szCs w:val="14"/>
                <w:color w:val="auto"/>
              </w:rPr>
              <w:t>1,826,534</w:t>
            </w:r>
          </w:p>
        </w:tc>
      </w:tr>
      <w:tr>
        <w:trPr>
          <w:trHeight w:val="149"/>
        </w:trPr>
        <w:tc>
          <w:tcPr>
            <w:tcW w:w="22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ServiceMaster Company, The</w:t>
            </w:r>
          </w:p>
        </w:tc>
        <w:tc>
          <w:tcPr>
            <w:tcW w:w="222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Conglomerate</w:t>
            </w:r>
          </w:p>
        </w:tc>
        <w:tc>
          <w:tcPr>
            <w:tcW w:w="22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Tranche B Term Loan</w:t>
            </w:r>
          </w:p>
        </w:tc>
        <w:tc>
          <w:tcPr>
            <w:tcW w:w="600" w:type="dxa"/>
            <w:vAlign w:val="bottom"/>
            <w:shd w:val="clear" w:color="auto" w:fill="CCEEFF"/>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7/1/2021</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w w:val="86"/>
              </w:rPr>
              <w:t>1,975,000</w:t>
            </w:r>
          </w:p>
        </w:tc>
        <w:tc>
          <w:tcPr>
            <w:tcW w:w="920" w:type="dxa"/>
            <w:vAlign w:val="bottom"/>
            <w:shd w:val="clear" w:color="auto" w:fill="CCEEFF"/>
          </w:tcPr>
          <w:p>
            <w:pPr>
              <w:jc w:val="right"/>
              <w:ind w:right="112"/>
              <w:spacing w:after="0" w:line="149" w:lineRule="exact"/>
              <w:rPr>
                <w:sz w:val="20"/>
                <w:szCs w:val="20"/>
                <w:color w:val="auto"/>
              </w:rPr>
            </w:pPr>
            <w:r>
              <w:rPr>
                <w:rFonts w:ascii="Arial" w:cs="Arial" w:eastAsia="Arial" w:hAnsi="Arial"/>
                <w:sz w:val="14"/>
                <w:szCs w:val="14"/>
                <w:color w:val="auto"/>
              </w:rPr>
              <w:t>1,959,254</w:t>
            </w:r>
          </w:p>
        </w:tc>
        <w:tc>
          <w:tcPr>
            <w:tcW w:w="8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1,956,889</w:t>
            </w:r>
          </w:p>
        </w:tc>
      </w:tr>
      <w:tr>
        <w:trPr>
          <w:trHeight w:val="149"/>
        </w:trPr>
        <w:tc>
          <w:tcPr>
            <w:tcW w:w="2220" w:type="dxa"/>
            <w:vAlign w:val="bottom"/>
          </w:tcPr>
          <w:p>
            <w:pPr>
              <w:spacing w:after="0" w:line="149" w:lineRule="exact"/>
              <w:rPr>
                <w:sz w:val="20"/>
                <w:szCs w:val="20"/>
                <w:color w:val="auto"/>
              </w:rPr>
            </w:pPr>
            <w:r>
              <w:rPr>
                <w:rFonts w:ascii="Arial" w:cs="Arial" w:eastAsia="Arial" w:hAnsi="Arial"/>
                <w:sz w:val="14"/>
                <w:szCs w:val="14"/>
                <w:color w:val="auto"/>
              </w:rPr>
              <w:t>Shearers Foods LLC</w:t>
            </w:r>
          </w:p>
        </w:tc>
        <w:tc>
          <w:tcPr>
            <w:tcW w:w="222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260" w:type="dxa"/>
            <w:vAlign w:val="bottom"/>
          </w:tcPr>
          <w:p>
            <w:pPr>
              <w:ind w:left="200"/>
              <w:spacing w:after="0" w:line="149" w:lineRule="exact"/>
              <w:rPr>
                <w:sz w:val="20"/>
                <w:szCs w:val="20"/>
                <w:color w:val="auto"/>
              </w:rPr>
            </w:pPr>
            <w:r>
              <w:rPr>
                <w:rFonts w:ascii="Arial" w:cs="Arial" w:eastAsia="Arial" w:hAnsi="Arial"/>
                <w:sz w:val="14"/>
                <w:szCs w:val="14"/>
                <w:color w:val="auto"/>
              </w:rPr>
              <w:t>Term Loan (First Lien)</w:t>
            </w:r>
          </w:p>
        </w:tc>
        <w:tc>
          <w:tcPr>
            <w:tcW w:w="600" w:type="dxa"/>
            <w:vAlign w:val="bottom"/>
          </w:tcPr>
          <w:p>
            <w:pPr>
              <w:ind w:left="80"/>
              <w:spacing w:after="0" w:line="149" w:lineRule="exact"/>
              <w:rPr>
                <w:sz w:val="20"/>
                <w:szCs w:val="20"/>
                <w:color w:val="auto"/>
              </w:rPr>
            </w:pPr>
            <w:r>
              <w:rPr>
                <w:rFonts w:ascii="Arial" w:cs="Arial" w:eastAsia="Arial" w:hAnsi="Arial"/>
                <w:sz w:val="14"/>
                <w:szCs w:val="14"/>
                <w:color w:val="auto"/>
              </w:rPr>
              <w:t>Loan</w:t>
            </w:r>
          </w:p>
        </w:tc>
        <w:tc>
          <w:tcPr>
            <w:tcW w:w="68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4.94%</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6/30/2021</w:t>
            </w:r>
          </w:p>
        </w:tc>
        <w:tc>
          <w:tcPr>
            <w:tcW w:w="1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4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987,500</w:t>
            </w:r>
          </w:p>
        </w:tc>
        <w:tc>
          <w:tcPr>
            <w:tcW w:w="920" w:type="dxa"/>
            <w:vAlign w:val="bottom"/>
          </w:tcPr>
          <w:p>
            <w:pPr>
              <w:jc w:val="right"/>
              <w:ind w:right="112"/>
              <w:spacing w:after="0" w:line="149" w:lineRule="exact"/>
              <w:rPr>
                <w:sz w:val="20"/>
                <w:szCs w:val="20"/>
                <w:color w:val="auto"/>
              </w:rPr>
            </w:pPr>
            <w:r>
              <w:rPr>
                <w:rFonts w:ascii="Arial" w:cs="Arial" w:eastAsia="Arial" w:hAnsi="Arial"/>
                <w:sz w:val="14"/>
                <w:szCs w:val="14"/>
                <w:color w:val="auto"/>
              </w:rPr>
              <w:t>985,421</w:t>
            </w:r>
          </w:p>
        </w:tc>
        <w:tc>
          <w:tcPr>
            <w:tcW w:w="800" w:type="dxa"/>
            <w:vAlign w:val="bottom"/>
          </w:tcPr>
          <w:p>
            <w:pPr>
              <w:jc w:val="right"/>
              <w:spacing w:after="0" w:line="149" w:lineRule="exact"/>
              <w:rPr>
                <w:sz w:val="20"/>
                <w:szCs w:val="20"/>
                <w:color w:val="auto"/>
              </w:rPr>
            </w:pPr>
            <w:r>
              <w:rPr>
                <w:rFonts w:ascii="Arial" w:cs="Arial" w:eastAsia="Arial" w:hAnsi="Arial"/>
                <w:sz w:val="14"/>
                <w:szCs w:val="14"/>
                <w:color w:val="auto"/>
              </w:rPr>
              <w:t>952,938</w:t>
            </w:r>
          </w:p>
        </w:tc>
      </w:tr>
      <w:tr>
        <w:trPr>
          <w:trHeight w:val="70"/>
        </w:trPr>
        <w:tc>
          <w:tcPr>
            <w:tcW w:w="2220" w:type="dxa"/>
            <w:vAlign w:val="bottom"/>
            <w:shd w:val="clear" w:color="auto" w:fill="CCEEFF"/>
          </w:tcPr>
          <w:p>
            <w:pPr>
              <w:spacing w:after="0"/>
              <w:rPr>
                <w:sz w:val="6"/>
                <w:szCs w:val="6"/>
                <w:color w:val="auto"/>
              </w:rPr>
            </w:pPr>
          </w:p>
        </w:tc>
        <w:tc>
          <w:tcPr>
            <w:tcW w:w="2220" w:type="dxa"/>
            <w:vAlign w:val="bottom"/>
            <w:shd w:val="clear" w:color="auto" w:fill="CCEEFF"/>
          </w:tcPr>
          <w:p>
            <w:pPr>
              <w:spacing w:after="0"/>
              <w:rPr>
                <w:sz w:val="6"/>
                <w:szCs w:val="6"/>
                <w:color w:val="auto"/>
              </w:rPr>
            </w:pPr>
          </w:p>
        </w:tc>
        <w:tc>
          <w:tcPr>
            <w:tcW w:w="2260" w:type="dxa"/>
            <w:vAlign w:val="bottom"/>
            <w:shd w:val="clear" w:color="auto" w:fill="CCEEFF"/>
          </w:tcPr>
          <w:p>
            <w:pPr>
              <w:spacing w:after="0"/>
              <w:rPr>
                <w:sz w:val="6"/>
                <w:szCs w:val="6"/>
                <w:color w:val="auto"/>
              </w:rPr>
            </w:pPr>
          </w:p>
        </w:tc>
        <w:tc>
          <w:tcPr>
            <w:tcW w:w="600" w:type="dxa"/>
            <w:vAlign w:val="bottom"/>
            <w:shd w:val="clear" w:color="auto" w:fill="CCEEFF"/>
          </w:tcPr>
          <w:p>
            <w:pPr>
              <w:spacing w:after="0"/>
              <w:rPr>
                <w:sz w:val="6"/>
                <w:szCs w:val="6"/>
                <w:color w:val="auto"/>
              </w:rPr>
            </w:pPr>
          </w:p>
        </w:tc>
        <w:tc>
          <w:tcPr>
            <w:tcW w:w="68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74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8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127" w:right="239" w:bottom="0" w:gutter="0" w:footer="0" w:header="0"/>
        </w:sectPr>
      </w:pPr>
    </w:p>
    <w:bookmarkStart w:id="28" w:name="page29"/>
    <w:bookmarkEnd w:id="2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00" w:type="dxa"/>
            <w:vAlign w:val="bottom"/>
            <w:shd w:val="clear" w:color="auto" w:fill="CCEEFF"/>
          </w:tcPr>
          <w:p>
            <w:pPr>
              <w:spacing w:after="0"/>
              <w:rPr>
                <w:sz w:val="20"/>
                <w:szCs w:val="20"/>
                <w:color w:val="auto"/>
              </w:rPr>
            </w:pPr>
            <w:r>
              <w:rPr>
                <w:rFonts w:ascii="Arial" w:cs="Arial" w:eastAsia="Arial" w:hAnsi="Arial"/>
                <w:sz w:val="14"/>
                <w:szCs w:val="14"/>
                <w:color w:val="auto"/>
              </w:rPr>
              <w:t>Sitel Worldwide</w:t>
            </w:r>
          </w:p>
        </w:tc>
        <w:tc>
          <w:tcPr>
            <w:tcW w:w="2180" w:type="dxa"/>
            <w:vAlign w:val="bottom"/>
            <w:shd w:val="clear" w:color="auto" w:fill="CCEEFF"/>
          </w:tcPr>
          <w:p>
            <w:pPr>
              <w:ind w:left="60"/>
              <w:spacing w:after="0"/>
              <w:rPr>
                <w:sz w:val="20"/>
                <w:szCs w:val="20"/>
                <w:color w:val="auto"/>
              </w:rPr>
            </w:pPr>
            <w:r>
              <w:rPr>
                <w:rFonts w:ascii="Arial" w:cs="Arial" w:eastAsia="Arial" w:hAnsi="Arial"/>
                <w:sz w:val="14"/>
                <w:szCs w:val="14"/>
                <w:color w:val="auto"/>
              </w:rPr>
              <w:t>Telecommunications</w:t>
            </w:r>
          </w:p>
        </w:tc>
        <w:tc>
          <w:tcPr>
            <w:tcW w:w="22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rPr>
                <w:sz w:val="20"/>
                <w:szCs w:val="20"/>
                <w:color w:val="auto"/>
              </w:rPr>
            </w:pPr>
            <w:r>
              <w:rPr>
                <w:rFonts w:ascii="Arial" w:cs="Arial" w:eastAsia="Arial" w:hAnsi="Arial"/>
                <w:sz w:val="14"/>
                <w:szCs w:val="14"/>
                <w:color w:val="auto"/>
              </w:rPr>
              <w:t>6.50%</w:t>
            </w:r>
          </w:p>
        </w:tc>
        <w:tc>
          <w:tcPr>
            <w:tcW w:w="800" w:type="dxa"/>
            <w:vAlign w:val="bottom"/>
            <w:shd w:val="clear" w:color="auto" w:fill="CCEEFF"/>
          </w:tcPr>
          <w:p>
            <w:pPr>
              <w:jc w:val="right"/>
              <w:ind w:right="12"/>
              <w:spacing w:after="0"/>
              <w:rPr>
                <w:sz w:val="20"/>
                <w:szCs w:val="20"/>
                <w:color w:val="auto"/>
              </w:rPr>
            </w:pPr>
            <w:r>
              <w:rPr>
                <w:rFonts w:ascii="Arial" w:cs="Arial" w:eastAsia="Arial" w:hAnsi="Arial"/>
                <w:sz w:val="14"/>
                <w:szCs w:val="14"/>
                <w:color w:val="auto"/>
              </w:rPr>
              <w:t>9/18/2021</w:t>
            </w: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4"/>
                <w:szCs w:val="14"/>
                <w:color w:val="auto"/>
                <w:w w:val="97"/>
              </w:rPr>
              <w:t>$ 1,995,000</w:t>
            </w:r>
          </w:p>
        </w:tc>
        <w:tc>
          <w:tcPr>
            <w:tcW w:w="160" w:type="dxa"/>
            <w:vAlign w:val="bottom"/>
            <w:tcBorders>
              <w:right w:val="single" w:sz="8" w:color="CCEEFF"/>
            </w:tcBorders>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1,976,131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1,931,160</w:t>
            </w:r>
          </w:p>
        </w:tc>
        <w:tc>
          <w:tcPr>
            <w:tcW w:w="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Sonneborn, LLC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222,750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222,282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220,801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Sonneborn, LLC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Initial US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12/10/2020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$ 1,262,250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1,259,600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1,251,205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Sophia, L.P.</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Electronics/Electric</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(Closing Date)</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9/30/2022</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$ 1,995,000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1,985,507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1,911,469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SourceHOV LLC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10/31/2019</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$ 1,937,500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1,891,680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1,541,281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SRAM, LLC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(First Lien)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4/10/2020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$ 2,904,577</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2,896,630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2,207,479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Staples,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w w:val="97"/>
              </w:rPr>
              <w:t>Retailers (Except Food and Drugs)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1/16</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4/23/2021</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990,308</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992,130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3/19/2021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965,341</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957,952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946,034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Publishing</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11.60%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12/30/2016</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222,900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220,105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67,520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Survey Sampling International</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w w:val="99"/>
              </w:rPr>
              <w:t>12/16/2020</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992,500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990,554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970,169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Sybil Finance BV</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High Tech Industries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3/20/2020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$ 1,272,143</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1,270,803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1,253,061</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Syniverse Holdings,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Initial 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4/23/2019</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479,913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476,927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311,944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TaxACT,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1/3/2023</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$ 1,860,000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1,805,035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1,804,200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TGI Friday’s,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Food Services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7/15/2020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$ 1,651,816</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1,647,936</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1,636,669</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Townsquare Media,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Media</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4/1/2022</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932,522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928,333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915,624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w w:val="96"/>
              </w:rPr>
              <w:t>TPF II Power LLC and TPF II Covert</w:t>
            </w:r>
          </w:p>
        </w:tc>
        <w:tc>
          <w:tcPr>
            <w:tcW w:w="2180" w:type="dxa"/>
            <w:vAlign w:val="bottom"/>
          </w:tcPr>
          <w:p>
            <w:pPr>
              <w:ind w:left="60"/>
              <w:spacing w:after="0" w:line="138" w:lineRule="exact"/>
              <w:rPr>
                <w:sz w:val="20"/>
                <w:szCs w:val="20"/>
                <w:color w:val="auto"/>
              </w:rPr>
            </w:pPr>
            <w:r>
              <w:rPr>
                <w:rFonts w:ascii="Arial" w:cs="Arial" w:eastAsia="Arial" w:hAnsi="Arial"/>
                <w:sz w:val="14"/>
                <w:szCs w:val="14"/>
                <w:color w:val="auto"/>
              </w:rPr>
              <w:t>Utilities</w:t>
            </w:r>
          </w:p>
        </w:tc>
        <w:tc>
          <w:tcPr>
            <w:tcW w:w="2260" w:type="dxa"/>
            <w:vAlign w:val="bottom"/>
          </w:tcPr>
          <w:p>
            <w:pPr>
              <w:ind w:left="240"/>
              <w:spacing w:after="0" w:line="138"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Midco LLC</w:t>
            </w:r>
          </w:p>
        </w:tc>
        <w:tc>
          <w:tcPr>
            <w:tcW w:w="2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5.50%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10/2/2021</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w w:val="97"/>
              </w:rPr>
              <w:t>$ 1,491,826</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1,433,943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1,396,722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TransDigm,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Aerospace and Defense</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Tranche C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2/28/2020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$ 4,277,294</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4,283,815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4,148,975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Travel Leaders Group, LLC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Hotel, Gaming and Leisure</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7.00%</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12/7/2020</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$ 1,946,300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1,939,729</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1,917,107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Tricorbraun, Inc. (fka Kranson</w:t>
            </w:r>
          </w:p>
        </w:tc>
        <w:tc>
          <w:tcPr>
            <w:tcW w:w="2180" w:type="dxa"/>
            <w:vAlign w:val="bottom"/>
            <w:shd w:val="clear" w:color="auto" w:fill="CCEEFF"/>
          </w:tcPr>
          <w:p>
            <w:pPr>
              <w:ind w:left="60"/>
              <w:spacing w:after="0" w:line="138" w:lineRule="exact"/>
              <w:rPr>
                <w:sz w:val="20"/>
                <w:szCs w:val="20"/>
                <w:color w:val="auto"/>
              </w:rPr>
            </w:pPr>
            <w:r>
              <w:rPr>
                <w:rFonts w:ascii="Arial" w:cs="Arial" w:eastAsia="Arial" w:hAnsi="Arial"/>
                <w:sz w:val="14"/>
                <w:szCs w:val="14"/>
                <w:color w:val="auto"/>
              </w:rPr>
              <w:t>Containers/Glass Products</w:t>
            </w:r>
          </w:p>
        </w:tc>
        <w:tc>
          <w:tcPr>
            <w:tcW w:w="2260" w:type="dxa"/>
            <w:vAlign w:val="bottom"/>
            <w:shd w:val="clear" w:color="auto" w:fill="CCEEFF"/>
          </w:tcPr>
          <w:p>
            <w:pPr>
              <w:ind w:left="240"/>
              <w:spacing w:after="0" w:line="138"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right w:val="single" w:sz="8" w:color="CCEEFF"/>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shd w:val="clear" w:color="auto" w:fill="CCEEFF"/>
          </w:tcPr>
          <w:p>
            <w:pPr>
              <w:ind w:left="120"/>
              <w:spacing w:after="0" w:line="159" w:lineRule="exact"/>
              <w:rPr>
                <w:sz w:val="20"/>
                <w:szCs w:val="20"/>
                <w:color w:val="auto"/>
              </w:rPr>
            </w:pPr>
            <w:r>
              <w:rPr>
                <w:rFonts w:ascii="Arial" w:cs="Arial" w:eastAsia="Arial" w:hAnsi="Arial"/>
                <w:sz w:val="14"/>
                <w:szCs w:val="14"/>
                <w:color w:val="auto"/>
              </w:rPr>
              <w:t>Industries, Inc.)</w:t>
            </w:r>
          </w:p>
        </w:tc>
        <w:tc>
          <w:tcPr>
            <w:tcW w:w="2180" w:type="dxa"/>
            <w:vAlign w:val="bottom"/>
            <w:shd w:val="clear" w:color="auto" w:fill="CCEEFF"/>
          </w:tcPr>
          <w:p>
            <w:pPr>
              <w:spacing w:after="0"/>
              <w:rPr>
                <w:sz w:val="13"/>
                <w:szCs w:val="13"/>
                <w:color w:val="auto"/>
              </w:rPr>
            </w:pPr>
          </w:p>
        </w:tc>
        <w:tc>
          <w:tcPr>
            <w:tcW w:w="226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59" w:lineRule="exact"/>
              <w:rPr>
                <w:sz w:val="20"/>
                <w:szCs w:val="20"/>
                <w:color w:val="auto"/>
              </w:rPr>
            </w:pPr>
            <w:r>
              <w:rPr>
                <w:rFonts w:ascii="Arial" w:cs="Arial" w:eastAsia="Arial" w:hAnsi="Arial"/>
                <w:sz w:val="14"/>
                <w:szCs w:val="14"/>
                <w:color w:val="auto"/>
              </w:rPr>
              <w:t>5/3/2018</w:t>
            </w:r>
          </w:p>
        </w:tc>
        <w:tc>
          <w:tcPr>
            <w:tcW w:w="820" w:type="dxa"/>
            <w:vAlign w:val="bottom"/>
            <w:gridSpan w:val="4"/>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w w:val="97"/>
              </w:rPr>
              <w:t>$ 1,836,625</w:t>
            </w:r>
          </w:p>
        </w:tc>
        <w:tc>
          <w:tcPr>
            <w:tcW w:w="160" w:type="dxa"/>
            <w:vAlign w:val="bottom"/>
            <w:tcBorders>
              <w:right w:val="single" w:sz="8" w:color="CCEEFF"/>
            </w:tcBorders>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1,831,636</w:t>
            </w: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1,776,935</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rPr>
              <w:t>Truven Health Analytics Inc. (fka</w:t>
            </w:r>
          </w:p>
        </w:tc>
        <w:tc>
          <w:tcPr>
            <w:tcW w:w="2180" w:type="dxa"/>
            <w:vAlign w:val="bottom"/>
          </w:tcPr>
          <w:p>
            <w:pPr>
              <w:ind w:left="60"/>
              <w:spacing w:after="0" w:line="138" w:lineRule="exact"/>
              <w:rPr>
                <w:sz w:val="20"/>
                <w:szCs w:val="20"/>
                <w:color w:val="auto"/>
              </w:rPr>
            </w:pPr>
            <w:r>
              <w:rPr>
                <w:rFonts w:ascii="Arial" w:cs="Arial" w:eastAsia="Arial" w:hAnsi="Arial"/>
                <w:sz w:val="14"/>
                <w:szCs w:val="14"/>
                <w:color w:val="auto"/>
              </w:rPr>
              <w:t>Healthcare &amp; Pharmaceuticals</w:t>
            </w:r>
          </w:p>
        </w:tc>
        <w:tc>
          <w:tcPr>
            <w:tcW w:w="2260" w:type="dxa"/>
            <w:vAlign w:val="bottom"/>
          </w:tcPr>
          <w:p>
            <w:pPr>
              <w:ind w:left="240"/>
              <w:spacing w:after="0" w:line="138" w:lineRule="exact"/>
              <w:rPr>
                <w:sz w:val="20"/>
                <w:szCs w:val="20"/>
                <w:color w:val="auto"/>
              </w:rPr>
            </w:pPr>
            <w:r>
              <w:rPr>
                <w:rFonts w:ascii="Arial" w:cs="Arial" w:eastAsia="Arial" w:hAnsi="Arial"/>
                <w:sz w:val="14"/>
                <w:szCs w:val="14"/>
                <w:color w:val="auto"/>
              </w:rPr>
              <w:t>New Tranche B Term Loan</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w w:val="92"/>
              </w:rPr>
              <w:t>Thomson Reuters (Healthcare) Inc.)</w:t>
            </w:r>
          </w:p>
        </w:tc>
        <w:tc>
          <w:tcPr>
            <w:tcW w:w="2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4.50%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6/6/2019</w:t>
            </w:r>
          </w:p>
        </w:tc>
        <w:tc>
          <w:tcPr>
            <w:tcW w:w="2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59" w:lineRule="exact"/>
              <w:rPr>
                <w:sz w:val="20"/>
                <w:szCs w:val="20"/>
                <w:color w:val="auto"/>
              </w:rPr>
            </w:pPr>
            <w:r>
              <w:rPr>
                <w:rFonts w:ascii="Arial" w:cs="Arial" w:eastAsia="Arial" w:hAnsi="Arial"/>
                <w:sz w:val="14"/>
                <w:szCs w:val="14"/>
                <w:color w:val="auto"/>
                <w:w w:val="98"/>
              </w:rPr>
              <w:t>482,603</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476,598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480,494</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6"/>
              </w:rPr>
              <w:t>Twin River Management Group,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Lodging &amp; Casinos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7/10/2020</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886,192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887,853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875,673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Delayed Draw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7/28/2017</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156,888</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156,328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155,973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90"/>
              </w:rPr>
              <w:t>U.S. Security Associates Holdings,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7/28/2017</w:t>
            </w:r>
          </w:p>
        </w:tc>
        <w:tc>
          <w:tcPr>
            <w:tcW w:w="2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8"/>
              </w:rPr>
              <w:t>921,426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918,393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916,054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Univar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B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7/1/2022</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$ 2,992,500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2,978,573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2,840,810</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Univision Communications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w w:val="92"/>
              </w:rPr>
              <w:t>Replacement First-Lien 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4.00%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3/1/2020</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$ 2,916,556</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2,903,859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2,832,705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200" w:type="dxa"/>
            <w:vAlign w:val="bottom"/>
          </w:tcPr>
          <w:p>
            <w:pPr>
              <w:spacing w:after="0" w:line="138" w:lineRule="exact"/>
              <w:rPr>
                <w:sz w:val="20"/>
                <w:szCs w:val="20"/>
                <w:color w:val="auto"/>
              </w:rPr>
            </w:pPr>
            <w:r>
              <w:rPr>
                <w:rFonts w:ascii="Arial" w:cs="Arial" w:eastAsia="Arial" w:hAnsi="Arial"/>
                <w:sz w:val="14"/>
                <w:szCs w:val="14"/>
                <w:color w:val="auto"/>
                <w:w w:val="90"/>
              </w:rPr>
              <w:t>Valeant Pharmaceuticals International,</w:t>
            </w:r>
          </w:p>
        </w:tc>
        <w:tc>
          <w:tcPr>
            <w:tcW w:w="2180" w:type="dxa"/>
            <w:vAlign w:val="bottom"/>
          </w:tcPr>
          <w:p>
            <w:pPr>
              <w:ind w:left="60"/>
              <w:spacing w:after="0" w:line="138" w:lineRule="exact"/>
              <w:rPr>
                <w:sz w:val="20"/>
                <w:szCs w:val="20"/>
                <w:color w:val="auto"/>
              </w:rPr>
            </w:pPr>
            <w:r>
              <w:rPr>
                <w:rFonts w:ascii="Arial" w:cs="Arial" w:eastAsia="Arial" w:hAnsi="Arial"/>
                <w:sz w:val="14"/>
                <w:szCs w:val="14"/>
                <w:color w:val="auto"/>
              </w:rPr>
              <w:t>Drugs</w:t>
            </w:r>
          </w:p>
        </w:tc>
        <w:tc>
          <w:tcPr>
            <w:tcW w:w="2260" w:type="dxa"/>
            <w:vAlign w:val="bottom"/>
          </w:tcPr>
          <w:p>
            <w:pPr>
              <w:ind w:left="240"/>
              <w:spacing w:after="0" w:line="138" w:lineRule="exact"/>
              <w:rPr>
                <w:sz w:val="20"/>
                <w:szCs w:val="20"/>
                <w:color w:val="auto"/>
              </w:rPr>
            </w:pPr>
            <w:r>
              <w:rPr>
                <w:rFonts w:ascii="Arial" w:cs="Arial" w:eastAsia="Arial" w:hAnsi="Arial"/>
                <w:sz w:val="14"/>
                <w:szCs w:val="14"/>
                <w:color w:val="auto"/>
              </w:rPr>
              <w:t>Series D2 Term Loan B</w:t>
            </w:r>
          </w:p>
        </w:tc>
        <w:tc>
          <w:tcPr>
            <w:tcW w:w="620" w:type="dxa"/>
            <w:vAlign w:val="bottom"/>
          </w:tcPr>
          <w:p>
            <w:pPr>
              <w:ind w:left="120"/>
              <w:spacing w:after="0" w:line="138" w:lineRule="exact"/>
              <w:rPr>
                <w:sz w:val="20"/>
                <w:szCs w:val="20"/>
                <w:color w:val="auto"/>
              </w:rPr>
            </w:pPr>
            <w:r>
              <w:rPr>
                <w:rFonts w:ascii="Arial" w:cs="Arial" w:eastAsia="Arial" w:hAnsi="Arial"/>
                <w:sz w:val="14"/>
                <w:szCs w:val="14"/>
                <w:color w:val="auto"/>
              </w:rPr>
              <w:t>Loan</w:t>
            </w: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00" w:type="dxa"/>
            <w:vAlign w:val="bottom"/>
          </w:tcPr>
          <w:p>
            <w:pPr>
              <w:ind w:left="120"/>
              <w:spacing w:after="0" w:line="159" w:lineRule="exact"/>
              <w:rPr>
                <w:sz w:val="20"/>
                <w:szCs w:val="20"/>
                <w:color w:val="auto"/>
              </w:rPr>
            </w:pPr>
            <w:r>
              <w:rPr>
                <w:rFonts w:ascii="Arial" w:cs="Arial" w:eastAsia="Arial" w:hAnsi="Arial"/>
                <w:sz w:val="14"/>
                <w:szCs w:val="14"/>
                <w:color w:val="auto"/>
              </w:rPr>
              <w:t>Inc.</w:t>
            </w:r>
          </w:p>
        </w:tc>
        <w:tc>
          <w:tcPr>
            <w:tcW w:w="2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3.50%</w:t>
            </w:r>
          </w:p>
        </w:tc>
        <w:tc>
          <w:tcPr>
            <w:tcW w:w="800" w:type="dxa"/>
            <w:vAlign w:val="bottom"/>
          </w:tcPr>
          <w:p>
            <w:pPr>
              <w:jc w:val="right"/>
              <w:ind w:right="12"/>
              <w:spacing w:after="0" w:line="159" w:lineRule="exact"/>
              <w:rPr>
                <w:sz w:val="20"/>
                <w:szCs w:val="20"/>
                <w:color w:val="auto"/>
              </w:rPr>
            </w:pPr>
            <w:r>
              <w:rPr>
                <w:rFonts w:ascii="Arial" w:cs="Arial" w:eastAsia="Arial" w:hAnsi="Arial"/>
                <w:sz w:val="14"/>
                <w:szCs w:val="14"/>
                <w:color w:val="auto"/>
              </w:rPr>
              <w:t>2/13/2019</w:t>
            </w:r>
          </w:p>
        </w:tc>
        <w:tc>
          <w:tcPr>
            <w:tcW w:w="820" w:type="dxa"/>
            <w:vAlign w:val="bottom"/>
            <w:gridSpan w:val="4"/>
          </w:tcPr>
          <w:p>
            <w:pPr>
              <w:jc w:val="right"/>
              <w:ind w:right="80"/>
              <w:spacing w:after="0" w:line="159" w:lineRule="exact"/>
              <w:rPr>
                <w:sz w:val="20"/>
                <w:szCs w:val="20"/>
                <w:color w:val="auto"/>
              </w:rPr>
            </w:pPr>
            <w:r>
              <w:rPr>
                <w:rFonts w:ascii="Arial" w:cs="Arial" w:eastAsia="Arial" w:hAnsi="Arial"/>
                <w:sz w:val="14"/>
                <w:szCs w:val="14"/>
                <w:color w:val="auto"/>
                <w:w w:val="97"/>
              </w:rPr>
              <w:t>$ 2,545,588</w:t>
            </w:r>
          </w:p>
        </w:tc>
        <w:tc>
          <w:tcPr>
            <w:tcW w:w="16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2,539,315</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line="159" w:lineRule="exact"/>
              <w:rPr>
                <w:sz w:val="20"/>
                <w:szCs w:val="20"/>
                <w:color w:val="auto"/>
              </w:rPr>
            </w:pPr>
            <w:r>
              <w:rPr>
                <w:rFonts w:ascii="Arial" w:cs="Arial" w:eastAsia="Arial" w:hAnsi="Arial"/>
                <w:sz w:val="14"/>
                <w:szCs w:val="14"/>
                <w:color w:val="auto"/>
              </w:rPr>
              <w:t>2,385,700</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Verint Systems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3.50%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9/6/2019</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$ 1,014,058</w:t>
            </w:r>
          </w:p>
        </w:tc>
        <w:tc>
          <w:tcPr>
            <w:tcW w:w="160" w:type="dxa"/>
            <w:vAlign w:val="bottom"/>
            <w:tcBorders>
              <w:right w:val="single" w:sz="8" w:color="CCEEFF"/>
            </w:tcBorders>
            <w:shd w:val="clear" w:color="auto" w:fill="CCEEFF"/>
          </w:tcPr>
          <w:p>
            <w:pPr>
              <w:spacing w:after="0"/>
              <w:rPr>
                <w:sz w:val="12"/>
                <w:szCs w:val="12"/>
                <w:color w:val="auto"/>
              </w:rPr>
            </w:pPr>
          </w:p>
        </w:tc>
        <w:tc>
          <w:tcPr>
            <w:tcW w:w="76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1,011,203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1,005,692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Vertafore, Inc.</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 (2013)</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10/3/2019</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$ 2,484,603</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2,484,603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2,452,775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Vizient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Healthcare &amp; Pharmaceuticals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6.25%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2/13/2023</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$ 1,000,000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970,144</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993,750</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Vouvray US Finance</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Industrial Equipment</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4.75%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6/27/2021</w:t>
            </w:r>
          </w:p>
        </w:tc>
        <w:tc>
          <w:tcPr>
            <w:tcW w:w="2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0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8"/>
              </w:rPr>
              <w:t>492,500</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490,508</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478,134</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Washington Inventory Service</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Services: Business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U.S. Term Loan (First Lien)</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5.75%</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w w:val="99"/>
              </w:rPr>
              <w:t>12/20/2018</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$ 1,736,392</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1,749,291</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1,475,934</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West Corporation</w:t>
            </w:r>
          </w:p>
        </w:tc>
        <w:tc>
          <w:tcPr>
            <w:tcW w:w="2180" w:type="dxa"/>
            <w:vAlign w:val="bottom"/>
          </w:tcPr>
          <w:p>
            <w:pPr>
              <w:ind w:left="60"/>
              <w:spacing w:after="0" w:line="149" w:lineRule="exact"/>
              <w:rPr>
                <w:sz w:val="20"/>
                <w:szCs w:val="20"/>
                <w:color w:val="auto"/>
              </w:rPr>
            </w:pPr>
            <w:r>
              <w:rPr>
                <w:rFonts w:ascii="Arial" w:cs="Arial" w:eastAsia="Arial" w:hAnsi="Arial"/>
                <w:sz w:val="14"/>
                <w:szCs w:val="14"/>
                <w:color w:val="auto"/>
              </w:rPr>
              <w:t>Telecommunications</w:t>
            </w:r>
          </w:p>
        </w:tc>
        <w:tc>
          <w:tcPr>
            <w:tcW w:w="2260" w:type="dxa"/>
            <w:vAlign w:val="bottom"/>
          </w:tcPr>
          <w:p>
            <w:pPr>
              <w:ind w:left="240"/>
              <w:spacing w:after="0" w:line="149" w:lineRule="exact"/>
              <w:rPr>
                <w:sz w:val="20"/>
                <w:szCs w:val="20"/>
                <w:color w:val="auto"/>
              </w:rPr>
            </w:pPr>
            <w:r>
              <w:rPr>
                <w:rFonts w:ascii="Arial" w:cs="Arial" w:eastAsia="Arial" w:hAnsi="Arial"/>
                <w:sz w:val="14"/>
                <w:szCs w:val="14"/>
                <w:color w:val="auto"/>
              </w:rPr>
              <w:t>Term B-10 Loan</w:t>
            </w:r>
          </w:p>
        </w:tc>
        <w:tc>
          <w:tcPr>
            <w:tcW w:w="620" w:type="dxa"/>
            <w:vAlign w:val="bottom"/>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3.25%</w:t>
            </w:r>
          </w:p>
        </w:tc>
        <w:tc>
          <w:tcPr>
            <w:tcW w:w="80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6/30/2018</w:t>
            </w:r>
          </w:p>
        </w:tc>
        <w:tc>
          <w:tcPr>
            <w:tcW w:w="820" w:type="dxa"/>
            <w:vAlign w:val="bottom"/>
            <w:gridSpan w:val="4"/>
          </w:tcPr>
          <w:p>
            <w:pPr>
              <w:jc w:val="right"/>
              <w:ind w:right="80"/>
              <w:spacing w:after="0" w:line="149" w:lineRule="exact"/>
              <w:rPr>
                <w:sz w:val="20"/>
                <w:szCs w:val="20"/>
                <w:color w:val="auto"/>
              </w:rPr>
            </w:pPr>
            <w:r>
              <w:rPr>
                <w:rFonts w:ascii="Arial" w:cs="Arial" w:eastAsia="Arial" w:hAnsi="Arial"/>
                <w:sz w:val="14"/>
                <w:szCs w:val="14"/>
                <w:color w:val="auto"/>
                <w:w w:val="97"/>
              </w:rPr>
              <w:t>$ 2,534,892</w:t>
            </w: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2,558,782</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2,490,861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ZEP Inc.</w:t>
            </w:r>
          </w:p>
        </w:tc>
        <w:tc>
          <w:tcPr>
            <w:tcW w:w="2180" w:type="dxa"/>
            <w:vAlign w:val="bottom"/>
            <w:shd w:val="clear" w:color="auto" w:fill="CCEEFF"/>
          </w:tcPr>
          <w:p>
            <w:pPr>
              <w:ind w:left="60"/>
              <w:spacing w:after="0" w:line="149" w:lineRule="exact"/>
              <w:rPr>
                <w:sz w:val="20"/>
                <w:szCs w:val="20"/>
                <w:color w:val="auto"/>
              </w:rPr>
            </w:pPr>
            <w:r>
              <w:rPr>
                <w:rFonts w:ascii="Arial" w:cs="Arial" w:eastAsia="Arial" w:hAnsi="Arial"/>
                <w:sz w:val="14"/>
                <w:szCs w:val="14"/>
                <w:color w:val="auto"/>
              </w:rPr>
              <w:t>Chemicals/Plastics</w:t>
            </w:r>
          </w:p>
        </w:tc>
        <w:tc>
          <w:tcPr>
            <w:tcW w:w="2260" w:type="dxa"/>
            <w:vAlign w:val="bottom"/>
            <w:shd w:val="clear" w:color="auto" w:fill="CCEEFF"/>
          </w:tcPr>
          <w:p>
            <w:pPr>
              <w:ind w:left="240"/>
              <w:spacing w:after="0" w:line="149" w:lineRule="exact"/>
              <w:rPr>
                <w:sz w:val="20"/>
                <w:szCs w:val="20"/>
                <w:color w:val="auto"/>
              </w:rPr>
            </w:pPr>
            <w:r>
              <w:rPr>
                <w:rFonts w:ascii="Arial" w:cs="Arial" w:eastAsia="Arial" w:hAnsi="Arial"/>
                <w:sz w:val="14"/>
                <w:szCs w:val="14"/>
                <w:color w:val="auto"/>
              </w:rPr>
              <w:t>Term Loan B</w:t>
            </w:r>
          </w:p>
        </w:tc>
        <w:tc>
          <w:tcPr>
            <w:tcW w:w="6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5.50%</w:t>
            </w:r>
          </w:p>
        </w:tc>
        <w:tc>
          <w:tcPr>
            <w:tcW w:w="80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color w:val="auto"/>
              </w:rPr>
              <w:t>6/27/2022</w:t>
            </w:r>
          </w:p>
        </w:tc>
        <w:tc>
          <w:tcPr>
            <w:tcW w:w="820" w:type="dxa"/>
            <w:vAlign w:val="bottom"/>
            <w:gridSpan w:val="4"/>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7"/>
              </w:rPr>
              <w:t>$ 2,985,000</w:t>
            </w:r>
          </w:p>
        </w:tc>
        <w:tc>
          <w:tcPr>
            <w:tcW w:w="16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2,971,139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2,932,763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2180" w:type="dxa"/>
            <w:vAlign w:val="bottom"/>
          </w:tcPr>
          <w:p>
            <w:pPr>
              <w:spacing w:after="0"/>
              <w:rPr>
                <w:sz w:val="13"/>
                <w:szCs w:val="13"/>
                <w:color w:val="auto"/>
              </w:rPr>
            </w:pPr>
          </w:p>
        </w:tc>
        <w:tc>
          <w:tcPr>
            <w:tcW w:w="22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303,643,756</w:t>
            </w:r>
          </w:p>
        </w:tc>
        <w:tc>
          <w:tcPr>
            <w:tcW w:w="80" w:type="dxa"/>
            <w:vAlign w:val="bottom"/>
          </w:tcPr>
          <w:p>
            <w:pPr>
              <w:spacing w:after="0"/>
              <w:rPr>
                <w:sz w:val="13"/>
                <w:szCs w:val="13"/>
                <w:color w:val="auto"/>
              </w:rPr>
            </w:pPr>
          </w:p>
        </w:tc>
        <w:tc>
          <w:tcPr>
            <w:tcW w:w="1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u w:val="single" w:color="auto"/>
                <w:color w:val="auto"/>
              </w:rPr>
              <w:t>$</w:t>
            </w:r>
          </w:p>
        </w:tc>
        <w:tc>
          <w:tcPr>
            <w:tcW w:w="680" w:type="dxa"/>
            <w:vAlign w:val="bottom"/>
          </w:tcPr>
          <w:p>
            <w:pPr>
              <w:jc w:val="right"/>
              <w:spacing w:after="0" w:line="155" w:lineRule="exact"/>
              <w:rPr>
                <w:sz w:val="20"/>
                <w:szCs w:val="20"/>
                <w:color w:val="auto"/>
              </w:rPr>
            </w:pPr>
            <w:r>
              <w:rPr>
                <w:rFonts w:ascii="Arial" w:cs="Arial" w:eastAsia="Arial" w:hAnsi="Arial"/>
                <w:sz w:val="14"/>
                <w:szCs w:val="14"/>
                <w:b w:val="1"/>
                <w:bCs w:val="1"/>
                <w:color w:val="auto"/>
                <w:w w:val="84"/>
              </w:rPr>
              <w:t>284,844,789</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rPr>
              <w:t>Principal</w:t>
            </w:r>
          </w:p>
        </w:tc>
        <w:tc>
          <w:tcPr>
            <w:tcW w:w="160" w:type="dxa"/>
            <w:vAlign w:val="bottom"/>
          </w:tcPr>
          <w:p>
            <w:pPr>
              <w:spacing w:after="0"/>
              <w:rPr>
                <w:sz w:val="24"/>
                <w:szCs w:val="24"/>
                <w:color w:val="auto"/>
              </w:rPr>
            </w:pPr>
          </w:p>
        </w:tc>
        <w:tc>
          <w:tcPr>
            <w:tcW w:w="760" w:type="dxa"/>
            <w:vAlign w:val="bottom"/>
            <w:gridSpan w:val="2"/>
          </w:tcPr>
          <w:p>
            <w:pPr>
              <w:ind w:left="16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24"/>
                <w:szCs w:val="24"/>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200" w:type="dxa"/>
            <w:vAlign w:val="bottom"/>
            <w:tcBorders>
              <w:top w:val="single" w:sz="8" w:color="CCEEFF"/>
            </w:tcBorders>
            <w:shd w:val="clear" w:color="auto" w:fill="CCEEFF"/>
          </w:tcPr>
          <w:p>
            <w:pPr>
              <w:spacing w:after="0" w:line="129" w:lineRule="exact"/>
              <w:rPr>
                <w:sz w:val="20"/>
                <w:szCs w:val="20"/>
                <w:color w:val="auto"/>
              </w:rPr>
            </w:pPr>
            <w:r>
              <w:rPr>
                <w:rFonts w:ascii="Arial" w:cs="Arial" w:eastAsia="Arial" w:hAnsi="Arial"/>
                <w:sz w:val="14"/>
                <w:szCs w:val="14"/>
                <w:b w:val="1"/>
                <w:bCs w:val="1"/>
                <w:color w:val="auto"/>
              </w:rPr>
              <w:t>Cash and cash equivalents</w:t>
            </w:r>
          </w:p>
        </w:tc>
        <w:tc>
          <w:tcPr>
            <w:tcW w:w="2180" w:type="dxa"/>
            <w:vAlign w:val="bottom"/>
            <w:tcBorders>
              <w:top w:val="single" w:sz="8" w:color="CCEEFF"/>
            </w:tcBorders>
            <w:shd w:val="clear" w:color="auto" w:fill="CCEEFF"/>
          </w:tcPr>
          <w:p>
            <w:pPr>
              <w:spacing w:after="0"/>
              <w:rPr>
                <w:sz w:val="11"/>
                <w:szCs w:val="11"/>
                <w:color w:val="auto"/>
              </w:rPr>
            </w:pPr>
          </w:p>
        </w:tc>
        <w:tc>
          <w:tcPr>
            <w:tcW w:w="2260" w:type="dxa"/>
            <w:vAlign w:val="bottom"/>
            <w:tcBorders>
              <w:top w:val="single" w:sz="8" w:color="CCEEFF"/>
            </w:tcBorders>
            <w:shd w:val="clear" w:color="auto" w:fill="CCEEFF"/>
          </w:tcPr>
          <w:p>
            <w:pPr>
              <w:spacing w:after="0"/>
              <w:rPr>
                <w:sz w:val="11"/>
                <w:szCs w:val="11"/>
                <w:color w:val="auto"/>
              </w:rPr>
            </w:pPr>
          </w:p>
        </w:tc>
        <w:tc>
          <w:tcPr>
            <w:tcW w:w="62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CCEEFF"/>
            </w:tcBorders>
            <w:shd w:val="clear" w:color="auto" w:fill="CCEEFF"/>
          </w:tcPr>
          <w:p>
            <w:pPr>
              <w:spacing w:after="0"/>
              <w:rPr>
                <w:sz w:val="11"/>
                <w:szCs w:val="11"/>
                <w:color w:val="auto"/>
              </w:rPr>
            </w:pPr>
          </w:p>
        </w:tc>
        <w:tc>
          <w:tcPr>
            <w:tcW w:w="8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right w:val="single" w:sz="8" w:color="CCEEFF"/>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00" w:type="dxa"/>
            <w:vAlign w:val="bottom"/>
          </w:tcPr>
          <w:p>
            <w:pPr>
              <w:spacing w:after="0" w:line="149" w:lineRule="exact"/>
              <w:rPr>
                <w:sz w:val="20"/>
                <w:szCs w:val="20"/>
                <w:color w:val="auto"/>
              </w:rPr>
            </w:pPr>
            <w:r>
              <w:rPr>
                <w:rFonts w:ascii="Arial" w:cs="Arial" w:eastAsia="Arial" w:hAnsi="Arial"/>
                <w:sz w:val="14"/>
                <w:szCs w:val="14"/>
                <w:color w:val="auto"/>
              </w:rPr>
              <w:t>U.S. Bank Money Market (a)</w:t>
            </w:r>
          </w:p>
        </w:tc>
        <w:tc>
          <w:tcPr>
            <w:tcW w:w="218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w w:val="86"/>
              </w:rPr>
              <w:t>$ 2,349,633</w:t>
            </w:r>
          </w:p>
        </w:tc>
        <w:tc>
          <w:tcPr>
            <w:tcW w:w="80" w:type="dxa"/>
            <w:vAlign w:val="bottom"/>
          </w:tcPr>
          <w:p>
            <w:pPr>
              <w:spacing w:after="0"/>
              <w:rPr>
                <w:sz w:val="12"/>
                <w:szCs w:val="12"/>
                <w:color w:val="auto"/>
              </w:rPr>
            </w:pPr>
          </w:p>
        </w:tc>
        <w:tc>
          <w:tcPr>
            <w:tcW w:w="1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2,349,633</w:t>
            </w:r>
          </w:p>
        </w:tc>
        <w:tc>
          <w:tcPr>
            <w:tcW w:w="8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2,349,633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2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right w:val="single" w:sz="8" w:color="auto"/>
            </w:tcBorders>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20" w:type="dxa"/>
            <w:vAlign w:val="bottom"/>
            <w:vMerge w:val="continue"/>
          </w:tcPr>
          <w:p>
            <w:pPr>
              <w:spacing w:after="0"/>
              <w:rPr>
                <w:sz w:val="12"/>
                <w:szCs w:val="12"/>
                <w:color w:val="auto"/>
              </w:rPr>
            </w:pPr>
          </w:p>
        </w:tc>
        <w:tc>
          <w:tcPr>
            <w:tcW w:w="22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Total cash and cash equivalents</w:t>
            </w:r>
          </w:p>
        </w:tc>
        <w:tc>
          <w:tcPr>
            <w:tcW w:w="2180" w:type="dxa"/>
            <w:vAlign w:val="bottom"/>
            <w:shd w:val="clear" w:color="auto" w:fill="CCEEFF"/>
          </w:tcPr>
          <w:p>
            <w:pPr>
              <w:spacing w:after="0"/>
              <w:rPr>
                <w:sz w:val="12"/>
                <w:szCs w:val="12"/>
                <w:color w:val="auto"/>
              </w:rPr>
            </w:pPr>
          </w:p>
        </w:tc>
        <w:tc>
          <w:tcPr>
            <w:tcW w:w="22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86"/>
              </w:rPr>
              <w:t>$ 2,349,633</w:t>
            </w:r>
          </w:p>
        </w:tc>
        <w:tc>
          <w:tcPr>
            <w:tcW w:w="80" w:type="dxa"/>
            <w:vAlign w:val="bottom"/>
            <w:shd w:val="clear" w:color="auto" w:fill="CCEEFF"/>
          </w:tcPr>
          <w:p>
            <w:pPr>
              <w:spacing w:after="0"/>
              <w:rPr>
                <w:sz w:val="12"/>
                <w:szCs w:val="12"/>
                <w:color w:val="auto"/>
              </w:rPr>
            </w:pPr>
          </w:p>
        </w:tc>
        <w:tc>
          <w:tcPr>
            <w:tcW w:w="16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2,349,633</w:t>
            </w:r>
          </w:p>
        </w:tc>
        <w:tc>
          <w:tcPr>
            <w:tcW w:w="8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2,349,633</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20" w:right="2120" w:hanging="5612"/>
        <w:spacing w:after="0" w:line="449" w:lineRule="auto"/>
        <w:tabs>
          <w:tab w:leader="none" w:pos="45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Included within cash and cash equivalents in Saratoga CLO’s Statements of Assets and Liabilities as of February 29, 2016. 22</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 Related Party Transactions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was two years, with automatic, one-year renewals at the end of each year, subject to certain approvals by our board of directors and/or the Company’s stockholders. On July 7, 2016,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420" w:firstLine="456"/>
        <w:spacing w:after="0" w:line="277"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ind w:right="80" w:firstLine="456"/>
        <w:spacing w:after="0" w:line="268" w:lineRule="auto"/>
        <w:rPr>
          <w:sz w:val="20"/>
          <w:szCs w:val="20"/>
          <w:color w:val="auto"/>
        </w:rPr>
      </w:pPr>
      <w:r>
        <w:rPr>
          <w:rFonts w:ascii="Arial" w:cs="Arial" w:eastAsia="Arial" w:hAnsi="Arial"/>
          <w:sz w:val="17"/>
          <w:szCs w:val="17"/>
          <w:color w:val="auto"/>
        </w:rPr>
        <w:t>For the three months ended August 31, 2016 and August 31, 2015, the Company incurred $1.2 million and $1.2 million in base management fees, respectively. For the three months ended August 31, 2016 and August 31, 2015, the Company incurred $0.8 million and $0.7 million in incentive fees related to pre-incentive fee net investment income, respectively. For the three months ended August 31, 2016, we accrued $0.4 million in incentive fees related to capital gains. For the three months ended August 31, 2015, we reduced the incentive fees related to capital gains by $0.8 million. For the six months ended August 31, 2016 and August 31, 2015, the Company incurred $2.4 million and $2.3 million in base management fees, respectively. For the six months ended August 31, 2016 and August 31, 2015, the Company incurred $1.4 million and $1.4 million in incentive fees related to pre-incentive fee net investment income, respectively. For the six months ended August 31, 2016 and August 31, 2015, we accrued $0.5 million and $0.3 million in incentive fees related to capital gains, respectively. The accrual is calculated using both realized and unrealized capital gains for the period. The actual incentive fee related to capital gains will be determined and payable in arrears at the end of the fiscal year and will include only realized capital gains for the period. As of August 31, 2016, the base management fees accrual was $1.2 million and the incentive fees accrual was $5.1 million and is included in base management and incentive fees payable in the accompanying consolidated statements of assets and liabilities. As of February 29, 2016, the base management fees accrual was $1.2 million and the incentive fees accrual was $4.4 million and is included in base management and incentive fees payable in the accompanying consolidated statements of assets and liabilities.</w:t>
      </w:r>
    </w:p>
    <w:p>
      <w:pPr>
        <w:spacing w:after="0" w:line="188" w:lineRule="exact"/>
        <w:rPr>
          <w:sz w:val="20"/>
          <w:szCs w:val="20"/>
          <w:color w:val="auto"/>
        </w:rPr>
      </w:pPr>
    </w:p>
    <w:p>
      <w:pPr>
        <w:ind w:right="80" w:firstLine="456"/>
        <w:spacing w:after="0" w:line="270" w:lineRule="auto"/>
        <w:rPr>
          <w:sz w:val="20"/>
          <w:szCs w:val="20"/>
          <w:color w:val="auto"/>
        </w:rPr>
      </w:pPr>
      <w:r>
        <w:rPr>
          <w:rFonts w:ascii="Arial" w:cs="Arial" w:eastAsia="Arial" w:hAnsi="Arial"/>
          <w:sz w:val="17"/>
          <w:szCs w:val="17"/>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was two years, with automatic, one-year renewals at the end of each year subject to certain approvals by our board of directors and/or our stockholders. The amount of expenses payable or reimbursable thereunder by the Company was capped at $1.0 million for the initial two year term of the Administration Agreement and subsequent renewals. On July 8, 2015, our board of directors approved the renewal of the Administration Agreement for an additional one-year term and determined to increase the cap on the payment or reimbursement of expenses by the Company thereunder, which had not been increased since the inception of the agreement, to $1.3 million. On July 7, 2016, our board of directors approved the renewal of the Administration Agreement for an additional one-year term and determined to keep the cap on the</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payment or reimbursement of expenses by the Company thereunder, unchanged at $1.3 million. In addition, our board of directors intends to review the cap in the next three to six months to determine whether it should be further adjusted in light of differences between our projected and actual expenses and other similar factors.</w:t>
      </w:r>
    </w:p>
    <w:p>
      <w:pPr>
        <w:spacing w:after="0" w:line="181"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For the three months ended August 31, 2016 and August 31, 2015, we recognized $0.3 million and $0.3 million, in administrator expenses for the periods, respectively, pertaining to bookkeeping, record keeping and other administrative services provided to us in addition to our allocable portion of rent and other overhead related expenses. For the six months ended August 31, 2016 and August 31, 2015, we recognized $0.7 million and $0.5 million, in administrator expenses for the periods, respectively, pertaining to bookkeeping, record keeping and other administrative services provided to us in addition to our allocable portion of rent and other overhead related expenses. As of August 31, 2016, $0.3 million of administrator expenses and other expenses payable to the Manager were accrued and included in due to manager in the accompanying consolidated statements of assets and liabilities. As of February 29, 2016, $0.2 million of administrator expenses and other expenses payable to the Manager were accrued and included in due to manager in the accompanying consolidated statements of assets and liabilities. For the six months ended August 31, 2016 and August 31, 2015, the Company neither bought nor sold any investments from the Saratoga CLO.</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100" w:firstLine="456"/>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100" w:firstLine="456"/>
        <w:spacing w:after="0" w:line="286" w:lineRule="auto"/>
        <w:rPr>
          <w:sz w:val="20"/>
          <w:szCs w:val="20"/>
          <w:color w:val="auto"/>
        </w:rPr>
      </w:pPr>
      <w:r>
        <w:rPr>
          <w:rFonts w:ascii="Arial" w:cs="Arial" w:eastAsia="Arial" w:hAnsi="Arial"/>
          <w:sz w:val="17"/>
          <w:szCs w:val="17"/>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66" w:lineRule="exact"/>
        <w:rPr>
          <w:sz w:val="20"/>
          <w:szCs w:val="20"/>
          <w:color w:val="auto"/>
        </w:rPr>
      </w:pPr>
    </w:p>
    <w:p>
      <w:pPr>
        <w:ind w:right="200" w:firstLine="456"/>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20" w:hanging="325"/>
        <w:spacing w:after="0" w:line="259"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Madison Capital Funding LLC.</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On September 17, 2014, we entered into a second amendment to the Credit Facility with Madison Capital Funding LLC to, among other things:</w:t>
      </w:r>
    </w:p>
    <w:p>
      <w:pPr>
        <w:spacing w:after="0" w:line="142"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extend the maturity date of the Credit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325"/>
        <w:spacing w:after="0"/>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As of August 31, 2016 and February 29, 2016, there were no outstanding borrowings under the Credit Facility and the Company was in compliance with all of the limitations and requirements of the Credit Facility. Financing costs of $2.7 million related to the Credit Facility have been capitalized and are being amortized over the term of the facility. For the three months ended August 31, 2016 and August 31, 2015, we recorded $0.1 million and $0.2 million of interest expense, respectively. For the six months ended August 31, 2016 and August 31, 2015, we recorded $0.2 million and $0.4 million of interest expense, respectively. For the three months ended August 31, 2016 and August 31, 2015, we recorded $0.02 million and $0.02 million of amortization of deferred financing costs related to the Credit Facility and Revolving Facility, respectively. For the six months ended August 31, 2016 and August 31, 2015, we recorded $0.04 million and $0.04 million of amortization of deferred financing costs related to the Credit Facility and Revolving Facility, respectively. During the three and six months ended August 31, 2016, there were no outstanding borrowings under the Credit Facility. The interest rates during the three and six months ended August 31, 2015 on the outstanding borrowings under the Credit Facility were 6.00%. During the three and six months ended August 31, 2015, the average dollar amount of outstanding borrowings under the Credit Facility was $6.8 million and $8.2 million, respectively.</w:t>
      </w:r>
    </w:p>
    <w:p>
      <w:pPr>
        <w:spacing w:after="0" w:line="16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Our borrowing base under the Credit Facility was $24.0 million subject to the Credit Facility cap of $45.0 million at August 31, 2016. For purposes of determining the borrowing base, most assets are assigned the values set forth in our most recent Annual Report on Form 10-K or Quarterly Report on Form 10-Q filed with the Securities and Exchange Commission (“SEC”). Accordingly, the August 31, 2016 borrowing base relies upon the valuations set forth in the Quarterly Report on Form 10-Q for the period ended May 31, 2016, as filed with the SEC on July 13, 2016. The valuations presented in this Quarterly Report on Form 10-Q will not be incorporated into the borrowing base until after this Quarterly Report on Form 10-Q is filed with the SEC.</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August 31, 2016, we have funded SBIC LP with $75.0 million of equity capital, and have $103.7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$19.5 million and have average annual fully</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taxed net income not exceeding $6.5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93"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88"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The Company received exemptive relief from the SEC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6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As of August 31, 2016 and February 29, 2016, there was $103.7 million and $103.7 million outstanding of SBA debentures, respectively. The carrying amount of the amount outstanding of SBA debentures approximates its fair value, which is based on a waterfall analysis showing adequate collateral coverage. $3.9 million of financing costs related to the SBA debentures have been capitalized and are being amortized over the term of the commitment and drawdown.</w:t>
      </w:r>
    </w:p>
    <w:p>
      <w:pPr>
        <w:spacing w:after="0" w:line="187" w:lineRule="exact"/>
        <w:rPr>
          <w:sz w:val="20"/>
          <w:szCs w:val="20"/>
          <w:color w:val="auto"/>
        </w:rPr>
      </w:pPr>
    </w:p>
    <w:p>
      <w:pPr>
        <w:ind w:right="140" w:firstLine="456"/>
        <w:spacing w:after="0" w:line="279" w:lineRule="auto"/>
        <w:rPr>
          <w:sz w:val="20"/>
          <w:szCs w:val="20"/>
          <w:color w:val="auto"/>
        </w:rPr>
      </w:pPr>
      <w:r>
        <w:rPr>
          <w:rFonts w:ascii="Arial" w:cs="Arial" w:eastAsia="Arial" w:hAnsi="Arial"/>
          <w:sz w:val="17"/>
          <w:szCs w:val="17"/>
          <w:color w:val="auto"/>
        </w:rPr>
        <w:t>For the three months ended August 31, 2016 and August 31, 2015, we recorded $0.8 million and $0.6 million of interest expense related to the SBA debentures, respectively. For the three months ended August 31, 2016 and August 31, 2015, we recorded $0.1 million and $0.1 million of amortization of deferred financing costs related to the SBA debentures, respectively. The weighted average interest rate during the three months ended August 31, 2016 and August 31, 2015 on the outstanding borrowings of the SBA debentures was 3.19% and 3.25%, respectively.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For the six months ended August 31, 2016 and August 31, 2015, we recorded $1.7 million and $1.2 million of interest expense related to the SBA</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debentures, respectively. For the six months ended August 31, 2016 and August 31, 2015, we recorded $0.3 million and $0.2 million of amortization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deferred financing costs related to the SBA debentures, respectively. The weighted average interest rate during the six months ended August 31, 2016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August 31, 2015 on the outstanding borrowings of the SBA debentures was 3.14% and 3.20%, respectively. During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31, 2016, the average dollar amount of SBA debentures outstanding was $103.7 million. During the three and six months ended August 31, 2015,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average dollar amount of SBA debentures outstanding was $79.0 million.</w:t>
      </w:r>
    </w:p>
    <w:p>
      <w:pPr>
        <w:spacing w:after="0" w:line="21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In December 2015, the 2016 omnibus spending bill approved by Congress and signed into law by the President increased the amount of SBA-guaranteed debentures that affiliated SBIC funds can have outstanding from $225.0 million to $350.0 million, subject to SBA approval. SBA regulations currently limit the amount of SBA-guaranteed debentures that an SBIC may issue to $150.0 million when it has at least $75.0 million in regulatory capital. Affiliated SBICs are permitted to issue up to a combined maximum amount of $350.0 million in SBA-guaranteed debentures when they have at least $175.0 million in combined regulatory capital.</w:t>
      </w:r>
    </w:p>
    <w:p>
      <w:pPr>
        <w:spacing w:after="0" w:line="188"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since May 31, 2016, may be redeemed in whole or in part at any time or from time to time at the Company’s option. Interest will be payable quarterly beginning August 15, 2013.</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 On May 29, 2015, the Company entered into a Debt Distribution Agreement with Ladenburg Thalmann &amp; Co. through which the Company may offer for sale, from time to time, up to $20.0 million in aggregate principal amount of the Notes through an At-the-Market (“ATM”) offering. As of August 31, 2016, the Company sold 539,725 bonds with a principal of $13,493,125 at an average price of $25.31 for aggregate net proceeds of $13,385,766 (net of transaction costs).</w:t>
      </w:r>
    </w:p>
    <w:p>
      <w:pPr>
        <w:spacing w:after="0" w:line="188" w:lineRule="exact"/>
        <w:rPr>
          <w:sz w:val="20"/>
          <w:szCs w:val="20"/>
          <w:color w:val="auto"/>
        </w:rPr>
      </w:pPr>
    </w:p>
    <w:p>
      <w:pPr>
        <w:ind w:right="60" w:firstLine="456"/>
        <w:spacing w:after="0" w:line="270" w:lineRule="auto"/>
        <w:rPr>
          <w:sz w:val="20"/>
          <w:szCs w:val="20"/>
          <w:color w:val="auto"/>
        </w:rPr>
      </w:pPr>
      <w:r>
        <w:rPr>
          <w:rFonts w:ascii="Arial" w:cs="Arial" w:eastAsia="Arial" w:hAnsi="Arial"/>
          <w:sz w:val="17"/>
          <w:szCs w:val="17"/>
          <w:color w:val="auto"/>
        </w:rPr>
        <w:t>As of August 31, 2016, the carrying amount and fair value of the Notes was $61.8 million and $63.3 million, respectively. The fair value of the Notes, which are publicly traded, is based upon closing market quotes as of the measurement date and would be classified as a Level 1 liability within the fair value hierarchy. As of August 31, 2016, $2.7 million of financing costs related to the Notes (including underwriting commissions and net of issuance premiums) have been capitalized and are being amortized over the term of the Notes. For the three and six months ended August 31, 2016, we recorded $1.2 million and $2.3 million, respectively, of interest expense and $0.1 million and $0.2 million, respectively, of amortization of deferred financing costs related to the Notes. For the three and six months ended August 31, 2015, we recorded $1.1 million and $2.0 million, respectively, of interest expense and $0.1 million and $0.2 million, respectively, of amortization of deferred financing costs related to the Notes. During the three and six months ended August 31, 2016, the average dollar amount of Notes outstanding was $61.8 million. During the three and six months ended August 31, 2015, the average dollar amount of Notes outstanding was $54.4 million and $51.3 million, respectively.</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August 31,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780" w:type="dxa"/>
            <w:vAlign w:val="bottom"/>
          </w:tcPr>
          <w:p>
            <w:pPr>
              <w:spacing w:after="0"/>
              <w:rPr>
                <w:sz w:val="10"/>
                <w:szCs w:val="10"/>
                <w:color w:val="auto"/>
              </w:rPr>
            </w:pPr>
          </w:p>
        </w:tc>
        <w:tc>
          <w:tcPr>
            <w:tcW w:w="9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5"/>
              </w:rPr>
              <w:t>Total</w:t>
            </w:r>
          </w:p>
        </w:tc>
        <w:tc>
          <w:tcPr>
            <w:tcW w:w="240" w:type="dxa"/>
            <w:vAlign w:val="bottom"/>
          </w:tcPr>
          <w:p>
            <w:pPr>
              <w:spacing w:after="0"/>
              <w:rPr>
                <w:sz w:val="10"/>
                <w:szCs w:val="10"/>
                <w:color w:val="auto"/>
              </w:rPr>
            </w:pP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440" w:type="dxa"/>
            <w:vAlign w:val="bottom"/>
          </w:tcPr>
          <w:p>
            <w:pPr>
              <w:spacing w:after="0"/>
              <w:rPr>
                <w:sz w:val="10"/>
                <w:szCs w:val="10"/>
                <w:color w:val="auto"/>
              </w:rPr>
            </w:pPr>
          </w:p>
        </w:tc>
        <w:tc>
          <w:tcPr>
            <w:tcW w:w="600" w:type="dxa"/>
            <w:vAlign w:val="bottom"/>
          </w:tcPr>
          <w:p>
            <w:pPr>
              <w:jc w:val="right"/>
              <w:ind w:right="104"/>
              <w:spacing w:after="0" w:line="119" w:lineRule="exact"/>
              <w:rPr>
                <w:sz w:val="20"/>
                <w:szCs w:val="20"/>
                <w:color w:val="auto"/>
              </w:rPr>
            </w:pPr>
            <w:r>
              <w:rPr>
                <w:rFonts w:ascii="Arial" w:cs="Arial" w:eastAsia="Arial" w:hAnsi="Arial"/>
                <w:sz w:val="13"/>
                <w:szCs w:val="13"/>
                <w:b w:val="1"/>
                <w:bCs w:val="1"/>
                <w:color w:val="auto"/>
              </w:rPr>
              <w:t>3 - 5</w:t>
            </w:r>
          </w:p>
        </w:tc>
        <w:tc>
          <w:tcPr>
            <w:tcW w:w="2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80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8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4"/>
                <w:szCs w:val="14"/>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right="20"/>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6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70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165,453</w:t>
            </w:r>
          </w:p>
        </w:tc>
        <w:tc>
          <w:tcPr>
            <w:tcW w:w="34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61,793</w:t>
            </w:r>
          </w:p>
        </w:tc>
        <w:tc>
          <w:tcPr>
            <w:tcW w:w="940" w:type="dxa"/>
            <w:vAlign w:val="bottom"/>
            <w:gridSpan w:val="3"/>
            <w:shd w:val="clear" w:color="auto" w:fill="CCEEFF"/>
          </w:tcPr>
          <w:p>
            <w:pPr>
              <w:jc w:val="center"/>
              <w:ind w:left="30"/>
              <w:spacing w:after="0"/>
              <w:rPr>
                <w:sz w:val="20"/>
                <w:szCs w:val="20"/>
                <w:color w:val="auto"/>
              </w:rPr>
            </w:pPr>
            <w:r>
              <w:rPr>
                <w:rFonts w:ascii="Arial" w:cs="Arial" w:eastAsia="Arial" w:hAnsi="Arial"/>
                <w:sz w:val="18"/>
                <w:szCs w:val="18"/>
                <w:color w:val="auto"/>
                <w:w w:val="87"/>
              </w:rPr>
              <w:t>$ 103,660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Company’s off-balance sheet arrangements consisted of $8.0 million and $2.0 million of unfunded commitments to provide debt financing to its portfolio companies or to fund limited partnership interests as of August 31, 2016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88"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August 31, 2016 and February 29, 2016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2"/>
          </w:tcPr>
          <w:p>
            <w:pPr>
              <w:jc w:val="right"/>
              <w:ind w:right="510"/>
              <w:spacing w:after="0"/>
              <w:rPr>
                <w:sz w:val="20"/>
                <w:szCs w:val="20"/>
                <w:color w:val="auto"/>
              </w:rPr>
            </w:pPr>
            <w:r>
              <w:rPr>
                <w:rFonts w:ascii="Arial" w:cs="Arial" w:eastAsia="Arial" w:hAnsi="Arial"/>
                <w:sz w:val="14"/>
                <w:szCs w:val="14"/>
                <w:b w:val="1"/>
                <w:bCs w:val="1"/>
                <w:color w:val="auto"/>
              </w:rPr>
              <w:t>As of</w:t>
            </w: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August 31, 2016</w:t>
            </w:r>
          </w:p>
        </w:tc>
        <w:tc>
          <w:tcPr>
            <w:tcW w:w="200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February 29, 2016</w:t>
            </w:r>
          </w:p>
        </w:tc>
        <w:tc>
          <w:tcPr>
            <w:tcW w:w="100" w:type="dxa"/>
            <w:vAlign w:val="bottom"/>
          </w:tcPr>
          <w:p>
            <w:pPr>
              <w:spacing w:after="0"/>
              <w:rPr>
                <w:sz w:val="12"/>
                <w:szCs w:val="12"/>
                <w:color w:val="auto"/>
              </w:rPr>
            </w:pPr>
          </w:p>
        </w:tc>
      </w:tr>
      <w:tr>
        <w:trPr>
          <w:trHeight w:val="210"/>
        </w:trPr>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83"/>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00" w:type="dxa"/>
            <w:vAlign w:val="bottom"/>
          </w:tcPr>
          <w:p>
            <w:pPr>
              <w:spacing w:after="0"/>
              <w:rPr>
                <w:sz w:val="20"/>
                <w:szCs w:val="20"/>
                <w:color w:val="auto"/>
              </w:rPr>
            </w:pPr>
            <w:r>
              <w:rPr>
                <w:rFonts w:ascii="Arial" w:cs="Arial" w:eastAsia="Arial" w:hAnsi="Arial"/>
                <w:sz w:val="18"/>
                <w:szCs w:val="18"/>
                <w:color w:val="auto"/>
              </w:rPr>
              <w:t>BoardEffect, Inc.</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7,000</w:t>
            </w: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r>
      <w:tr>
        <w:trPr>
          <w:trHeight w:val="216"/>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Identity Automation Systems</w:t>
            </w:r>
          </w:p>
        </w:tc>
        <w:tc>
          <w:tcPr>
            <w:tcW w:w="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56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83"/>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86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share equal to the greater of net asset value or the market price at the time of payment. No compensation is paid to directors who are “interested persons” of the Company (as such term is defined in the 1940 Act). For the three months ended August 31, 2016 and August 31, 2015, we incurred $0.06 million and $0.05 million for directors’ fees and expenses, respectively. For the six months ended August 31, 2016 and August 31, 2015, we incurred $0.1 million and $0.1 million for directors’ fees and expenses, respectively. As of August 31, 2016 and February 29, 2016, $0.05 million and $0.03 million in directors’ fees and expenses were accrued and unpaid, respectively. As of August 31, 2016, we had not issued any common stock to our directors as compensation for their services.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800" w:firstLine="456"/>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jc w:val="both"/>
        <w:ind w:right="180" w:firstLine="456"/>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w:t>
      </w:r>
    </w:p>
    <w:p>
      <w:pPr>
        <w:spacing w:after="0" w:line="170"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$1.2 million in cash and 596,235 shares of common stock.</w:t>
      </w:r>
    </w:p>
    <w:p>
      <w:pPr>
        <w:spacing w:after="0" w:line="21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w:t>
      </w:r>
    </w:p>
    <w:p>
      <w:pPr>
        <w:spacing w:after="0"/>
        <w:rPr>
          <w:sz w:val="20"/>
          <w:szCs w:val="20"/>
          <w:color w:val="auto"/>
        </w:rPr>
      </w:pPr>
      <w:r>
        <w:rPr>
          <w:rFonts w:ascii="Arial" w:cs="Arial" w:eastAsia="Arial" w:hAnsi="Arial"/>
          <w:sz w:val="18"/>
          <w:szCs w:val="18"/>
          <w:color w:val="auto"/>
        </w:rPr>
        <w:t>$2.0 million in cash and 599,584 shares of common stock.</w:t>
      </w:r>
    </w:p>
    <w:p>
      <w:pPr>
        <w:spacing w:after="0" w:line="211"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87"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September 24, 2014, the Company declared a dividend of $0.18 per share payable on November 28, 2014. Shareholders had the option to receive payment of the dividend in cash, or receive shares of common stock pursuant to the Company’s DRIP. Based on shareholder elections, the dividend consisted of approximately $0.6 million in cash and 22,283 newly issued shares of common stock.</w:t>
      </w:r>
    </w:p>
    <w:p>
      <w:pPr>
        <w:sectPr>
          <w:pgSz w:w="11900" w:h="16838" w:orient="portrait"/>
          <w:cols w:equalWidth="0" w:num="1">
            <w:col w:w="11360"/>
          </w:cols>
          <w:pgMar w:left="240" w:top="459" w:right="299" w:bottom="1440" w:gutter="0" w:footer="0" w:header="0"/>
        </w:sectPr>
      </w:pP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360"/>
          </w:cols>
          <w:pgMar w:left="240" w:top="459" w:right="29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456"/>
        <w:spacing w:after="0" w:line="264" w:lineRule="auto"/>
        <w:rPr>
          <w:sz w:val="20"/>
          <w:szCs w:val="20"/>
          <w:color w:val="auto"/>
        </w:rPr>
      </w:pPr>
      <w:r>
        <w:rPr>
          <w:rFonts w:ascii="Arial" w:cs="Arial" w:eastAsia="Arial" w:hAnsi="Arial"/>
          <w:sz w:val="18"/>
          <w:szCs w:val="18"/>
          <w:color w:val="auto"/>
        </w:rPr>
        <w:t>On September 24, 2014, the Company declared a dividend of $0.22 per share payable on February 27, 2015. Shareholders had the option to receive payment of the dividend in cash, or receive shares of common stock, pursuant our DRIP. Based on shareholder elections, the dividend consisted of approximately $0.8 million in cash and 26,858 newly issued shares of common stock.</w:t>
      </w:r>
    </w:p>
    <w:p>
      <w:pPr>
        <w:spacing w:after="0" w:line="18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April 9, 2015, the Company declared a dividend of $0.27 per share payable on May 29, 2015. Shareholders had the option to receive payment of the dividend in cash, or receive shares of common stock, pursuant our DRIP. Based on shareholder elections, the dividend consisted of approximately $0.9 million in cash and 33,766 newly issued shares of common stock.</w:t>
      </w:r>
    </w:p>
    <w:p>
      <w:pPr>
        <w:spacing w:after="0" w:line="181" w:lineRule="exact"/>
        <w:rPr>
          <w:sz w:val="20"/>
          <w:szCs w:val="20"/>
          <w:color w:val="auto"/>
        </w:rPr>
      </w:pPr>
    </w:p>
    <w:p>
      <w:pPr>
        <w:ind w:right="640" w:firstLine="456"/>
        <w:spacing w:after="0" w:line="264" w:lineRule="auto"/>
        <w:rPr>
          <w:sz w:val="20"/>
          <w:szCs w:val="20"/>
          <w:color w:val="auto"/>
        </w:rPr>
      </w:pPr>
      <w:r>
        <w:rPr>
          <w:rFonts w:ascii="Arial" w:cs="Arial" w:eastAsia="Arial" w:hAnsi="Arial"/>
          <w:sz w:val="18"/>
          <w:szCs w:val="18"/>
          <w:color w:val="auto"/>
        </w:rPr>
        <w:t>On May 14, 2015, the Company declared a special dividend of $1.00 per share payable on June 5, 2015. Shareholders had the option to receive payment of the dividend in cash, or receive shares of common stock, pursuant our DRIP. Based on shareholder elections, the dividend consisted of approximately $3.4 million in cash and 126,230 newly issued shares of common stock.</w:t>
      </w:r>
    </w:p>
    <w:p>
      <w:pPr>
        <w:spacing w:after="0" w:line="18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On July 8, 2015, the Company declared a dividend of $0.33 per share payable on August 31, 2015. Shareholders had the option to receive payment of the dividend in cash, or receive shares of common stock, pursuant our DRIP. Based on shareholder elections, the dividend consisted of approximately $1.1 million in cash and 47,861 newly issued shares of common stock.</w:t>
      </w:r>
    </w:p>
    <w:p>
      <w:pPr>
        <w:spacing w:after="0" w:line="181" w:lineRule="exact"/>
        <w:rPr>
          <w:sz w:val="20"/>
          <w:szCs w:val="20"/>
          <w:color w:val="auto"/>
        </w:rPr>
      </w:pPr>
    </w:p>
    <w:p>
      <w:pPr>
        <w:ind w:right="500" w:firstLine="456"/>
        <w:spacing w:after="0" w:line="264" w:lineRule="auto"/>
        <w:rPr>
          <w:sz w:val="20"/>
          <w:szCs w:val="20"/>
          <w:color w:val="auto"/>
        </w:rPr>
      </w:pPr>
      <w:r>
        <w:rPr>
          <w:rFonts w:ascii="Arial" w:cs="Arial" w:eastAsia="Arial" w:hAnsi="Arial"/>
          <w:sz w:val="18"/>
          <w:szCs w:val="18"/>
          <w:color w:val="auto"/>
        </w:rPr>
        <w:t>On October 7, 2015, the Company declared a dividend of $0.36 per share payable on November 30, 2015. Shareholders had the option to receive payment of the dividend in cash, or receive shares of common stock, pursuant our DRIP. Based on shareholder elections, the dividend consisted of approximately $1.1 million in cash and 61,029 newly issued shares of common stock.</w:t>
      </w:r>
    </w:p>
    <w:p>
      <w:pPr>
        <w:spacing w:after="0" w:line="181" w:lineRule="exact"/>
        <w:rPr>
          <w:sz w:val="20"/>
          <w:szCs w:val="20"/>
          <w:color w:val="auto"/>
        </w:rPr>
      </w:pPr>
    </w:p>
    <w:p>
      <w:pPr>
        <w:ind w:right="540" w:firstLine="456"/>
        <w:spacing w:after="0" w:line="264" w:lineRule="auto"/>
        <w:rPr>
          <w:sz w:val="20"/>
          <w:szCs w:val="20"/>
          <w:color w:val="auto"/>
        </w:rPr>
      </w:pPr>
      <w:r>
        <w:rPr>
          <w:rFonts w:ascii="Arial" w:cs="Arial" w:eastAsia="Arial" w:hAnsi="Arial"/>
          <w:sz w:val="18"/>
          <w:szCs w:val="18"/>
          <w:color w:val="auto"/>
        </w:rPr>
        <w:t>On January 12, 2016, the Company declared a dividend of $0.40 per share payable on February 29, 2016. Shareholders had the option to receive payment of the dividend in cash, or receive shares of common stock, pursuant our DRIP. Based on shareholder elections, the dividend consisted of approximately $1.4 million in cash and 66,765 newly issued shares of common stock.</w:t>
      </w:r>
    </w:p>
    <w:p>
      <w:pPr>
        <w:spacing w:after="0" w:line="181" w:lineRule="exact"/>
        <w:rPr>
          <w:sz w:val="20"/>
          <w:szCs w:val="20"/>
          <w:color w:val="auto"/>
        </w:rPr>
      </w:pPr>
    </w:p>
    <w:p>
      <w:pPr>
        <w:ind w:right="60" w:firstLine="456"/>
        <w:spacing w:after="0" w:line="264" w:lineRule="auto"/>
        <w:rPr>
          <w:sz w:val="20"/>
          <w:szCs w:val="20"/>
          <w:color w:val="auto"/>
        </w:rPr>
      </w:pPr>
      <w:r>
        <w:rPr>
          <w:rFonts w:ascii="Arial" w:cs="Arial" w:eastAsia="Arial" w:hAnsi="Arial"/>
          <w:sz w:val="18"/>
          <w:szCs w:val="18"/>
          <w:color w:val="auto"/>
        </w:rPr>
        <w:t>On March 31, 2016, the Company declared a dividend of $0.41 per share payable on April 27, 2016. Shareholders had the option to receive payment of the dividend in cash, or receive shares of common stock, pursuant our DRIP. Based on shareholder elections, the dividend consisted of approximately $1.5 million in cash and 56,728 newly issued shares of common stock.</w:t>
      </w:r>
    </w:p>
    <w:p>
      <w:pPr>
        <w:spacing w:after="0" w:line="18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On July 7, 2016, the Company declared a dividend of $0.43 per share payable on August 9, 2016. Shareholders had the option to receive payment of the dividend in cash, or receive shares of common stock, pursuant our DRIP. Based on shareholder elections, the dividend consisted of approximately $1.5 million in cash and 58,167 newly issued shares of common stock.</w:t>
      </w:r>
    </w:p>
    <w:p>
      <w:pPr>
        <w:spacing w:after="0" w:line="18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On August 8, 2016, the Company declared a special dividend of $0.20 per share payable on September 5, 2016. Shareholders had the option to receive payment of the dividend in cash, or receive shares of common stock, pursuant our DRIP. Based on shareholder elections, the dividend consisted of approximately $0.7 million in cash and 24,786 newly issued shares of common stock.</w:t>
      </w:r>
    </w:p>
    <w:p>
      <w:pPr>
        <w:spacing w:after="0" w:line="181" w:lineRule="exact"/>
        <w:rPr>
          <w:sz w:val="20"/>
          <w:szCs w:val="20"/>
          <w:color w:val="auto"/>
        </w:rPr>
      </w:pPr>
    </w:p>
    <w:p>
      <w:pPr>
        <w:ind w:right="60" w:firstLine="456"/>
        <w:spacing w:after="0" w:line="271" w:lineRule="auto"/>
        <w:rPr>
          <w:sz w:val="20"/>
          <w:szCs w:val="20"/>
          <w:color w:val="auto"/>
        </w:rPr>
      </w:pPr>
      <w:r>
        <w:rPr>
          <w:rFonts w:ascii="Arial" w:cs="Arial" w:eastAsia="Arial" w:hAnsi="Arial"/>
          <w:sz w:val="17"/>
          <w:szCs w:val="17"/>
          <w:color w:val="auto"/>
        </w:rPr>
        <w:t>On September 24, 2014, the Company announced the approval of an open market share repurchase plan that allowed it to repurchase up to 200,000 shares of its common stock at prices below its NAV as reported in its then most recently published consolidated financial statements. On October 7, 2015, the Company’s board of directors extended the open market share repurchase plan for another year and increased the number of shares the Company is permitted to repurchase at prices below its NAV, as reported in its then most recently published consolidated financial statements, to 400,000 shares of its common stock. As of August 31, 2016, the Company purchased 138,494 shares of common stock, at the average price of $16.16 for approximately $2.2 million pursuant to this repurchase plan. On October 5, 2016, the Company’s board of directors extended the open market share repurchase plan for another year to October 15, 2017 and increased the number of shares the Company is permitted to repurchase at prices below its NAV, as reported in its then most recently published consolidated financial statements, to 600,000 shares of its common stock.</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 xml:space="preserve">In accordance with the provisions of FASB ASC 260, </w:t>
      </w:r>
      <w:r>
        <w:rPr>
          <w:rFonts w:ascii="Arial" w:cs="Arial" w:eastAsia="Arial" w:hAnsi="Arial"/>
          <w:sz w:val="18"/>
          <w:szCs w:val="18"/>
          <w:i w:val="1"/>
          <w:iCs w:val="1"/>
          <w:color w:val="auto"/>
        </w:rPr>
        <w:t>Earnings per Share</w:t>
      </w:r>
      <w:r>
        <w:rPr>
          <w:rFonts w:ascii="Arial" w:cs="Arial" w:eastAsia="Arial" w:hAnsi="Arial"/>
          <w:sz w:val="18"/>
          <w:szCs w:val="18"/>
          <w:color w:val="auto"/>
        </w:rPr>
        <w:t xml:space="preserv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firstLine="456"/>
        <w:spacing w:after="0" w:line="308" w:lineRule="auto"/>
        <w:rPr>
          <w:sz w:val="20"/>
          <w:szCs w:val="20"/>
          <w:color w:val="auto"/>
        </w:rPr>
      </w:pPr>
      <w:r>
        <w:rPr>
          <w:rFonts w:ascii="Arial" w:cs="Arial" w:eastAsia="Arial" w:hAnsi="Arial"/>
          <w:sz w:val="17"/>
          <w:szCs w:val="17"/>
          <w:color w:val="auto"/>
        </w:rPr>
        <w:t>The following information sets forth the computation of the weighted average basic and diluted net increase in net assets per share from operations for the three and six months ended August 31, 2016 and August 31, 2015 (dollars in thousands except share and per share amounts):</w:t>
      </w:r>
    </w:p>
    <w:p>
      <w:pPr>
        <w:spacing w:after="0" w:line="165"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40" w:type="dxa"/>
            <w:vAlign w:val="bottom"/>
            <w:gridSpan w:val="6"/>
          </w:tcPr>
          <w:p>
            <w:pPr>
              <w:ind w:left="220"/>
              <w:spacing w:after="0"/>
              <w:rPr>
                <w:sz w:val="20"/>
                <w:szCs w:val="20"/>
                <w:color w:val="auto"/>
              </w:rPr>
            </w:pPr>
            <w:r>
              <w:rPr>
                <w:rFonts w:ascii="Arial" w:cs="Arial" w:eastAsia="Arial" w:hAnsi="Arial"/>
                <w:sz w:val="14"/>
                <w:szCs w:val="14"/>
                <w:b w:val="1"/>
                <w:bCs w:val="1"/>
                <w:color w:val="auto"/>
              </w:rPr>
              <w:t>For the three months ended</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19"/>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520" w:type="dxa"/>
            <w:vAlign w:val="bottom"/>
          </w:tcPr>
          <w:p>
            <w:pPr>
              <w:spacing w:after="0"/>
              <w:rPr>
                <w:sz w:val="10"/>
                <w:szCs w:val="10"/>
                <w:color w:val="auto"/>
              </w:rPr>
            </w:pPr>
          </w:p>
        </w:tc>
        <w:tc>
          <w:tcPr>
            <w:tcW w:w="1160" w:type="dxa"/>
            <w:vAlign w:val="bottom"/>
            <w:tcBorders>
              <w:top w:val="single" w:sz="8" w:color="auto"/>
            </w:tcBorders>
            <w:gridSpan w:val="3"/>
          </w:tcPr>
          <w:p>
            <w:pPr>
              <w:jc w:val="center"/>
              <w:ind w:right="340"/>
              <w:spacing w:after="0" w:line="119" w:lineRule="exact"/>
              <w:rPr>
                <w:sz w:val="20"/>
                <w:szCs w:val="20"/>
                <w:color w:val="auto"/>
              </w:rPr>
            </w:pPr>
            <w:r>
              <w:rPr>
                <w:rFonts w:ascii="Arial" w:cs="Arial" w:eastAsia="Arial" w:hAnsi="Arial"/>
                <w:sz w:val="13"/>
                <w:szCs w:val="13"/>
                <w:b w:val="1"/>
                <w:bCs w:val="1"/>
                <w:color w:val="auto"/>
                <w:w w:val="99"/>
              </w:rPr>
              <w:t>August 31,</w:t>
            </w:r>
          </w:p>
        </w:tc>
        <w:tc>
          <w:tcPr>
            <w:tcW w:w="34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August 31,</w:t>
            </w:r>
          </w:p>
        </w:tc>
        <w:tc>
          <w:tcPr>
            <w:tcW w:w="3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60" w:type="dxa"/>
            <w:vAlign w:val="bottom"/>
            <w:tcBorders>
              <w:top w:val="single" w:sz="8" w:color="auto"/>
            </w:tcBorders>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August 31,</w:t>
            </w:r>
          </w:p>
        </w:tc>
        <w:tc>
          <w:tcPr>
            <w:tcW w:w="32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August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600" w:type="dxa"/>
            <w:vAlign w:val="bottom"/>
            <w:gridSpan w:val="2"/>
            <w:vMerge w:val="continue"/>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4"/>
              <w:spacing w:after="0"/>
              <w:rPr>
                <w:sz w:val="20"/>
                <w:szCs w:val="20"/>
                <w:color w:val="auto"/>
              </w:rPr>
            </w:pPr>
            <w:r>
              <w:rPr>
                <w:rFonts w:ascii="Arial" w:cs="Arial" w:eastAsia="Arial" w:hAnsi="Arial"/>
                <w:sz w:val="14"/>
                <w:szCs w:val="14"/>
                <w:b w:val="1"/>
                <w:bCs w:val="1"/>
                <w:color w:val="auto"/>
              </w:rPr>
              <w:t>2015</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7"/>
              <w:spacing w:after="0"/>
              <w:rPr>
                <w:sz w:val="20"/>
                <w:szCs w:val="20"/>
                <w:color w:val="auto"/>
              </w:rPr>
            </w:pPr>
            <w:r>
              <w:rPr>
                <w:rFonts w:ascii="Arial" w:cs="Arial" w:eastAsia="Arial" w:hAnsi="Arial"/>
                <w:sz w:val="14"/>
                <w:szCs w:val="14"/>
                <w:b w:val="1"/>
                <w:bCs w:val="1"/>
                <w:color w:val="auto"/>
              </w:rPr>
              <w:t>2016</w:t>
            </w:r>
          </w:p>
        </w:tc>
        <w:tc>
          <w:tcPr>
            <w:tcW w:w="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8"/>
              </w:rPr>
              <w:t>Net increase in</w:t>
            </w:r>
          </w:p>
        </w:tc>
        <w:tc>
          <w:tcPr>
            <w:tcW w:w="3520" w:type="dxa"/>
            <w:vAlign w:val="bottom"/>
            <w:tcBorders>
              <w:top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net assets from operations</w:t>
            </w:r>
          </w:p>
        </w:tc>
        <w:tc>
          <w:tcPr>
            <w:tcW w:w="5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3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1,243</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8,559</w:t>
            </w:r>
          </w:p>
        </w:tc>
        <w:tc>
          <w:tcPr>
            <w:tcW w:w="3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87"/>
              </w:rPr>
              <w:t>5,740,816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5,583,795</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5,739,157</w:t>
            </w:r>
          </w:p>
        </w:tc>
        <w:tc>
          <w:tcPr>
            <w:tcW w:w="3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5,492,491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6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Weighted average earnings per common share-basic and</w:t>
            </w: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6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0.92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jc w:val="both"/>
        <w:ind w:right="260" w:firstLine="456"/>
        <w:spacing w:after="0" w:line="264" w:lineRule="auto"/>
        <w:rPr>
          <w:sz w:val="20"/>
          <w:szCs w:val="20"/>
          <w:color w:val="auto"/>
        </w:rPr>
      </w:pPr>
      <w:r>
        <w:rPr>
          <w:rFonts w:ascii="Arial" w:cs="Arial" w:eastAsia="Arial" w:hAnsi="Arial"/>
          <w:sz w:val="18"/>
          <w:szCs w:val="18"/>
          <w:color w:val="auto"/>
        </w:rPr>
        <w:t>On August 8, 2016, the Company declared a special dividend of $0.20 per share, which was paid on September 5, 2016, to common stockholders of record as of August 24, 2016. Shareholders had the option to receive payment of the dividend in cash, or receive shares of common stock, pursuant to our DRIP.</w:t>
      </w:r>
    </w:p>
    <w:p>
      <w:pPr>
        <w:spacing w:after="0" w:line="181"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87" w:lineRule="exact"/>
        <w:rPr>
          <w:sz w:val="20"/>
          <w:szCs w:val="20"/>
          <w:color w:val="auto"/>
        </w:rPr>
      </w:pPr>
    </w:p>
    <w:p>
      <w:pPr>
        <w:ind w:right="380" w:firstLine="456"/>
        <w:spacing w:after="0" w:line="342" w:lineRule="auto"/>
        <w:rPr>
          <w:sz w:val="20"/>
          <w:szCs w:val="20"/>
          <w:color w:val="auto"/>
        </w:rPr>
      </w:pPr>
      <w:r>
        <w:rPr>
          <w:rFonts w:ascii="Arial" w:cs="Arial" w:eastAsia="Arial" w:hAnsi="Arial"/>
          <w:sz w:val="16"/>
          <w:szCs w:val="16"/>
          <w:color w:val="auto"/>
        </w:rPr>
        <w:t>On July 7, 2016, the Company declared a dividend of $0.43 per share, which was paid on August 9, 2016, to common stockholders of record as of July 29, 2016. Shareholders had the option to receive payment of the dividend in cash, or receive shares of common stock, pursuant to our DRIP.</w:t>
      </w:r>
    </w:p>
    <w:p>
      <w:pPr>
        <w:spacing w:after="0" w:line="124"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87" w:lineRule="exact"/>
        <w:rPr>
          <w:sz w:val="20"/>
          <w:szCs w:val="20"/>
          <w:color w:val="auto"/>
        </w:rPr>
      </w:pPr>
    </w:p>
    <w:p>
      <w:pPr>
        <w:ind w:right="160" w:firstLine="456"/>
        <w:spacing w:after="0" w:line="342" w:lineRule="auto"/>
        <w:rPr>
          <w:sz w:val="20"/>
          <w:szCs w:val="20"/>
          <w:color w:val="auto"/>
        </w:rPr>
      </w:pPr>
      <w:r>
        <w:rPr>
          <w:rFonts w:ascii="Arial" w:cs="Arial" w:eastAsia="Arial" w:hAnsi="Arial"/>
          <w:sz w:val="16"/>
          <w:szCs w:val="16"/>
          <w:color w:val="auto"/>
        </w:rPr>
        <w:t>On March 31, 2016, the Company declared a dividend of $0.41 per share, which was paid on April 27, 2016, to common stockholders of record as of April 15, 2016. Shareholders had the option to receive payment of the dividend in cash, or receive shares of common stock, pursuant to our DRIP.</w:t>
      </w:r>
    </w:p>
    <w:p>
      <w:pPr>
        <w:spacing w:after="0" w:line="12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dividends declared during the six months ended August 31, 2016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480" w:type="dxa"/>
            <w:vAlign w:val="bottom"/>
            <w:vMerge w:val="restart"/>
          </w:tcPr>
          <w:p>
            <w:pPr>
              <w:spacing w:after="0"/>
              <w:rPr>
                <w:sz w:val="14"/>
                <w:szCs w:val="14"/>
                <w:color w:val="auto"/>
              </w:rPr>
            </w:pPr>
          </w:p>
        </w:tc>
        <w:tc>
          <w:tcPr>
            <w:tcW w:w="126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Record Date</w:t>
            </w:r>
          </w:p>
        </w:tc>
        <w:tc>
          <w:tcPr>
            <w:tcW w:w="380" w:type="dxa"/>
            <w:vAlign w:val="bottom"/>
            <w:vMerge w:val="restart"/>
          </w:tcPr>
          <w:p>
            <w:pPr>
              <w:spacing w:after="0"/>
              <w:rPr>
                <w:sz w:val="14"/>
                <w:szCs w:val="14"/>
                <w:color w:val="auto"/>
              </w:rPr>
            </w:pPr>
          </w:p>
        </w:tc>
        <w:tc>
          <w:tcPr>
            <w:tcW w:w="142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Payment Date</w:t>
            </w:r>
          </w:p>
        </w:tc>
        <w:tc>
          <w:tcPr>
            <w:tcW w:w="420" w:type="dxa"/>
            <w:vAlign w:val="bottom"/>
            <w:vMerge w:val="restart"/>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jc w:val="right"/>
              <w:ind w:right="34"/>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1"/>
        </w:trPr>
        <w:tc>
          <w:tcPr>
            <w:tcW w:w="460" w:type="dxa"/>
            <w:vAlign w:val="bottom"/>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448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38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420" w:type="dxa"/>
            <w:vAlign w:val="bottom"/>
            <w:vMerge w:val="continue"/>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w w:val="90"/>
              </w:rPr>
              <w:t>Per Share*</w:t>
            </w:r>
          </w:p>
        </w:tc>
        <w:tc>
          <w:tcPr>
            <w:tcW w:w="3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48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20" w:type="dxa"/>
            <w:vAlign w:val="bottom"/>
            <w:tcBorders>
              <w:right w:val="single" w:sz="8" w:color="CCEEFF"/>
            </w:tcBorders>
            <w:vMerge w:val="restart"/>
            <w:shd w:val="clear" w:color="auto" w:fill="CCEEFF"/>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20" w:type="dxa"/>
            <w:vAlign w:val="bottom"/>
            <w:tcBorders>
              <w:right w:val="single" w:sz="8" w:color="CCEEFF"/>
            </w:tcBorders>
            <w:shd w:val="clear" w:color="auto" w:fill="000000"/>
          </w:tcPr>
          <w:p>
            <w:pPr>
              <w:spacing w:after="0" w:line="20" w:lineRule="exact"/>
              <w:rPr>
                <w:sz w:val="1"/>
                <w:szCs w:val="1"/>
                <w:color w:val="auto"/>
              </w:rPr>
            </w:pPr>
          </w:p>
        </w:tc>
        <w:tc>
          <w:tcPr>
            <w:tcW w:w="380" w:type="dxa"/>
            <w:vAlign w:val="bottom"/>
            <w:vMerge w:val="restart"/>
            <w:shd w:val="clear" w:color="auto" w:fill="CCEEFF"/>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August 8, 2016</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August 24, 2016</w:t>
            </w:r>
          </w:p>
        </w:tc>
        <w:tc>
          <w:tcPr>
            <w:tcW w:w="380" w:type="dxa"/>
            <w:vAlign w:val="bottom"/>
            <w:vMerge w:val="continue"/>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September 5, 2016</w:t>
            </w:r>
          </w:p>
        </w:tc>
        <w:tc>
          <w:tcPr>
            <w:tcW w:w="420" w:type="dxa"/>
            <w:vAlign w:val="bottom"/>
            <w:tcBorders>
              <w:right w:val="single" w:sz="8" w:color="CCEEFF"/>
            </w:tcBorders>
            <w:vMerge w:val="continue"/>
            <w:shd w:val="clear" w:color="auto" w:fill="CCEEFF"/>
          </w:tcPr>
          <w:p>
            <w:pPr>
              <w:spacing w:after="0"/>
              <w:rPr>
                <w:sz w:val="18"/>
                <w:szCs w:val="18"/>
                <w:color w:val="auto"/>
              </w:rPr>
            </w:pP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0.20</w:t>
            </w:r>
          </w:p>
        </w:tc>
        <w:tc>
          <w:tcPr>
            <w:tcW w:w="380" w:type="dxa"/>
            <w:vAlign w:val="bottom"/>
            <w:vMerge w:val="continue"/>
            <w:shd w:val="clear" w:color="auto" w:fill="CCEEFF"/>
          </w:tcPr>
          <w:p>
            <w:pPr>
              <w:spacing w:after="0"/>
              <w:rPr>
                <w:sz w:val="18"/>
                <w:szCs w:val="18"/>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$1,151</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gridSpan w:val="3"/>
          </w:tcPr>
          <w:p>
            <w:pPr>
              <w:spacing w:after="0"/>
              <w:rPr>
                <w:sz w:val="20"/>
                <w:szCs w:val="20"/>
                <w:color w:val="auto"/>
              </w:rPr>
            </w:pPr>
            <w:r>
              <w:rPr>
                <w:rFonts w:ascii="Arial" w:cs="Arial" w:eastAsia="Arial" w:hAnsi="Arial"/>
                <w:sz w:val="18"/>
                <w:szCs w:val="18"/>
                <w:color w:val="auto"/>
              </w:rPr>
              <w:t>July 7, 2016</w:t>
            </w:r>
          </w:p>
        </w:tc>
        <w:tc>
          <w:tcPr>
            <w:tcW w:w="1640" w:type="dxa"/>
            <w:vAlign w:val="bottom"/>
            <w:gridSpan w:val="2"/>
          </w:tcPr>
          <w:p>
            <w:pPr>
              <w:jc w:val="right"/>
              <w:ind w:right="380"/>
              <w:spacing w:after="0"/>
              <w:rPr>
                <w:sz w:val="20"/>
                <w:szCs w:val="20"/>
                <w:color w:val="auto"/>
              </w:rPr>
            </w:pPr>
            <w:r>
              <w:rPr>
                <w:rFonts w:ascii="Arial" w:cs="Arial" w:eastAsia="Arial" w:hAnsi="Arial"/>
                <w:sz w:val="18"/>
                <w:szCs w:val="18"/>
                <w:color w:val="auto"/>
              </w:rPr>
              <w:t>July 29, 2016</w:t>
            </w:r>
          </w:p>
        </w:tc>
        <w:tc>
          <w:tcPr>
            <w:tcW w:w="1840" w:type="dxa"/>
            <w:vAlign w:val="bottom"/>
            <w:gridSpan w:val="2"/>
          </w:tcPr>
          <w:p>
            <w:pPr>
              <w:jc w:val="right"/>
              <w:ind w:right="420"/>
              <w:spacing w:after="0"/>
              <w:rPr>
                <w:sz w:val="20"/>
                <w:szCs w:val="20"/>
                <w:color w:val="auto"/>
              </w:rPr>
            </w:pPr>
            <w:r>
              <w:rPr>
                <w:rFonts w:ascii="Arial" w:cs="Arial" w:eastAsia="Arial" w:hAnsi="Arial"/>
                <w:sz w:val="18"/>
                <w:szCs w:val="18"/>
                <w:color w:val="auto"/>
              </w:rPr>
              <w:t>August 9, 2016</w:t>
            </w:r>
          </w:p>
        </w:tc>
        <w:tc>
          <w:tcPr>
            <w:tcW w:w="60" w:type="dxa"/>
            <w:vAlign w:val="bottom"/>
          </w:tcPr>
          <w:p>
            <w:pPr>
              <w:spacing w:after="0"/>
              <w:rPr>
                <w:sz w:val="20"/>
                <w:szCs w:val="20"/>
                <w:color w:val="auto"/>
              </w:rPr>
            </w:pPr>
            <w:r>
              <w:rPr>
                <w:rFonts w:ascii="Arial" w:cs="Arial" w:eastAsia="Arial" w:hAnsi="Arial"/>
                <w:sz w:val="10"/>
                <w:szCs w:val="10"/>
                <w:color w:val="auto"/>
                <w:w w:val="71"/>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0.43</w:t>
            </w:r>
          </w:p>
        </w:tc>
        <w:tc>
          <w:tcPr>
            <w:tcW w:w="98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$2,466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3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March 31, 2016</w:t>
            </w:r>
          </w:p>
        </w:tc>
        <w:tc>
          <w:tcPr>
            <w:tcW w:w="16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April 15, 2016</w:t>
            </w:r>
          </w:p>
        </w:tc>
        <w:tc>
          <w:tcPr>
            <w:tcW w:w="184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April 27, 2016</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w:t>
            </w:r>
            <w:r>
              <w:rPr>
                <w:rFonts w:ascii="Arial" w:cs="Arial" w:eastAsia="Arial" w:hAnsi="Arial"/>
                <w:sz w:val="18"/>
                <w:szCs w:val="18"/>
                <w:u w:val="single" w:color="auto"/>
                <w:color w:val="auto"/>
              </w:rPr>
              <w:t>41</w:t>
            </w:r>
          </w:p>
        </w:tc>
        <w:tc>
          <w:tcPr>
            <w:tcW w:w="98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2,346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36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r>
              <w:rPr>
                <w:rFonts w:ascii="Arial" w:cs="Arial" w:eastAsia="Arial" w:hAnsi="Arial"/>
                <w:sz w:val="18"/>
                <w:szCs w:val="18"/>
                <w:u w:val="single" w:color="auto"/>
                <w:color w:val="auto"/>
              </w:rPr>
              <w:t>04</w:t>
            </w: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5,963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summarizes dividends declared during the six months ended August 31, 2015 (dollars in thousands except per share amounts):</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vMerge w:val="restart"/>
          </w:tcPr>
          <w:p>
            <w:pPr>
              <w:spacing w:after="0"/>
              <w:rPr>
                <w:sz w:val="14"/>
                <w:szCs w:val="14"/>
                <w:color w:val="auto"/>
              </w:rPr>
            </w:pPr>
          </w:p>
        </w:tc>
        <w:tc>
          <w:tcPr>
            <w:tcW w:w="8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Date Declared</w:t>
            </w:r>
          </w:p>
        </w:tc>
        <w:tc>
          <w:tcPr>
            <w:tcW w:w="4740" w:type="dxa"/>
            <w:vAlign w:val="bottom"/>
            <w:vMerge w:val="restart"/>
          </w:tcPr>
          <w:p>
            <w:pPr>
              <w:spacing w:after="0"/>
              <w:rPr>
                <w:sz w:val="14"/>
                <w:szCs w:val="14"/>
                <w:color w:val="auto"/>
              </w:rPr>
            </w:pPr>
          </w:p>
        </w:tc>
        <w:tc>
          <w:tcPr>
            <w:tcW w:w="154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Record Date</w:t>
            </w:r>
          </w:p>
        </w:tc>
        <w:tc>
          <w:tcPr>
            <w:tcW w:w="1660" w:type="dxa"/>
            <w:vAlign w:val="bottom"/>
            <w:gridSpan w:val="2"/>
            <w:vMerge w:val="restart"/>
          </w:tcPr>
          <w:p>
            <w:pPr>
              <w:jc w:val="right"/>
              <w:ind w:right="600"/>
              <w:spacing w:after="0"/>
              <w:rPr>
                <w:sz w:val="20"/>
                <w:szCs w:val="20"/>
                <w:color w:val="auto"/>
              </w:rPr>
            </w:pPr>
            <w:r>
              <w:rPr>
                <w:rFonts w:ascii="Arial" w:cs="Arial" w:eastAsia="Arial" w:hAnsi="Arial"/>
                <w:sz w:val="14"/>
                <w:szCs w:val="14"/>
                <w:b w:val="1"/>
                <w:bCs w:val="1"/>
                <w:color w:val="auto"/>
              </w:rPr>
              <w:t>Payment Date</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Amount</w:t>
            </w:r>
          </w:p>
        </w:tc>
        <w:tc>
          <w:tcPr>
            <w:tcW w:w="380" w:type="dxa"/>
            <w:vAlign w:val="bottom"/>
          </w:tcPr>
          <w:p>
            <w:pPr>
              <w:spacing w:after="0"/>
              <w:rPr>
                <w:sz w:val="14"/>
                <w:szCs w:val="14"/>
                <w:color w:val="auto"/>
              </w:rPr>
            </w:pPr>
          </w:p>
        </w:tc>
        <w:tc>
          <w:tcPr>
            <w:tcW w:w="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78"/>
        </w:trPr>
        <w:tc>
          <w:tcPr>
            <w:tcW w:w="460" w:type="dxa"/>
            <w:vAlign w:val="bottom"/>
            <w:vMerge w:val="continue"/>
          </w:tcPr>
          <w:p>
            <w:pPr>
              <w:spacing w:after="0"/>
              <w:rPr>
                <w:sz w:val="15"/>
                <w:szCs w:val="15"/>
                <w:color w:val="auto"/>
              </w:rPr>
            </w:pPr>
          </w:p>
        </w:tc>
        <w:tc>
          <w:tcPr>
            <w:tcW w:w="880" w:type="dxa"/>
            <w:vAlign w:val="bottom"/>
            <w:tcBorders>
              <w:bottom w:val="single" w:sz="8" w:color="auto"/>
            </w:tcBorders>
            <w:gridSpan w:val="2"/>
            <w:vMerge w:val="continue"/>
          </w:tcPr>
          <w:p>
            <w:pPr>
              <w:spacing w:after="0"/>
              <w:rPr>
                <w:sz w:val="15"/>
                <w:szCs w:val="15"/>
                <w:color w:val="auto"/>
              </w:rPr>
            </w:pPr>
          </w:p>
        </w:tc>
        <w:tc>
          <w:tcPr>
            <w:tcW w:w="474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6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w w:val="93"/>
              </w:rPr>
              <w:t>Per Share*</w:t>
            </w:r>
          </w:p>
        </w:tc>
        <w:tc>
          <w:tcPr>
            <w:tcW w:w="380" w:type="dxa"/>
            <w:vAlign w:val="bottom"/>
          </w:tcPr>
          <w:p>
            <w:pPr>
              <w:spacing w:after="0"/>
              <w:rPr>
                <w:sz w:val="15"/>
                <w:szCs w:val="15"/>
                <w:color w:val="auto"/>
              </w:rPr>
            </w:pPr>
          </w:p>
        </w:tc>
        <w:tc>
          <w:tcPr>
            <w:tcW w:w="60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203"/>
        </w:trPr>
        <w:tc>
          <w:tcPr>
            <w:tcW w:w="460" w:type="dxa"/>
            <w:vAlign w:val="bottom"/>
          </w:tcPr>
          <w:p>
            <w:pPr>
              <w:spacing w:after="0"/>
              <w:rPr>
                <w:sz w:val="17"/>
                <w:szCs w:val="17"/>
                <w:color w:val="auto"/>
              </w:rPr>
            </w:pPr>
          </w:p>
        </w:tc>
        <w:tc>
          <w:tcPr>
            <w:tcW w:w="562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July 8, 2015</w:t>
            </w:r>
          </w:p>
        </w:tc>
        <w:tc>
          <w:tcPr>
            <w:tcW w:w="11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August 3, 2015</w:t>
            </w:r>
          </w:p>
        </w:tc>
        <w:tc>
          <w:tcPr>
            <w:tcW w:w="38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August 31, 2015</w:t>
            </w:r>
          </w:p>
        </w:tc>
        <w:tc>
          <w:tcPr>
            <w:tcW w:w="4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0.33</w:t>
            </w:r>
          </w:p>
        </w:tc>
        <w:tc>
          <w:tcPr>
            <w:tcW w:w="20" w:type="dxa"/>
            <w:vAlign w:val="bottom"/>
            <w:tcBorders>
              <w:top w:val="single" w:sz="8" w:color="CCEEFF"/>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$1,844</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3"/>
          </w:tcPr>
          <w:p>
            <w:pPr>
              <w:spacing w:after="0"/>
              <w:rPr>
                <w:sz w:val="20"/>
                <w:szCs w:val="20"/>
                <w:color w:val="auto"/>
              </w:rPr>
            </w:pPr>
            <w:r>
              <w:rPr>
                <w:rFonts w:ascii="Arial" w:cs="Arial" w:eastAsia="Arial" w:hAnsi="Arial"/>
                <w:sz w:val="18"/>
                <w:szCs w:val="18"/>
                <w:color w:val="auto"/>
              </w:rPr>
              <w:t>May 14, 2015</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May 26, 2015</w:t>
            </w:r>
          </w:p>
        </w:tc>
        <w:tc>
          <w:tcPr>
            <w:tcW w:w="1660" w:type="dxa"/>
            <w:vAlign w:val="bottom"/>
            <w:gridSpan w:val="2"/>
          </w:tcPr>
          <w:p>
            <w:pPr>
              <w:jc w:val="right"/>
              <w:ind w:right="400"/>
              <w:spacing w:after="0"/>
              <w:rPr>
                <w:sz w:val="20"/>
                <w:szCs w:val="20"/>
                <w:color w:val="auto"/>
              </w:rPr>
            </w:pPr>
            <w:r>
              <w:rPr>
                <w:rFonts w:ascii="Arial" w:cs="Arial" w:eastAsia="Arial" w:hAnsi="Arial"/>
                <w:sz w:val="18"/>
                <w:szCs w:val="18"/>
                <w:color w:val="auto"/>
              </w:rPr>
              <w:t>June 5, 2015</w:t>
            </w:r>
          </w:p>
        </w:tc>
        <w:tc>
          <w:tcPr>
            <w:tcW w:w="80" w:type="dxa"/>
            <w:vAlign w:val="bottom"/>
            <w:gridSpan w:val="2"/>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c>
          <w:tcPr>
            <w:tcW w:w="980" w:type="dxa"/>
            <w:vAlign w:val="bottom"/>
            <w:gridSpan w:val="3"/>
          </w:tcPr>
          <w:p>
            <w:pPr>
              <w:jc w:val="center"/>
              <w:ind w:left="190"/>
              <w:spacing w:after="0"/>
              <w:rPr>
                <w:sz w:val="20"/>
                <w:szCs w:val="20"/>
                <w:color w:val="auto"/>
              </w:rPr>
            </w:pPr>
            <w:r>
              <w:rPr>
                <w:rFonts w:ascii="Arial" w:cs="Arial" w:eastAsia="Arial" w:hAnsi="Arial"/>
                <w:sz w:val="18"/>
                <w:szCs w:val="18"/>
                <w:color w:val="auto"/>
                <w:w w:val="90"/>
              </w:rPr>
              <w:t>$5,429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April 9, 2015</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May 4, 2015</w:t>
            </w:r>
          </w:p>
        </w:tc>
        <w:tc>
          <w:tcPr>
            <w:tcW w:w="16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May 29, 2015</w:t>
            </w:r>
          </w:p>
        </w:tc>
        <w:tc>
          <w:tcPr>
            <w:tcW w:w="80" w:type="dxa"/>
            <w:vAlign w:val="bottom"/>
            <w:gridSpan w:val="2"/>
            <w:shd w:val="clear" w:color="auto" w:fill="CCEEFF"/>
          </w:tcPr>
          <w:p>
            <w:pPr>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0.27</w:t>
            </w:r>
          </w:p>
        </w:tc>
        <w:tc>
          <w:tcPr>
            <w:tcW w:w="980" w:type="dxa"/>
            <w:vAlign w:val="bottom"/>
            <w:gridSpan w:val="3"/>
            <w:shd w:val="clear" w:color="auto" w:fill="CCEEFF"/>
          </w:tcPr>
          <w:p>
            <w:pPr>
              <w:jc w:val="center"/>
              <w:ind w:left="19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1,466</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5620" w:type="dxa"/>
            <w:vAlign w:val="bottom"/>
            <w:gridSpan w:val="3"/>
          </w:tcPr>
          <w:p>
            <w:pPr>
              <w:ind w:left="360"/>
              <w:spacing w:after="0"/>
              <w:rPr>
                <w:sz w:val="20"/>
                <w:szCs w:val="20"/>
                <w:color w:val="auto"/>
              </w:rPr>
            </w:pPr>
            <w:r>
              <w:rPr>
                <w:rFonts w:ascii="Arial" w:cs="Arial" w:eastAsia="Arial" w:hAnsi="Arial"/>
                <w:sz w:val="18"/>
                <w:szCs w:val="18"/>
                <w:color w:val="auto"/>
              </w:rPr>
              <w:t>Total dividends declared</w:t>
            </w: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20" w:type="dxa"/>
            <w:vAlign w:val="bottom"/>
            <w:tcBorders>
              <w:bottom w:val="single" w:sz="8" w:color="auto"/>
            </w:tcBorders>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8,739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47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Amount per share is calculated based on the number of shares outstanding at the date of declaration.</w:t>
      </w:r>
    </w:p>
    <w:p>
      <w:pPr>
        <w:sectPr>
          <w:pgSz w:w="11900" w:h="16838" w:orient="portrait"/>
          <w:cols w:equalWidth="0" w:num="1">
            <w:col w:w="11380"/>
          </w:cols>
          <w:pgMar w:left="240" w:top="459" w:right="279" w:bottom="1440" w:gutter="0" w:footer="0" w:header="0"/>
        </w:sectPr>
      </w:pP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380"/>
          </w:cols>
          <w:pgMar w:left="240" w:top="459" w:right="279" w:bottom="1440" w:gutter="0" w:footer="0" w:header="0"/>
          <w:type w:val="continuous"/>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is a schedule of financial highlights for the six months ended August 31, 2016 and August 31, 2015:</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August 31, 2016</w:t>
            </w:r>
          </w:p>
        </w:tc>
        <w:tc>
          <w:tcPr>
            <w:tcW w:w="12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August 31, 2015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Per share data:</w:t>
            </w:r>
          </w:p>
        </w:tc>
        <w:tc>
          <w:tcPr>
            <w:tcW w:w="5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22.06</w:t>
            </w:r>
          </w:p>
        </w:tc>
        <w:tc>
          <w:tcPr>
            <w:tcW w:w="2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22.70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realized and unrealized gains and losses on investments</w:t>
            </w:r>
          </w:p>
        </w:tc>
        <w:tc>
          <w:tcPr>
            <w:tcW w:w="5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0.58</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Distributions declared from net investment income</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distributions to stockholders</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Dilution(4)</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at end of period</w:t>
            </w:r>
          </w:p>
        </w:tc>
        <w:tc>
          <w:tcPr>
            <w:tcW w:w="6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22.39</w:t>
            </w:r>
          </w:p>
        </w:tc>
        <w:tc>
          <w:tcPr>
            <w:tcW w:w="24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22.42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Net assets at end of period</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w w:val="87"/>
              </w:rPr>
              <w:t>128,563,622</w:t>
            </w:r>
          </w:p>
        </w:tc>
        <w:tc>
          <w:tcPr>
            <w:tcW w:w="2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w w:val="87"/>
              </w:rPr>
              <w:t>125,258,420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end of period</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5,740,810</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5,586,254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Per share market value at end of period</w:t>
            </w:r>
          </w:p>
        </w:tc>
        <w:tc>
          <w:tcPr>
            <w:tcW w:w="680" w:type="dxa"/>
            <w:vAlign w:val="bottom"/>
            <w:gridSpan w:val="2"/>
          </w:tcPr>
          <w:p>
            <w:pPr>
              <w:ind w:left="58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17.93</w:t>
            </w:r>
          </w:p>
        </w:tc>
        <w:tc>
          <w:tcPr>
            <w:tcW w:w="24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market value(2)</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34.41%</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Total return based on net asset value(3)</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Ratio of net investment income to average net assets(8)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Ratio of operating expenses to average net assets(7)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7.09%</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Ratio of incentive management fees to average net assets(6)</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w w:val="98"/>
              </w:rPr>
              <w:t>Ratio of interest and debt financing expenses to average net assets(7)</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Ratio of total expenses to average net assets(8)</w:t>
            </w: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Portfolio turnover rate(5)</w:t>
            </w: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20.98%</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DRIP.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160" w:hanging="452"/>
        <w:spacing w:after="0" w:line="265" w:lineRule="auto"/>
        <w:tabs>
          <w:tab w:leader="none" w:pos="4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DRIP. Total investment return does not reflect brokerage commissions.</w:t>
      </w:r>
    </w:p>
    <w:p>
      <w:pPr>
        <w:ind w:left="460" w:right="42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Represents the dilutive effect of issuing common stock below net asset value per share during the period in connection with the satisfaction of the Company’s annual RIC distribution requirement. See Note 11, Dividend.</w:t>
      </w: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not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 Incentive management fees included within the ratio are not annualized.</w:t>
      </w:r>
    </w:p>
    <w:p>
      <w:pPr>
        <w:spacing w:after="0" w:line="1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459" w:right="29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Subsequent Events</w:t>
      </w:r>
    </w:p>
    <w:p>
      <w:pPr>
        <w:spacing w:after="0" w:line="121" w:lineRule="exact"/>
        <w:rPr>
          <w:sz w:val="20"/>
          <w:szCs w:val="20"/>
          <w:color w:val="auto"/>
        </w:rPr>
      </w:pPr>
    </w:p>
    <w:p>
      <w:pPr>
        <w:ind w:firstLine="456"/>
        <w:spacing w:after="0" w:line="308" w:lineRule="auto"/>
        <w:rPr>
          <w:sz w:val="20"/>
          <w:szCs w:val="20"/>
          <w:color w:val="auto"/>
        </w:rPr>
      </w:pPr>
      <w:r>
        <w:rPr>
          <w:rFonts w:ascii="Arial" w:cs="Arial" w:eastAsia="Arial" w:hAnsi="Arial"/>
          <w:sz w:val="17"/>
          <w:szCs w:val="17"/>
          <w:color w:val="auto"/>
        </w:rPr>
        <w:t>The Company has evaluated subsequent events through the filing of this Form 10-Q and determined that there have been no events that have occurred that would require adjustments to the Company’s disclosures in the consolidated financial statements except for the following:</w:t>
      </w:r>
    </w:p>
    <w:p>
      <w:pPr>
        <w:spacing w:after="0" w:line="14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On October 5, 2016, the Company declared a dividend of $0.44 per share payable for the fiscal quarter ended August 31, 2016 to all stockholders of record at the close of business on October 31, 2016, with a payment date on November 9, 2016. Shareholders will have the option to receive payment of the dividend in cash, or receive shares of common stock pursuant to the Company’s DRIP.</w:t>
      </w:r>
    </w:p>
    <w:p>
      <w:pPr>
        <w:spacing w:after="0" w:line="181"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On October 5, 2016, the Company’s board of directors determined to increase the cap on the payment or reimbursement of expenses by the Company under the Administration Agreement, from $1.3 million to $1.5 million, effective November 1, 2016.</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60"/>
          </w:cols>
          <w:pgMar w:left="24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240" w:firstLine="456"/>
        <w:spacing w:after="0" w:line="257" w:lineRule="auto"/>
        <w:rPr>
          <w:sz w:val="20"/>
          <w:szCs w:val="20"/>
          <w:color w:val="auto"/>
        </w:rPr>
      </w:pPr>
      <w:r>
        <w:rPr>
          <w:rFonts w:ascii="Arial" w:cs="Arial" w:eastAsia="Arial" w:hAnsi="Arial"/>
          <w:sz w:val="18"/>
          <w:szCs w:val="18"/>
          <w:color w:val="auto"/>
        </w:rPr>
        <w:t>The following discussion should be read in conjunction with our consolidated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29, 2016.</w:t>
      </w:r>
    </w:p>
    <w:p>
      <w:pPr>
        <w:spacing w:after="0" w:line="188"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forward-looking statements contained in this Quarterly Report on Form 10-Q involve risks and uncertainties, including statements as to:</w:t>
      </w:r>
    </w:p>
    <w:p>
      <w:pPr>
        <w:spacing w:after="0" w:line="142" w:lineRule="exact"/>
        <w:rPr>
          <w:sz w:val="20"/>
          <w:szCs w:val="20"/>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900" w:right="140" w:hanging="446"/>
        <w:spacing w:after="0" w:line="342"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color w:val="auto"/>
        </w:rPr>
        <w:t>our regulatory structure and tax treatment, including our ability to operate as a business development company (“BDC”), or to operate our small business investment company (“SBIC”) subsidiary, and to continue to qualify to be taxed as a regulated investment company (“RIC”);</w:t>
      </w:r>
    </w:p>
    <w:p>
      <w:pPr>
        <w:spacing w:after="0" w:line="29" w:lineRule="exact"/>
        <w:rPr>
          <w:rFonts w:ascii="Arial" w:cs="Arial" w:eastAsia="Arial" w:hAnsi="Arial"/>
          <w:sz w:val="16"/>
          <w:szCs w:val="16"/>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ability of our investment adviser to locate suitable investments for us and to monitor and effectively administer our investments.</w:t>
      </w:r>
    </w:p>
    <w:p>
      <w:pPr>
        <w:spacing w:after="0" w:line="225" w:lineRule="exact"/>
        <w:rPr>
          <w:sz w:val="20"/>
          <w:szCs w:val="20"/>
          <w:color w:val="auto"/>
        </w:rPr>
      </w:pPr>
    </w:p>
    <w:p>
      <w:pPr>
        <w:jc w:val="both"/>
        <w:ind w:firstLine="456"/>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are a Maryland corporation that has elected to be treated as a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$2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RIC under Subchapter M of the Internal Revenue Code of 1986, as amended (the “Code”).</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Corporate History and Recent Developments</w:t>
      </w:r>
    </w:p>
    <w:p>
      <w:pPr>
        <w:spacing w:after="0" w:line="117" w:lineRule="exact"/>
        <w:rPr>
          <w:sz w:val="20"/>
          <w:szCs w:val="20"/>
          <w:color w:val="auto"/>
        </w:rPr>
      </w:pPr>
    </w:p>
    <w:p>
      <w:pPr>
        <w:ind w:right="380" w:firstLine="456"/>
        <w:spacing w:after="0" w:line="302" w:lineRule="auto"/>
        <w:rPr>
          <w:sz w:val="20"/>
          <w:szCs w:val="20"/>
          <w:color w:val="auto"/>
        </w:rPr>
      </w:pPr>
      <w:r>
        <w:rPr>
          <w:rFonts w:ascii="Arial" w:cs="Arial" w:eastAsia="Arial" w:hAnsi="Arial"/>
          <w:sz w:val="16"/>
          <w:szCs w:val="16"/>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pacing w:after="0" w:line="154" w:lineRule="exact"/>
        <w:rPr>
          <w:sz w:val="20"/>
          <w:szCs w:val="20"/>
          <w:color w:val="auto"/>
        </w:rPr>
      </w:pPr>
    </w:p>
    <w:p>
      <w:pPr>
        <w:ind w:firstLine="456"/>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ind w:right="40" w:firstLine="456"/>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47"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In January 2011, we registered for public resale of the 986,842 shares of our common stock issued to Saratoga Investment Advisors and certain of its affiliates.</w:t>
      </w:r>
    </w:p>
    <w:p>
      <w:pPr>
        <w:spacing w:after="0" w:line="170" w:lineRule="exact"/>
        <w:rPr>
          <w:sz w:val="20"/>
          <w:szCs w:val="20"/>
          <w:color w:val="auto"/>
        </w:rPr>
      </w:pPr>
    </w:p>
    <w:p>
      <w:pPr>
        <w:ind w:right="560" w:firstLine="456"/>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an SBIC license from the Small Business Administration (“SBA”).</w:t>
      </w:r>
    </w:p>
    <w:p>
      <w:pPr>
        <w:spacing w:after="0" w:line="170" w:lineRule="exact"/>
        <w:rPr>
          <w:sz w:val="20"/>
          <w:szCs w:val="20"/>
          <w:color w:val="auto"/>
        </w:rPr>
      </w:pPr>
    </w:p>
    <w:p>
      <w:pPr>
        <w:ind w:right="260" w:firstLine="456"/>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since May 31, 2016, may be redeemed in whole or in part at any time or from time to time at our option. The notes are listed on the NYSE under the trading symbol “SAQ” with a par value of $25.00 per share.</w:t>
      </w:r>
    </w:p>
    <w:p>
      <w:pPr>
        <w:spacing w:after="0" w:line="173"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00" w:firstLine="456"/>
        <w:spacing w:after="0" w:line="312" w:lineRule="auto"/>
        <w:rPr>
          <w:sz w:val="20"/>
          <w:szCs w:val="20"/>
          <w:color w:val="auto"/>
        </w:rPr>
      </w:pPr>
      <w:r>
        <w:rPr>
          <w:rFonts w:ascii="Arial" w:cs="Arial" w:eastAsia="Arial" w:hAnsi="Arial"/>
          <w:sz w:val="16"/>
          <w:szCs w:val="16"/>
          <w:color w:val="auto"/>
        </w:rPr>
        <w:t>On May 29, 2015, we entered into a Debt Distribution Agreement with Ladenburg Thalmann &amp; Co. through which we may offer for sale, from time to time, up to $20.0 million in aggregate principal amount of the Notes through an At-the-Market (“ATM”) offering. As of August 31, 2016, the Company sold 539,725 bonds with a principal of $13,493,125 at an average price of $25.31 for aggregate net proceeds of $13,385,766 (net of transaction costs).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456"/>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balance sheet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65" w:lineRule="exact"/>
        <w:rPr>
          <w:sz w:val="20"/>
          <w:szCs w:val="20"/>
          <w:color w:val="auto"/>
        </w:rPr>
      </w:pPr>
    </w:p>
    <w:p>
      <w:pPr>
        <w:jc w:val="both"/>
        <w:ind w:right="140" w:firstLine="456"/>
        <w:spacing w:after="0" w:line="286"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w:t>
      </w:r>
    </w:p>
    <w:p>
      <w:pPr>
        <w:spacing w:after="0" w:line="2"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55" w:lineRule="exact"/>
        <w:rPr>
          <w:sz w:val="20"/>
          <w:szCs w:val="20"/>
          <w:color w:val="auto"/>
        </w:rPr>
      </w:pPr>
    </w:p>
    <w:p>
      <w:pPr>
        <w:ind w:right="80" w:firstLine="456"/>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900" w:right="540" w:hanging="446"/>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900" w:right="200" w:hanging="446"/>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 selection of these preliminary valuations each quarter so that the valuation of each investment for which market quotes are not readily available is reviewed by the independent valuation firm at least once each fiscal year.</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900" w:right="240" w:hanging="446"/>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audit committee of our board of directors reviews and approves each preliminary valuation and Saratoga Investment Advisors and an independent valuation firm (if applicable) will supplement the preliminary valuation to reflect any comments provided by the audit committee; and</w:t>
      </w:r>
    </w:p>
    <w:p>
      <w:pPr>
        <w:spacing w:after="0" w:line="86" w:lineRule="exact"/>
        <w:rPr>
          <w:rFonts w:ascii="Arial" w:cs="Arial" w:eastAsia="Arial" w:hAnsi="Arial"/>
          <w:sz w:val="18"/>
          <w:szCs w:val="18"/>
          <w:color w:val="auto"/>
        </w:rPr>
      </w:pPr>
    </w:p>
    <w:p>
      <w:pPr>
        <w:ind w:left="900" w:right="460" w:hanging="446"/>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 analysis on expected future cash flows to determine a valuation for our investment in Saratoga CLO.</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 of premiums on investments.</w:t>
      </w:r>
    </w:p>
    <w:p>
      <w:pPr>
        <w:spacing w:after="0" w:line="17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Payment-in-Kind Interest</w:t>
      </w:r>
    </w:p>
    <w:p>
      <w:pPr>
        <w:spacing w:after="0" w:line="117" w:lineRule="exact"/>
        <w:rPr>
          <w:sz w:val="20"/>
          <w:szCs w:val="20"/>
          <w:color w:val="auto"/>
        </w:rPr>
      </w:pPr>
    </w:p>
    <w:p>
      <w:pPr>
        <w:ind w:right="200" w:firstLine="456"/>
        <w:spacing w:after="0" w:line="312" w:lineRule="auto"/>
        <w:rPr>
          <w:sz w:val="20"/>
          <w:szCs w:val="20"/>
          <w:color w:val="auto"/>
        </w:rPr>
      </w:pPr>
      <w:r>
        <w:rPr>
          <w:rFonts w:ascii="Arial" w:cs="Arial" w:eastAsia="Arial" w:hAnsi="Arial"/>
          <w:sz w:val="16"/>
          <w:szCs w:val="16"/>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80" w:firstLine="456"/>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w:t>
      </w:r>
    </w:p>
    <w:p>
      <w:pPr>
        <w:spacing w:after="0" w:line="130" w:lineRule="exact"/>
        <w:rPr>
          <w:rFonts w:ascii="Arial" w:cs="Arial" w:eastAsia="Arial" w:hAnsi="Arial"/>
          <w:sz w:val="18"/>
          <w:szCs w:val="18"/>
          <w:color w:val="auto"/>
        </w:rPr>
      </w:pPr>
    </w:p>
    <w:p>
      <w:pPr>
        <w:ind w:left="900" w:right="160" w:hanging="446"/>
        <w:spacing w:after="0" w:line="308" w:lineRule="auto"/>
        <w:tabs>
          <w:tab w:leader="none" w:pos="90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51" w:lineRule="exact"/>
        <w:rPr>
          <w:rFonts w:ascii="Arial" w:cs="Arial" w:eastAsia="Arial" w:hAnsi="Arial"/>
          <w:sz w:val="17"/>
          <w:szCs w:val="17"/>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6"/>
          <w:szCs w:val="16"/>
          <w:color w:val="auto"/>
        </w:rPr>
      </w:pPr>
      <w:r>
        <w:rPr>
          <w:rFonts w:ascii="Arial" w:cs="Arial" w:eastAsia="Arial" w:hAnsi="Arial"/>
          <w:sz w:val="16"/>
          <w:szCs w:val="16"/>
          <w:color w:val="auto"/>
        </w:rPr>
        <w:t>fees payable to third parties, including agents, consultants or other advisers, relating to, or associated with, evaluating and making investments;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900" w:right="28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Securities and Exchange Commission (“SEC”) and the SBA);</w:t>
      </w:r>
    </w:p>
    <w:p>
      <w:pPr>
        <w:spacing w:after="0" w:line="75"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900" w:right="60" w:hanging="446"/>
        <w:spacing w:after="0" w:line="277"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900" w:right="400" w:hanging="446"/>
        <w:spacing w:after="0" w:line="259"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an incentive fee.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900" w:hanging="446"/>
        <w:spacing w:after="0" w:line="255"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98" w:lineRule="exact"/>
        <w:rPr>
          <w:rFonts w:ascii="Arial" w:cs="Arial" w:eastAsia="Arial" w:hAnsi="Arial"/>
          <w:sz w:val="18"/>
          <w:szCs w:val="18"/>
          <w:color w:val="auto"/>
        </w:rPr>
      </w:pPr>
    </w:p>
    <w:p>
      <w:pPr>
        <w:ind w:left="900" w:right="300" w:hanging="446"/>
        <w:spacing w:after="0" w:line="264"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We deferred cash payment of any incentive fee otherwise earned by our former investment adviser if, during the then most recent four full fiscal</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Quarterly Report.</w:t>
      </w:r>
    </w:p>
    <w:p>
      <w:pPr>
        <w:spacing w:after="0" w:line="211" w:lineRule="exact"/>
        <w:rPr>
          <w:sz w:val="20"/>
          <w:szCs w:val="20"/>
          <w:color w:val="auto"/>
        </w:rPr>
      </w:pPr>
    </w:p>
    <w:p>
      <w:pPr>
        <w:jc w:val="both"/>
        <w:ind w:right="80" w:firstLine="456"/>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900" w:right="100" w:hanging="446"/>
        <w:spacing w:after="0" w:line="273" w:lineRule="auto"/>
        <w:tabs>
          <w:tab w:leader="none" w:pos="9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83" w:lineRule="exact"/>
        <w:rPr>
          <w:rFonts w:ascii="Arial" w:cs="Arial" w:eastAsia="Arial" w:hAnsi="Arial"/>
          <w:sz w:val="17"/>
          <w:szCs w:val="17"/>
          <w:color w:val="auto"/>
        </w:rPr>
      </w:pPr>
    </w:p>
    <w:p>
      <w:pPr>
        <w:ind w:left="900" w:right="140" w:hanging="446"/>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900" w:right="200" w:hanging="446"/>
        <w:spacing w:after="0" w:line="277"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40" w:firstLine="456"/>
        <w:spacing w:after="0" w:line="279" w:lineRule="auto"/>
        <w:rPr>
          <w:sz w:val="20"/>
          <w:szCs w:val="20"/>
          <w:color w:val="auto"/>
        </w:rPr>
      </w:pPr>
      <w:r>
        <w:rPr>
          <w:rFonts w:ascii="Arial" w:cs="Arial" w:eastAsia="Arial" w:hAnsi="Arial"/>
          <w:sz w:val="17"/>
          <w:szCs w:val="17"/>
          <w:color w:val="auto"/>
        </w:rPr>
        <w:t xml:space="preserve">In February 2016, the FASB issued Accounting Standards Update (“ASU”) 2016-02, </w:t>
      </w:r>
      <w:r>
        <w:rPr>
          <w:rFonts w:ascii="Arial" w:cs="Arial" w:eastAsia="Arial" w:hAnsi="Arial"/>
          <w:sz w:val="17"/>
          <w:szCs w:val="17"/>
          <w:i w:val="1"/>
          <w:iCs w:val="1"/>
          <w:color w:val="auto"/>
        </w:rPr>
        <w:t>Amendments to the Leases</w:t>
      </w:r>
      <w:r>
        <w:rPr>
          <w:rFonts w:ascii="Arial" w:cs="Arial" w:eastAsia="Arial" w:hAnsi="Arial"/>
          <w:sz w:val="17"/>
          <w:szCs w:val="17"/>
          <w:color w:val="auto"/>
        </w:rPr>
        <w:t xml:space="preserve"> (“ASC Topic 842”), which will require for all operating leases the recognition of a right-of-use asset and a lease liability, in the statement of financial position. The lease cost will be allocated over the lease term on a straight-line basis. This guidance is effective for annual and interim periods beginning after December 15, 2018. Management is currently evaluating the impact these changes will have on the Company’s consolidated financial statements and disclosures.</w:t>
      </w:r>
    </w:p>
    <w:p>
      <w:pPr>
        <w:spacing w:after="0" w:line="17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 xml:space="preserve">In January 2016, the FASB issued ASU 2016-01, </w:t>
      </w:r>
      <w:r>
        <w:rPr>
          <w:rFonts w:ascii="Arial" w:cs="Arial" w:eastAsia="Arial" w:hAnsi="Arial"/>
          <w:sz w:val="16"/>
          <w:szCs w:val="16"/>
          <w:i w:val="1"/>
          <w:iCs w:val="1"/>
          <w:color w:val="auto"/>
        </w:rPr>
        <w:t>Financial Instruments — Overall (Subtopic 825-10): Recognition and Measurement of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Assets and Financial Liabilities </w:t>
      </w:r>
      <w:r>
        <w:rPr>
          <w:rFonts w:ascii="Arial" w:cs="Arial" w:eastAsia="Arial" w:hAnsi="Arial"/>
          <w:sz w:val="16"/>
          <w:szCs w:val="16"/>
          <w:color w:val="auto"/>
        </w:rPr>
        <w:t>(“ASU 2016-01”). ASU 2016-01 retains many current requirements for the classification and measurement of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instruments; however, it significantly revises an entity’s accounting related to (1) the classification and measurement of investments in equity securities and</w:t>
      </w:r>
    </w:p>
    <w:p>
      <w:pPr>
        <w:ind w:right="40" w:firstLine="8"/>
        <w:spacing w:after="0" w:line="254"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presentation of certain fair value changes for financial liabilities measured at fair value. ASU 2016-01 also amends certain disclosure requirements associated with the fair value of financial instruments. This guidance is effective for annual and interim periods beginning after December 15, 2017, and early adoption is not permitted for public business entities. Management is currently evaluating the impact the adoption of this standard has on our consolidated financial statements and disclosures.</w:t>
      </w:r>
    </w:p>
    <w:p>
      <w:pPr>
        <w:spacing w:after="0" w:line="190"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In August 2014, the FASB issued new accounting guidance that requires management to assess an entity’s ability to continue as a going concern by incorporating and expanding upon certain principles that are currently in U.S. auditing standards. The amendments provide a definition of the term “substantial doubt” and include principles for considering the mitigating effect of management’s plans. The amendments also require an evaluation every reporting period, including interim periods for a period of one year after the date that the financial statements are issued (or available to be issued), and certain disclosures when substantial doubt is alleviated or not alleviated. The amendments in this update are effective for reporting periods ending after December 15, 2016. Management does not believe these changes will have a material impact on the Company’s consolidated financial statements and disclosures.</w:t>
      </w:r>
    </w:p>
    <w:p>
      <w:pPr>
        <w:spacing w:after="0" w:line="165" w:lineRule="exact"/>
        <w:rPr>
          <w:sz w:val="20"/>
          <w:szCs w:val="20"/>
          <w:color w:val="auto"/>
        </w:rPr>
      </w:pPr>
    </w:p>
    <w:p>
      <w:pPr>
        <w:ind w:right="240" w:firstLine="456"/>
        <w:spacing w:after="0" w:line="276" w:lineRule="auto"/>
        <w:rPr>
          <w:sz w:val="20"/>
          <w:szCs w:val="20"/>
          <w:color w:val="auto"/>
        </w:rPr>
      </w:pPr>
      <w:r>
        <w:rPr>
          <w:rFonts w:ascii="Arial" w:cs="Arial" w:eastAsia="Arial" w:hAnsi="Arial"/>
          <w:sz w:val="17"/>
          <w:szCs w:val="17"/>
          <w:color w:val="auto"/>
        </w:rPr>
        <w:t xml:space="preserve">In May 2014, the FASB issued ASU 2014-09, </w:t>
      </w:r>
      <w:r>
        <w:rPr>
          <w:rFonts w:ascii="Arial" w:cs="Arial" w:eastAsia="Arial" w:hAnsi="Arial"/>
          <w:sz w:val="17"/>
          <w:szCs w:val="17"/>
          <w:i w:val="1"/>
          <w:iCs w:val="1"/>
          <w:color w:val="auto"/>
        </w:rPr>
        <w:t>Revenue from Contracts with Customers (Topic 606)</w:t>
      </w:r>
      <w:r>
        <w:rPr>
          <w:rFonts w:ascii="Arial" w:cs="Arial" w:eastAsia="Arial" w:hAnsi="Arial"/>
          <w:sz w:val="17"/>
          <w:szCs w:val="17"/>
          <w:color w:val="auto"/>
        </w:rPr>
        <w:t>, which supersedes the revenue recognition requirements in Revenue Recognition (Topic 605). Under the new guidance, an entity should recognize revenue to depict the transfer of promised goods or services to customers in an amount that reflects the consideration to which the entity expects to be entitled in exchange for those goods or services. In May 2016, ASU 2016-12 amended ASU 2014-09 and deferred the effective period to December 15, 2017. Management is currently evaluating the impact these changes will have on the Company’s consolidated financial statements and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At August 31,</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At February 29,</w:t>
            </w:r>
          </w:p>
        </w:tc>
      </w:tr>
      <w:tr>
        <w:trPr>
          <w:trHeight w:val="171"/>
        </w:trPr>
        <w:tc>
          <w:tcPr>
            <w:tcW w:w="48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9"/>
              </w:rPr>
              <w:t>2016</w:t>
            </w:r>
          </w:p>
        </w:tc>
        <w:tc>
          <w:tcPr>
            <w:tcW w:w="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14"/>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Pr>
          <w:p>
            <w:pPr>
              <w:spacing w:after="0"/>
              <w:rPr>
                <w:sz w:val="14"/>
                <w:szCs w:val="14"/>
                <w:color w:val="auto"/>
              </w:rPr>
            </w:pPr>
          </w:p>
        </w:tc>
      </w:tr>
      <w:tr>
        <w:trPr>
          <w:trHeight w:val="142"/>
        </w:trPr>
        <w:tc>
          <w:tcPr>
            <w:tcW w:w="48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tcPr>
          <w:p>
            <w:pPr>
              <w:jc w:val="center"/>
              <w:ind w:right="54"/>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14"/>
              <w:spacing w:after="0" w:line="142" w:lineRule="exact"/>
              <w:rPr>
                <w:sz w:val="20"/>
                <w:szCs w:val="20"/>
                <w:color w:val="auto"/>
              </w:rPr>
            </w:pPr>
            <w:r>
              <w:rPr>
                <w:rFonts w:ascii="Arial" w:cs="Arial" w:eastAsia="Arial" w:hAnsi="Arial"/>
                <w:sz w:val="14"/>
                <w:szCs w:val="14"/>
                <w:b w:val="1"/>
                <w:bCs w:val="1"/>
                <w:color w:val="auto"/>
                <w:w w:val="95"/>
              </w:rPr>
              <w:t>($ in millions)</w:t>
            </w:r>
          </w:p>
        </w:tc>
        <w:tc>
          <w:tcPr>
            <w:tcW w:w="100" w:type="dxa"/>
            <w:vAlign w:val="bottom"/>
          </w:tcPr>
          <w:p>
            <w:pPr>
              <w:spacing w:after="0"/>
              <w:rPr>
                <w:sz w:val="12"/>
                <w:szCs w:val="12"/>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3.5yrs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3.8yrs</w:t>
            </w: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46.3(18.5)%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97.9(40.0)%</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480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w w:val="94"/>
              </w:rPr>
              <w:t>203.5(81.5)%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w w:val="98"/>
              </w:rPr>
              <w:t>146.8(60.0)%</w:t>
            </w:r>
          </w:p>
        </w:tc>
        <w:tc>
          <w:tcPr>
            <w:tcW w:w="100" w:type="dxa"/>
            <w:vAlign w:val="bottom"/>
          </w:tcPr>
          <w:p>
            <w:pPr>
              <w:spacing w:after="0"/>
              <w:rPr>
                <w:sz w:val="18"/>
                <w:szCs w:val="18"/>
                <w:color w:val="auto"/>
              </w:rPr>
            </w:pPr>
          </w:p>
        </w:tc>
      </w:tr>
      <w:tr>
        <w:trPr>
          <w:trHeight w:val="216"/>
        </w:trPr>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equity interests.</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three months ended August 31, 2016, we invested $55.7 million in new or existing portfolio companies and had $50.3 million in aggregate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amount of exits and repayments resulting in net investments of $5.4 million for the period. During the three months ended August 31, 2015, we invested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$18.9 million in new or existing portfolio companies and had $27.4 million in aggregate amount of exits and repayments resulting in net repayments of $8.5</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million for the period.</w:t>
      </w:r>
    </w:p>
    <w:p>
      <w:pPr>
        <w:spacing w:after="0" w:line="21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During the six months ended August 31, 2016, we invested $55.7 million in new or existing portfolio companies and had $70.9 million in aggregate amount of exits and repayments resulting in net repayments of $15.2 million for the period. During the six months ended August 31, 2015, we invested $42.1 million in new or existing portfolio companies and had $34.8 million in aggregate amount of exits and repayments resulting in net investments of $7.3 million for the period.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portfolio composition at August 31, 2016 and February 29, 2016 at fair value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00" w:type="dxa"/>
            <w:vAlign w:val="bottom"/>
          </w:tcPr>
          <w:p>
            <w:pPr>
              <w:spacing w:after="0"/>
              <w:rPr>
                <w:sz w:val="14"/>
                <w:szCs w:val="14"/>
                <w:color w:val="auto"/>
              </w:rPr>
            </w:pPr>
          </w:p>
        </w:tc>
        <w:tc>
          <w:tcPr>
            <w:tcW w:w="2640" w:type="dxa"/>
            <w:vAlign w:val="bottom"/>
            <w:gridSpan w:val="4"/>
          </w:tcPr>
          <w:p>
            <w:pPr>
              <w:jc w:val="right"/>
              <w:ind w:right="1080"/>
              <w:spacing w:after="0"/>
              <w:rPr>
                <w:sz w:val="20"/>
                <w:szCs w:val="20"/>
                <w:color w:val="auto"/>
              </w:rPr>
            </w:pPr>
            <w:r>
              <w:rPr>
                <w:rFonts w:ascii="Arial" w:cs="Arial" w:eastAsia="Arial" w:hAnsi="Arial"/>
                <w:sz w:val="14"/>
                <w:szCs w:val="14"/>
                <w:b w:val="1"/>
                <w:bCs w:val="1"/>
                <w:color w:val="auto"/>
              </w:rPr>
              <w:t>At August 31, 2016</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5700" w:type="dxa"/>
            <w:vAlign w:val="bottom"/>
          </w:tcPr>
          <w:p>
            <w:pPr>
              <w:spacing w:after="0"/>
              <w:rPr>
                <w:sz w:val="10"/>
                <w:szCs w:val="10"/>
                <w:color w:val="auto"/>
              </w:rPr>
            </w:pPr>
          </w:p>
        </w:tc>
        <w:tc>
          <w:tcPr>
            <w:tcW w:w="138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87"/>
              </w:rPr>
              <w:t>Percentage</w:t>
            </w:r>
          </w:p>
        </w:tc>
        <w:tc>
          <w:tcPr>
            <w:tcW w:w="5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9"/>
              </w:rPr>
              <w:t>Weighted</w:t>
            </w:r>
          </w:p>
        </w:tc>
        <w:tc>
          <w:tcPr>
            <w:tcW w:w="68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80" w:type="dxa"/>
            <w:vAlign w:val="bottom"/>
            <w:gridSpan w:val="2"/>
            <w:vMerge w:val="continue"/>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00" w:type="dxa"/>
            <w:vAlign w:val="bottom"/>
          </w:tcPr>
          <w:p>
            <w:pPr>
              <w:spacing w:after="0"/>
              <w:rPr>
                <w:sz w:val="12"/>
                <w:szCs w:val="12"/>
                <w:color w:val="auto"/>
              </w:rPr>
            </w:pPr>
          </w:p>
        </w:tc>
        <w:tc>
          <w:tcPr>
            <w:tcW w:w="138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of Total</w:t>
            </w: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570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8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38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3.5%</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5.3%</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4.2%</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First lien term loans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56.2</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10.6</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50.9</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3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31.9</w:t>
            </w: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11.5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31.1</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rPr>
              <w:t>4.4</w:t>
            </w:r>
          </w:p>
        </w:tc>
        <w:tc>
          <w:tcPr>
            <w:tcW w:w="1260" w:type="dxa"/>
            <w:vAlign w:val="bottom"/>
            <w:gridSpan w:val="2"/>
          </w:tcPr>
          <w:p>
            <w:pPr>
              <w:jc w:val="right"/>
              <w:ind w:right="680"/>
              <w:spacing w:after="0"/>
              <w:rPr>
                <w:sz w:val="20"/>
                <w:szCs w:val="20"/>
                <w:color w:val="auto"/>
              </w:rPr>
            </w:pPr>
            <w:r>
              <w:rPr>
                <w:rFonts w:ascii="Arial" w:cs="Arial" w:eastAsia="Arial" w:hAnsi="Arial"/>
                <w:sz w:val="18"/>
                <w:szCs w:val="18"/>
                <w:color w:val="auto"/>
              </w:rPr>
              <w:t>19.4</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4.5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16"/>
        </w:trPr>
        <w:tc>
          <w:tcPr>
            <w:tcW w:w="570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N/A</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9.3</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70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70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00" w:type="dxa"/>
            <w:vAlign w:val="bottom"/>
            <w:vMerge w:val="continue"/>
          </w:tcPr>
          <w:p>
            <w:pPr>
              <w:spacing w:after="0"/>
              <w:rPr>
                <w:sz w:val="19"/>
                <w:szCs w:val="19"/>
                <w:color w:val="auto"/>
              </w:rPr>
            </w:pPr>
          </w:p>
        </w:tc>
        <w:tc>
          <w:tcPr>
            <w:tcW w:w="1380" w:type="dxa"/>
            <w:vAlign w:val="bottom"/>
            <w:gridSpan w:val="2"/>
          </w:tcPr>
          <w:p>
            <w:pPr>
              <w:jc w:val="right"/>
              <w:ind w:right="54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11.1%</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August 31, 2016 and February 29, 2016 was composed of $299.5 million and $302.7 million, respectively, in aggregate principal amount of predominantly senior secured first lien term loans. This investment is subject to unique risks. (See “Risk Factors—Our investment in Saratoga CLO constitutes a leveraged investment in a portfolio of predominantly senior secured first lien term loans and is subject to additional risks and volatility” in our Annual Report on Form 10-K for the fiscal year ended February 29, 2016). We do not consolidate the Saratoga CLO portfolio in our consolidated financial statements. Accordingly, the metrics below do not include the underlying Saratoga CLO portfolio investments. However, at August 31, 2016, $289.5 million or 99.5% of the Saratoga CLO portfolio investments in terms of market value had a CMR (as defined below) color rating of green or yellow and there were no Saratoga CLO portfolio investments in default. At February 29, 2016, $283.3 million or 99.4% of the Saratoga CLO portfolio investments in terms of market value had a CMR (as defined below) color rating of green or yellow and one Saratoga CLO portfolio investment was in default with a fair value of $0.8 million.</w:t>
      </w:r>
    </w:p>
    <w:p>
      <w:pPr>
        <w:spacing w:after="0" w:line="182"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our investments at August 31, 2016 and February 29, 2016 was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31,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$ 249,808</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91.6%</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$ 240,623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84.7%</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50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4,058</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22,988</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39,307</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$ 272,804</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$ 283,996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240" w:hanging="5612"/>
        <w:spacing w:after="0" w:line="449" w:lineRule="auto"/>
        <w:tabs>
          <w:tab w:leader="none" w:pos="45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40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CMR distribution of Saratoga CLO investments at August 31, 2016 and February 29, 2016 was as follows: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3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31,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500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4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1200" w:type="dxa"/>
            <w:vAlign w:val="bottom"/>
            <w:gridSpan w:val="3"/>
            <w:vMerge w:val="restart"/>
          </w:tcPr>
          <w:p>
            <w:pPr>
              <w:ind w:left="460"/>
              <w:spacing w:after="0"/>
              <w:rPr>
                <w:sz w:val="20"/>
                <w:szCs w:val="20"/>
                <w:color w:val="auto"/>
              </w:rPr>
            </w:pPr>
            <w:r>
              <w:rPr>
                <w:rFonts w:ascii="Arial" w:cs="Arial" w:eastAsia="Arial" w:hAnsi="Arial"/>
                <w:sz w:val="14"/>
                <w:szCs w:val="14"/>
                <w:b w:val="1"/>
                <w:bCs w:val="1"/>
                <w:color w:val="auto"/>
                <w:w w:val="90"/>
              </w:rPr>
              <w:t>Color Score</w:t>
            </w:r>
          </w:p>
        </w:tc>
        <w:tc>
          <w:tcPr>
            <w:tcW w:w="500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1200" w:type="dxa"/>
            <w:vAlign w:val="bottom"/>
            <w:gridSpan w:val="3"/>
            <w:vMerge w:val="continue"/>
          </w:tcPr>
          <w:p>
            <w:pPr>
              <w:spacing w:after="0"/>
              <w:rPr>
                <w:sz w:val="14"/>
                <w:szCs w:val="14"/>
                <w:color w:val="auto"/>
              </w:rPr>
            </w:pPr>
          </w:p>
        </w:tc>
        <w:tc>
          <w:tcPr>
            <w:tcW w:w="500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$ 256,542</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88.2%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$ 251,570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Yellow</w:t>
            </w:r>
          </w:p>
        </w:tc>
        <w:tc>
          <w:tcPr>
            <w:tcW w:w="6280" w:type="dxa"/>
            <w:vAlign w:val="bottom"/>
            <w:gridSpan w:val="3"/>
          </w:tcPr>
          <w:p>
            <w:pPr>
              <w:jc w:val="right"/>
              <w:ind w:right="540"/>
              <w:spacing w:after="0"/>
              <w:rPr>
                <w:sz w:val="20"/>
                <w:szCs w:val="20"/>
                <w:color w:val="auto"/>
              </w:rPr>
            </w:pPr>
            <w:r>
              <w:rPr>
                <w:rFonts w:ascii="Arial" w:cs="Arial" w:eastAsia="Arial" w:hAnsi="Arial"/>
                <w:sz w:val="18"/>
                <w:szCs w:val="18"/>
                <w:color w:val="auto"/>
              </w:rPr>
              <w:t>32,939</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11.3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31,752</w:t>
            </w:r>
          </w:p>
        </w:tc>
        <w:tc>
          <w:tcPr>
            <w:tcW w:w="700" w:type="dxa"/>
            <w:vAlign w:val="bottom"/>
          </w:tcPr>
          <w:p>
            <w:pPr>
              <w:jc w:val="right"/>
              <w:spacing w:after="0"/>
              <w:rPr>
                <w:sz w:val="20"/>
                <w:szCs w:val="20"/>
                <w:color w:val="auto"/>
              </w:rPr>
            </w:pPr>
            <w:r>
              <w:rPr>
                <w:rFonts w:ascii="Arial" w:cs="Arial" w:eastAsia="Arial" w:hAnsi="Arial"/>
                <w:sz w:val="18"/>
                <w:szCs w:val="18"/>
                <w:color w:val="auto"/>
              </w:rPr>
              <w:t>11.1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1,463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1,331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740" w:type="dxa"/>
            <w:vAlign w:val="bottom"/>
            <w:gridSpan w:val="2"/>
          </w:tcPr>
          <w:p>
            <w:pPr>
              <w:spacing w:after="0"/>
              <w:rPr>
                <w:sz w:val="20"/>
                <w:szCs w:val="20"/>
                <w:color w:val="auto"/>
              </w:rPr>
            </w:pPr>
            <w:r>
              <w:rPr>
                <w:rFonts w:ascii="Arial" w:cs="Arial" w:eastAsia="Arial" w:hAnsi="Arial"/>
                <w:sz w:val="18"/>
                <w:szCs w:val="18"/>
                <w:color w:val="auto"/>
              </w:rPr>
              <w:t>N/A(1)</w:t>
            </w:r>
          </w:p>
        </w:tc>
        <w:tc>
          <w:tcPr>
            <w:tcW w:w="5000" w:type="dxa"/>
            <w:vAlign w:val="bottom"/>
          </w:tcPr>
          <w:p>
            <w:pPr>
              <w:spacing w:after="0"/>
              <w:rPr>
                <w:sz w:val="18"/>
                <w:szCs w:val="18"/>
                <w:color w:val="auto"/>
              </w:rPr>
            </w:pPr>
          </w:p>
        </w:tc>
        <w:tc>
          <w:tcPr>
            <w:tcW w:w="1280" w:type="dxa"/>
            <w:vAlign w:val="bottom"/>
            <w:gridSpan w:val="2"/>
          </w:tcPr>
          <w:p>
            <w:pPr>
              <w:jc w:val="right"/>
              <w:ind w:right="540"/>
              <w:spacing w:after="0"/>
              <w:rPr>
                <w:sz w:val="20"/>
                <w:szCs w:val="20"/>
                <w:color w:val="auto"/>
              </w:rPr>
            </w:pPr>
            <w:r>
              <w:rPr>
                <w:rFonts w:ascii="Arial" w:cs="Arial" w:eastAsia="Arial" w:hAnsi="Arial"/>
                <w:sz w:val="18"/>
                <w:szCs w:val="18"/>
                <w:color w:val="auto"/>
              </w:rPr>
              <w:t>13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0.0</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192</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628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$ 290,957</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$ 284,845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Comprised of Saratoga CLO’s equity interests.</w:t>
      </w:r>
    </w:p>
    <w:p>
      <w:pPr>
        <w:spacing w:after="0" w:line="225" w:lineRule="exact"/>
        <w:rPr>
          <w:sz w:val="20"/>
          <w:szCs w:val="20"/>
          <w:color w:val="auto"/>
        </w:rPr>
      </w:pPr>
    </w:p>
    <w:p>
      <w:pPr>
        <w:ind w:left="3640"/>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portfolio composition by industry grouping at fair value at August 31, 2016 and February 29,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At August 31, 2016</w:t>
            </w:r>
          </w:p>
        </w:tc>
        <w:tc>
          <w:tcPr>
            <w:tcW w:w="22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tcBorders>
              <w:top w:val="single" w:sz="8" w:color="auto"/>
            </w:tcBorders>
            <w:gridSpan w:val="3"/>
          </w:tcPr>
          <w:p>
            <w:pPr>
              <w:jc w:val="center"/>
              <w:ind w:right="540"/>
              <w:spacing w:after="0" w:line="119" w:lineRule="exact"/>
              <w:rPr>
                <w:sz w:val="20"/>
                <w:szCs w:val="20"/>
                <w:color w:val="auto"/>
              </w:rPr>
            </w:pPr>
            <w:r>
              <w:rPr>
                <w:rFonts w:ascii="Arial" w:cs="Arial" w:eastAsia="Arial" w:hAnsi="Arial"/>
                <w:sz w:val="13"/>
                <w:szCs w:val="13"/>
                <w:b w:val="1"/>
                <w:bCs w:val="1"/>
                <w:color w:val="auto"/>
                <w:w w:val="94"/>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2"/>
          </w:tcPr>
          <w:p>
            <w:pPr>
              <w:jc w:val="center"/>
              <w:ind w:right="500"/>
              <w:spacing w:after="0" w:line="119" w:lineRule="exact"/>
              <w:rPr>
                <w:sz w:val="20"/>
                <w:szCs w:val="20"/>
                <w:color w:val="auto"/>
              </w:rPr>
            </w:pPr>
            <w:r>
              <w:rPr>
                <w:rFonts w:ascii="Arial" w:cs="Arial" w:eastAsia="Arial" w:hAnsi="Arial"/>
                <w:sz w:val="13"/>
                <w:szCs w:val="13"/>
                <w:b w:val="1"/>
                <w:bCs w:val="1"/>
                <w:color w:val="auto"/>
                <w:w w:val="97"/>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60" w:type="dxa"/>
            <w:vAlign w:val="bottom"/>
            <w:gridSpan w:val="3"/>
          </w:tcPr>
          <w:p>
            <w:pPr>
              <w:jc w:val="center"/>
              <w:ind w:right="54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of Total</w:t>
            </w:r>
          </w:p>
        </w:tc>
        <w:tc>
          <w:tcPr>
            <w:tcW w:w="220" w:type="dxa"/>
            <w:vAlign w:val="bottom"/>
          </w:tcPr>
          <w:p>
            <w:pPr>
              <w:spacing w:after="0"/>
              <w:rPr>
                <w:sz w:val="12"/>
                <w:szCs w:val="12"/>
                <w:color w:val="auto"/>
              </w:rPr>
            </w:pPr>
          </w:p>
        </w:tc>
        <w:tc>
          <w:tcPr>
            <w:tcW w:w="128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gridSpan w:val="3"/>
          </w:tcPr>
          <w:p>
            <w:pPr>
              <w:jc w:val="center"/>
              <w:ind w:right="54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5"/>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$ 132,709</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48.6%</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$ 105,976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28,249</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10.4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36,905</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26,896</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43,109</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Real Estate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21,459</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7.9</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9,537</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18,660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6.8</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16,574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Structured Finance Securities (1)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11,917</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12,828</w:t>
            </w:r>
          </w:p>
        </w:tc>
        <w:tc>
          <w:tcPr>
            <w:tcW w:w="70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10,942</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10,694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9,277</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3.4</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9,131</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Metals</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8,814</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3.2</w:t>
            </w:r>
          </w:p>
        </w:tc>
        <w:tc>
          <w:tcPr>
            <w:tcW w:w="150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10,526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2,000</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0.7</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6,367</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997</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0.4</w:t>
            </w: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tcPr>
          <w:p>
            <w:pPr>
              <w:spacing w:after="0"/>
              <w:rPr>
                <w:sz w:val="20"/>
                <w:szCs w:val="20"/>
                <w:color w:val="auto"/>
              </w:rPr>
            </w:pPr>
            <w:r>
              <w:rPr>
                <w:rFonts w:ascii="Arial" w:cs="Arial" w:eastAsia="Arial" w:hAnsi="Arial"/>
                <w:sz w:val="18"/>
                <w:szCs w:val="18"/>
                <w:color w:val="auto"/>
              </w:rPr>
              <w:t>Consumer Products</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884</w:t>
            </w:r>
          </w:p>
        </w:tc>
        <w:tc>
          <w:tcPr>
            <w:tcW w:w="520" w:type="dxa"/>
            <w:vAlign w:val="bottom"/>
          </w:tcPr>
          <w:p>
            <w:pPr>
              <w:spacing w:after="0"/>
              <w:rPr>
                <w:sz w:val="18"/>
                <w:szCs w:val="18"/>
                <w:color w:val="auto"/>
              </w:rPr>
            </w:pP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0.3</w:t>
            </w:r>
          </w:p>
        </w:tc>
        <w:tc>
          <w:tcPr>
            <w:tcW w:w="1500" w:type="dxa"/>
            <w:vAlign w:val="bottom"/>
            <w:gridSpan w:val="3"/>
          </w:tcPr>
          <w:p>
            <w:pPr>
              <w:jc w:val="right"/>
              <w:ind w:right="520"/>
              <w:spacing w:after="0"/>
              <w:rPr>
                <w:sz w:val="20"/>
                <w:szCs w:val="20"/>
                <w:color w:val="auto"/>
              </w:rPr>
            </w:pPr>
            <w:r>
              <w:rPr>
                <w:rFonts w:ascii="Arial" w:cs="Arial" w:eastAsia="Arial" w:hAnsi="Arial"/>
                <w:sz w:val="18"/>
                <w:szCs w:val="18"/>
                <w:color w:val="auto"/>
              </w:rPr>
              <w:t>7,642</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Automotive Aftermarket</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540" w:type="dxa"/>
            <w:vAlign w:val="bottom"/>
            <w:gridSpan w:val="2"/>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14,707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0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200" w:type="dxa"/>
            <w:vAlign w:val="bottom"/>
            <w:gridSpan w:val="3"/>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$ 272,804</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2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$ 283,996</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5160" w:hanging="5612"/>
        <w:spacing w:after="0" w:line="536" w:lineRule="auto"/>
        <w:tabs>
          <w:tab w:leader="none" w:pos="45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41</w:t>
      </w:r>
    </w:p>
    <w:p>
      <w:pPr>
        <w:sectPr>
          <w:pgSz w:w="11900" w:h="16838" w:orient="portrait"/>
          <w:cols w:equalWidth="0" w:num="1">
            <w:col w:w="10960"/>
          </w:cols>
          <w:pgMar w:left="240" w:top="459" w:right="69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Saratoga CLO’s portfolio composition by industry grouping at fair value at August 31, 2016 and February 29, 2016:</w:t>
      </w:r>
    </w:p>
    <w:p>
      <w:pPr>
        <w:spacing w:after="0" w:line="267"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At August 31, 2016</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1780" w:type="dxa"/>
            <w:vAlign w:val="bottom"/>
            <w:gridSpan w:val="2"/>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40,272</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13.7%</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37,308</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Healthcare &amp; Pharmaceuticals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30,252</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28,339</w:t>
            </w:r>
          </w:p>
        </w:tc>
        <w:tc>
          <w:tcPr>
            <w:tcW w:w="700" w:type="dxa"/>
            <w:vAlign w:val="bottom"/>
          </w:tcPr>
          <w:p>
            <w:pPr>
              <w:jc w:val="right"/>
              <w:spacing w:after="0"/>
              <w:rPr>
                <w:sz w:val="20"/>
                <w:szCs w:val="20"/>
                <w:color w:val="auto"/>
              </w:rPr>
            </w:pPr>
            <w:r>
              <w:rPr>
                <w:rFonts w:ascii="Arial" w:cs="Arial" w:eastAsia="Arial" w:hAnsi="Arial"/>
                <w:sz w:val="18"/>
                <w:szCs w:val="18"/>
                <w:color w:val="auto"/>
              </w:rPr>
              <w:t>9.9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25,190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High Tech Industries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14,919</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9,451</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12,987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12,580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Conglomerate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12,676</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11,770</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Banking, Finance, Insurance &amp; Real Estate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12,553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10,175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12,211</w:t>
            </w:r>
          </w:p>
        </w:tc>
        <w:tc>
          <w:tcPr>
            <w:tcW w:w="700" w:type="dxa"/>
            <w:vAlign w:val="bottom"/>
          </w:tcPr>
          <w:p>
            <w:pPr>
              <w:jc w:val="right"/>
              <w:spacing w:after="0"/>
              <w:rPr>
                <w:sz w:val="20"/>
                <w:szCs w:val="20"/>
                <w:color w:val="auto"/>
              </w:rPr>
            </w:pPr>
            <w:r>
              <w:rPr>
                <w:rFonts w:ascii="Arial" w:cs="Arial" w:eastAsia="Arial" w:hAnsi="Arial"/>
                <w:sz w:val="18"/>
                <w:szCs w:val="18"/>
                <w:color w:val="auto"/>
              </w:rPr>
              <w:t>4.2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18,898</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11,675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11,777</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Media</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10,843</w:t>
            </w: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4,768</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9,026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8,760</w:t>
            </w:r>
          </w:p>
        </w:tc>
        <w:tc>
          <w:tcPr>
            <w:tcW w:w="700" w:type="dxa"/>
            <w:vAlign w:val="bottom"/>
          </w:tcPr>
          <w:p>
            <w:pPr>
              <w:jc w:val="right"/>
              <w:spacing w:after="0"/>
              <w:rPr>
                <w:sz w:val="20"/>
                <w:szCs w:val="20"/>
                <w:color w:val="auto"/>
              </w:rPr>
            </w:pPr>
            <w:r>
              <w:rPr>
                <w:rFonts w:ascii="Arial" w:cs="Arial" w:eastAsia="Arial" w:hAnsi="Arial"/>
                <w:sz w:val="18"/>
                <w:szCs w:val="18"/>
                <w:color w:val="auto"/>
              </w:rPr>
              <w:t>3.0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13,559</w:t>
            </w: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Leisure Goods/Activities/Movies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8,258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8,009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Electronics/Electric</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7,437</w:t>
            </w:r>
          </w:p>
        </w:tc>
        <w:tc>
          <w:tcPr>
            <w:tcW w:w="700" w:type="dxa"/>
            <w:vAlign w:val="bottom"/>
          </w:tcPr>
          <w:p>
            <w:pPr>
              <w:jc w:val="right"/>
              <w:spacing w:after="0"/>
              <w:rPr>
                <w:sz w:val="20"/>
                <w:szCs w:val="20"/>
                <w:color w:val="auto"/>
              </w:rPr>
            </w:pPr>
            <w:r>
              <w:rPr>
                <w:rFonts w:ascii="Arial" w:cs="Arial" w:eastAsia="Arial" w:hAnsi="Arial"/>
                <w:sz w:val="18"/>
                <w:szCs w:val="18"/>
                <w:color w:val="auto"/>
              </w:rPr>
              <w:t>2.6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9,342</w:t>
            </w:r>
          </w:p>
        </w:tc>
        <w:tc>
          <w:tcPr>
            <w:tcW w:w="7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6,161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7,774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Food Services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5,962</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5,944</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5,270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4,168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Insurance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5,031</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4,712</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Publishing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4,994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3,029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Automotive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4,984</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5,470</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Utilities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4,339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6,975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Lodging and Casinos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4,270</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4,958</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Capital Equipment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3,995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Food Products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3,143</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5,694</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Drugs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2,957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2,873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Food/Drug Retailers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2,824</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2,737</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Hotel, Gaming and Leisure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Cable and Satellite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2,624</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3,557</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&amp; Tobacco</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2,498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984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Brokers/Dealers/Investment Houses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2,463</w:t>
            </w: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2,618</w:t>
            </w:r>
          </w:p>
        </w:tc>
        <w:tc>
          <w:tcPr>
            <w:tcW w:w="700" w:type="dxa"/>
            <w:vAlign w:val="bottom"/>
          </w:tcPr>
          <w:p>
            <w:pPr>
              <w:jc w:val="right"/>
              <w:spacing w:after="0"/>
              <w:rPr>
                <w:sz w:val="20"/>
                <w:szCs w:val="20"/>
                <w:color w:val="auto"/>
              </w:rPr>
            </w:pPr>
            <w:r>
              <w:rPr>
                <w:rFonts w:ascii="Arial" w:cs="Arial" w:eastAsia="Arial" w:hAnsi="Arial"/>
                <w:sz w:val="18"/>
                <w:szCs w:val="18"/>
                <w:color w:val="auto"/>
              </w:rPr>
              <w:t>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Oil &amp; Gas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2,411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2,273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Construction &amp; Building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1,962</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2,869</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Nonferrous Metals/Minerals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Broadcast Radio and Television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1,319</w:t>
            </w:r>
          </w:p>
        </w:tc>
        <w:tc>
          <w:tcPr>
            <w:tcW w:w="700" w:type="dxa"/>
            <w:vAlign w:val="bottom"/>
          </w:tcPr>
          <w:p>
            <w:pPr>
              <w:jc w:val="right"/>
              <w:spacing w:after="0"/>
              <w:rPr>
                <w:sz w:val="20"/>
                <w:szCs w:val="20"/>
                <w:color w:val="auto"/>
              </w:rPr>
            </w:pPr>
            <w:r>
              <w:rPr>
                <w:rFonts w:ascii="Arial" w:cs="Arial" w:eastAsia="Arial" w:hAnsi="Arial"/>
                <w:sz w:val="18"/>
                <w:szCs w:val="18"/>
                <w:color w:val="auto"/>
              </w:rPr>
              <w:t>0.5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1,258</w:t>
            </w:r>
          </w:p>
        </w:tc>
        <w:tc>
          <w:tcPr>
            <w:tcW w:w="70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732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Transportation</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780</w:t>
            </w:r>
          </w:p>
        </w:tc>
        <w:tc>
          <w:tcPr>
            <w:tcW w:w="700" w:type="dxa"/>
            <w:vAlign w:val="bottom"/>
          </w:tcPr>
          <w:p>
            <w:pPr>
              <w:jc w:val="right"/>
              <w:spacing w:after="0"/>
              <w:rPr>
                <w:sz w:val="20"/>
                <w:szCs w:val="20"/>
                <w:color w:val="auto"/>
              </w:rPr>
            </w:pPr>
            <w:r>
              <w:rPr>
                <w:rFonts w:ascii="Arial" w:cs="Arial" w:eastAsia="Arial" w:hAnsi="Arial"/>
                <w:sz w:val="18"/>
                <w:szCs w:val="18"/>
                <w:color w:val="auto"/>
              </w:rPr>
              <w:t>0.3</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Services: Consumer</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747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2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248</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248</w:t>
            </w:r>
          </w:p>
        </w:tc>
        <w:tc>
          <w:tcPr>
            <w:tcW w:w="7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290,957</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2"/>
              </w:rPr>
              <w:t>284,845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1640" w:type="dxa"/>
            <w:vAlign w:val="bottom"/>
            <w:vMerge w:val="restart"/>
          </w:tcPr>
          <w:p>
            <w:pPr>
              <w:jc w:val="right"/>
              <w:ind w:right="350"/>
              <w:spacing w:after="0"/>
              <w:rPr>
                <w:sz w:val="20"/>
                <w:szCs w:val="20"/>
                <w:color w:val="auto"/>
              </w:rPr>
            </w:pPr>
            <w:r>
              <w:rPr>
                <w:rFonts w:ascii="Arial" w:cs="Arial" w:eastAsia="Arial" w:hAnsi="Arial"/>
                <w:sz w:val="18"/>
                <w:szCs w:val="18"/>
                <w:color w:val="auto"/>
              </w:rPr>
              <w:t>42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960"/>
          </w:cols>
          <w:pgMar w:left="240" w:top="459" w:right="69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following table shows our portfolio composition by geographic location at fair value at August 31, 2016 and February 29, 2016.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380" w:type="dxa"/>
            <w:vAlign w:val="bottom"/>
            <w:gridSpan w:val="5"/>
          </w:tcPr>
          <w:p>
            <w:pPr>
              <w:jc w:val="right"/>
              <w:ind w:right="820"/>
              <w:spacing w:after="0"/>
              <w:rPr>
                <w:sz w:val="20"/>
                <w:szCs w:val="20"/>
                <w:color w:val="auto"/>
              </w:rPr>
            </w:pPr>
            <w:r>
              <w:rPr>
                <w:rFonts w:ascii="Arial" w:cs="Arial" w:eastAsia="Arial" w:hAnsi="Arial"/>
                <w:sz w:val="14"/>
                <w:szCs w:val="14"/>
                <w:b w:val="1"/>
                <w:bCs w:val="1"/>
                <w:color w:val="auto"/>
              </w:rPr>
              <w:t>At August 31, 2016</w:t>
            </w:r>
          </w:p>
        </w:tc>
        <w:tc>
          <w:tcPr>
            <w:tcW w:w="240" w:type="dxa"/>
            <w:vAlign w:val="bottom"/>
          </w:tcPr>
          <w:p>
            <w:pPr>
              <w:spacing w:after="0"/>
              <w:rPr>
                <w:sz w:val="14"/>
                <w:szCs w:val="14"/>
                <w:color w:val="auto"/>
              </w:rPr>
            </w:pPr>
          </w:p>
        </w:tc>
        <w:tc>
          <w:tcPr>
            <w:tcW w:w="220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29, 2016</w:t>
            </w:r>
          </w:p>
        </w:tc>
      </w:tr>
      <w:tr>
        <w:trPr>
          <w:trHeight w:val="119"/>
        </w:trPr>
        <w:tc>
          <w:tcPr>
            <w:tcW w:w="9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4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80" w:type="dxa"/>
            <w:vAlign w:val="bottom"/>
            <w:tcBorders>
              <w:top w:val="single" w:sz="8" w:color="auto"/>
            </w:tcBorders>
            <w:gridSpan w:val="3"/>
          </w:tcPr>
          <w:p>
            <w:pPr>
              <w:jc w:val="center"/>
              <w:ind w:right="560"/>
              <w:spacing w:after="0" w:line="119" w:lineRule="exact"/>
              <w:rPr>
                <w:sz w:val="20"/>
                <w:szCs w:val="20"/>
                <w:color w:val="auto"/>
              </w:rPr>
            </w:pPr>
            <w:r>
              <w:rPr>
                <w:rFonts w:ascii="Arial" w:cs="Arial" w:eastAsia="Arial" w:hAnsi="Arial"/>
                <w:sz w:val="13"/>
                <w:szCs w:val="13"/>
                <w:b w:val="1"/>
                <w:bCs w:val="1"/>
                <w:color w:val="auto"/>
                <w:w w:val="94"/>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20" w:type="dxa"/>
            <w:vAlign w:val="bottom"/>
            <w:tcBorders>
              <w:top w:val="single" w:sz="8" w:color="auto"/>
            </w:tcBorders>
            <w:gridSpan w:val="2"/>
          </w:tcPr>
          <w:p>
            <w:pPr>
              <w:jc w:val="center"/>
              <w:ind w:right="560"/>
              <w:spacing w:after="0" w:line="119" w:lineRule="exact"/>
              <w:rPr>
                <w:sz w:val="20"/>
                <w:szCs w:val="20"/>
                <w:color w:val="auto"/>
              </w:rPr>
            </w:pPr>
            <w:r>
              <w:rPr>
                <w:rFonts w:ascii="Arial" w:cs="Arial" w:eastAsia="Arial" w:hAnsi="Arial"/>
                <w:sz w:val="13"/>
                <w:szCs w:val="13"/>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r>
      <w:tr>
        <w:trPr>
          <w:trHeight w:val="149"/>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at</w:t>
            </w:r>
          </w:p>
        </w:tc>
        <w:tc>
          <w:tcPr>
            <w:tcW w:w="110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 Total</w:t>
            </w:r>
          </w:p>
        </w:tc>
        <w:tc>
          <w:tcPr>
            <w:tcW w:w="240" w:type="dxa"/>
            <w:vAlign w:val="bottom"/>
          </w:tcPr>
          <w:p>
            <w:pPr>
              <w:spacing w:after="0"/>
              <w:rPr>
                <w:sz w:val="12"/>
                <w:szCs w:val="12"/>
                <w:color w:val="auto"/>
              </w:rPr>
            </w:pPr>
          </w:p>
        </w:tc>
        <w:tc>
          <w:tcPr>
            <w:tcW w:w="13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96"/>
              </w:rPr>
              <w:t>at</w:t>
            </w:r>
          </w:p>
        </w:tc>
        <w:tc>
          <w:tcPr>
            <w:tcW w:w="8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 Total</w:t>
            </w:r>
          </w:p>
        </w:tc>
      </w:tr>
      <w:tr>
        <w:trPr>
          <w:trHeight w:val="171"/>
        </w:trPr>
        <w:tc>
          <w:tcPr>
            <w:tcW w:w="9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80" w:type="dxa"/>
            <w:vAlign w:val="bottom"/>
            <w:gridSpan w:val="3"/>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11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32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5"/>
              </w:rPr>
              <w:t>Fair Value</w:t>
            </w:r>
          </w:p>
        </w:tc>
        <w:tc>
          <w:tcPr>
            <w:tcW w:w="8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Portfolio</w:t>
            </w:r>
          </w:p>
        </w:tc>
      </w:tr>
      <w:tr>
        <w:trPr>
          <w:trHeight w:val="142"/>
        </w:trPr>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6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9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9"/>
              </w:rPr>
              <w:t>$ 101,174</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37.1%</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$ 108,661</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38.3%</w:t>
            </w:r>
          </w:p>
        </w:tc>
      </w:tr>
      <w:tr>
        <w:trPr>
          <w:trHeight w:val="216"/>
        </w:trPr>
        <w:tc>
          <w:tcPr>
            <w:tcW w:w="9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61,810</w:t>
            </w:r>
          </w:p>
        </w:tc>
        <w:tc>
          <w:tcPr>
            <w:tcW w:w="5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22.7</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57,553</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20.3</w:t>
            </w:r>
          </w:p>
        </w:tc>
      </w:tr>
      <w:tr>
        <w:trPr>
          <w:trHeight w:val="216"/>
        </w:trPr>
        <w:tc>
          <w:tcPr>
            <w:tcW w:w="9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53,888</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19.7</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52,875</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18.6</w:t>
            </w:r>
          </w:p>
        </w:tc>
      </w:tr>
      <w:tr>
        <w:trPr>
          <w:trHeight w:val="216"/>
        </w:trPr>
        <w:tc>
          <w:tcPr>
            <w:tcW w:w="9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Southwest</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25,463</w:t>
            </w:r>
          </w:p>
        </w:tc>
        <w:tc>
          <w:tcPr>
            <w:tcW w:w="5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9.3</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25,535</w:t>
            </w:r>
          </w:p>
        </w:tc>
        <w:tc>
          <w:tcPr>
            <w:tcW w:w="680" w:type="dxa"/>
            <w:vAlign w:val="bottom"/>
          </w:tcPr>
          <w:p>
            <w:pPr>
              <w:jc w:val="right"/>
              <w:spacing w:after="0"/>
              <w:rPr>
                <w:sz w:val="20"/>
                <w:szCs w:val="20"/>
                <w:color w:val="auto"/>
              </w:rPr>
            </w:pPr>
            <w:r>
              <w:rPr>
                <w:rFonts w:ascii="Arial" w:cs="Arial" w:eastAsia="Arial" w:hAnsi="Arial"/>
                <w:sz w:val="18"/>
                <w:szCs w:val="18"/>
                <w:color w:val="auto"/>
              </w:rPr>
              <w:t>9.0</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West</w:t>
            </w:r>
          </w:p>
        </w:tc>
        <w:tc>
          <w:tcPr>
            <w:tcW w:w="7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16,552</w:t>
            </w:r>
          </w:p>
        </w:tc>
        <w:tc>
          <w:tcPr>
            <w:tcW w:w="5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w:t>
            </w:r>
          </w:p>
        </w:tc>
        <w:tc>
          <w:tcPr>
            <w:tcW w:w="15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24,544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200" w:type="dxa"/>
            <w:vAlign w:val="bottom"/>
            <w:shd w:val="clear" w:color="auto" w:fill="CCEEFF"/>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Other(1)</w:t>
            </w:r>
          </w:p>
        </w:tc>
        <w:tc>
          <w:tcPr>
            <w:tcW w:w="760" w:type="dxa"/>
            <w:vAlign w:val="bottom"/>
            <w:gridSpan w:val="3"/>
          </w:tcPr>
          <w:p>
            <w:pPr>
              <w:jc w:val="right"/>
              <w:ind w:right="20"/>
              <w:spacing w:after="0"/>
              <w:rPr>
                <w:sz w:val="20"/>
                <w:szCs w:val="20"/>
                <w:color w:val="auto"/>
              </w:rPr>
            </w:pPr>
            <w:r>
              <w:rPr>
                <w:rFonts w:ascii="Arial" w:cs="Arial" w:eastAsia="Arial" w:hAnsi="Arial"/>
                <w:sz w:val="18"/>
                <w:szCs w:val="18"/>
                <w:color w:val="auto"/>
              </w:rPr>
              <w:t>11,917</w:t>
            </w:r>
          </w:p>
        </w:tc>
        <w:tc>
          <w:tcPr>
            <w:tcW w:w="540" w:type="dxa"/>
            <w:vAlign w:val="bottom"/>
          </w:tcPr>
          <w:p>
            <w:pPr>
              <w:spacing w:after="0"/>
              <w:rPr>
                <w:sz w:val="18"/>
                <w:szCs w:val="18"/>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8"/>
                <w:szCs w:val="18"/>
                <w:color w:val="auto"/>
              </w:rPr>
              <w:t>4.4</w:t>
            </w:r>
          </w:p>
        </w:tc>
        <w:tc>
          <w:tcPr>
            <w:tcW w:w="1560" w:type="dxa"/>
            <w:vAlign w:val="bottom"/>
            <w:gridSpan w:val="3"/>
          </w:tcPr>
          <w:p>
            <w:pPr>
              <w:jc w:val="right"/>
              <w:ind w:right="560"/>
              <w:spacing w:after="0"/>
              <w:rPr>
                <w:sz w:val="20"/>
                <w:szCs w:val="20"/>
                <w:color w:val="auto"/>
              </w:rPr>
            </w:pPr>
            <w:r>
              <w:rPr>
                <w:rFonts w:ascii="Arial" w:cs="Arial" w:eastAsia="Arial" w:hAnsi="Arial"/>
                <w:sz w:val="18"/>
                <w:szCs w:val="18"/>
                <w:color w:val="auto"/>
              </w:rPr>
              <w:t>12,828</w:t>
            </w: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18"/>
                <w:szCs w:val="18"/>
                <w:color w:val="auto"/>
              </w:rPr>
            </w:pPr>
          </w:p>
        </w:tc>
      </w:tr>
      <w:tr>
        <w:trPr>
          <w:trHeight w:val="216"/>
        </w:trPr>
        <w:tc>
          <w:tcPr>
            <w:tcW w:w="920" w:type="dxa"/>
            <w:vAlign w:val="bottom"/>
          </w:tcPr>
          <w:p>
            <w:pPr>
              <w:spacing w:after="0"/>
              <w:rPr>
                <w:sz w:val="18"/>
                <w:szCs w:val="18"/>
                <w:color w:val="auto"/>
              </w:rPr>
            </w:pPr>
          </w:p>
        </w:tc>
        <w:tc>
          <w:tcPr>
            <w:tcW w:w="4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5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r>
      <w:tr>
        <w:trPr>
          <w:trHeight w:val="223"/>
        </w:trPr>
        <w:tc>
          <w:tcPr>
            <w:tcW w:w="920" w:type="dxa"/>
            <w:vAlign w:val="bottom"/>
          </w:tcPr>
          <w:p>
            <w:pPr>
              <w:spacing w:after="0"/>
              <w:rPr>
                <w:sz w:val="19"/>
                <w:szCs w:val="19"/>
                <w:color w:val="auto"/>
              </w:rPr>
            </w:pPr>
          </w:p>
        </w:tc>
        <w:tc>
          <w:tcPr>
            <w:tcW w:w="474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$ 272,804</w:t>
            </w:r>
          </w:p>
        </w:tc>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rPr>
              <w:t>100.0%</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$ 283,996</w:t>
            </w:r>
          </w:p>
        </w:tc>
        <w:tc>
          <w:tcPr>
            <w:tcW w:w="560" w:type="dxa"/>
            <w:vAlign w:val="bottom"/>
          </w:tcPr>
          <w:p>
            <w:pPr>
              <w:spacing w:after="0"/>
              <w:rPr>
                <w:sz w:val="19"/>
                <w:szCs w:val="19"/>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r>
      <w:tr>
        <w:trPr>
          <w:trHeight w:val="20"/>
        </w:trPr>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129"/>
        </w:trPr>
        <w:tc>
          <w:tcPr>
            <w:tcW w:w="9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4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Operating results for the three and six months ended August 31, 2016 and August 31, 2015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60" w:type="dxa"/>
            <w:vAlign w:val="bottom"/>
            <w:gridSpan w:val="6"/>
          </w:tcPr>
          <w:p>
            <w:pPr>
              <w:jc w:val="center"/>
              <w:ind w:right="240"/>
              <w:spacing w:after="0"/>
              <w:rPr>
                <w:sz w:val="20"/>
                <w:szCs w:val="20"/>
                <w:color w:val="auto"/>
              </w:rPr>
            </w:pPr>
            <w:r>
              <w:rPr>
                <w:rFonts w:ascii="Arial" w:cs="Arial" w:eastAsia="Arial" w:hAnsi="Arial"/>
                <w:sz w:val="14"/>
                <w:szCs w:val="14"/>
                <w:b w:val="1"/>
                <w:bCs w:val="1"/>
                <w:color w:val="auto"/>
                <w:w w:val="91"/>
              </w:rPr>
              <w:t>For the three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August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August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left="316"/>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8,448</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7,758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expenses</w:t>
            </w:r>
          </w:p>
        </w:tc>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2,604</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realized gains from investments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5,937</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(3,269)</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(6,124)</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2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5,272</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6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1"/>
              </w:rPr>
              <w:t>For the six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2520" w:type="dxa"/>
            <w:vAlign w:val="bottom"/>
          </w:tcPr>
          <w:p>
            <w:pPr>
              <w:spacing w:after="0"/>
              <w:rPr>
                <w:sz w:val="10"/>
                <w:szCs w:val="10"/>
                <w:color w:val="auto"/>
              </w:rPr>
            </w:pPr>
          </w:p>
        </w:tc>
        <w:tc>
          <w:tcPr>
            <w:tcW w:w="1040" w:type="dxa"/>
            <w:vAlign w:val="bottom"/>
            <w:tcBorders>
              <w:top w:val="single" w:sz="8" w:color="auto"/>
            </w:tcBorders>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August 31,</w:t>
            </w:r>
          </w:p>
        </w:tc>
        <w:tc>
          <w:tcPr>
            <w:tcW w:w="2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August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56"/>
              <w:spacing w:after="0"/>
              <w:rPr>
                <w:sz w:val="20"/>
                <w:szCs w:val="20"/>
                <w:color w:val="auto"/>
              </w:rPr>
            </w:pPr>
            <w:r>
              <w:rPr>
                <w:rFonts w:ascii="Arial" w:cs="Arial" w:eastAsia="Arial" w:hAnsi="Arial"/>
                <w:sz w:val="14"/>
                <w:szCs w:val="14"/>
                <w:b w:val="1"/>
                <w:bCs w:val="1"/>
                <w:color w:val="auto"/>
                <w:w w:val="89"/>
              </w:rPr>
              <w:t>2016</w:t>
            </w:r>
          </w:p>
        </w:tc>
        <w:tc>
          <w:tcPr>
            <w:tcW w:w="3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53"/>
              <w:spacing w:after="0"/>
              <w:rPr>
                <w:sz w:val="20"/>
                <w:szCs w:val="20"/>
                <w:color w:val="auto"/>
              </w:rPr>
            </w:pPr>
            <w:r>
              <w:rPr>
                <w:rFonts w:ascii="Arial" w:cs="Arial" w:eastAsia="Arial" w:hAnsi="Arial"/>
                <w:sz w:val="14"/>
                <w:szCs w:val="14"/>
                <w:b w:val="1"/>
                <w:bCs w:val="1"/>
                <w:color w:val="auto"/>
                <w:w w:val="96"/>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2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0" w:type="dxa"/>
            <w:vAlign w:val="bottom"/>
            <w:gridSpan w:val="4"/>
          </w:tcPr>
          <w:p>
            <w:pPr>
              <w:jc w:val="center"/>
              <w:ind w:left="316"/>
              <w:spacing w:after="0" w:line="142" w:lineRule="exact"/>
              <w:rPr>
                <w:sz w:val="20"/>
                <w:szCs w:val="20"/>
                <w:color w:val="auto"/>
              </w:rPr>
            </w:pPr>
            <w:r>
              <w:rPr>
                <w:rFonts w:ascii="Arial" w:cs="Arial" w:eastAsia="Arial" w:hAnsi="Arial"/>
                <w:sz w:val="14"/>
                <w:szCs w:val="14"/>
                <w:b w:val="1"/>
                <w:bCs w:val="1"/>
                <w:color w:val="auto"/>
                <w:w w:val="92"/>
              </w:rPr>
              <w:t>($ 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2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16,356</w:t>
            </w:r>
          </w:p>
        </w:tc>
        <w:tc>
          <w:tcPr>
            <w:tcW w:w="3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15,319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Total expenses</w:t>
            </w:r>
          </w:p>
        </w:tc>
        <w:tc>
          <w:tcPr>
            <w:tcW w:w="25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11,214</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5,142</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tcPr>
          <w:p>
            <w:pPr>
              <w:spacing w:after="0"/>
              <w:rPr>
                <w:sz w:val="20"/>
                <w:szCs w:val="20"/>
                <w:color w:val="auto"/>
              </w:rPr>
            </w:pPr>
            <w:r>
              <w:rPr>
                <w:rFonts w:ascii="Arial" w:cs="Arial" w:eastAsia="Arial" w:hAnsi="Arial"/>
                <w:sz w:val="18"/>
                <w:szCs w:val="18"/>
                <w:color w:val="auto"/>
              </w:rPr>
              <w:t>Net realized gains from investments</w:t>
            </w:r>
          </w:p>
        </w:tc>
        <w:tc>
          <w:tcPr>
            <w:tcW w:w="2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12,040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3,784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depreciation on investments</w:t>
            </w:r>
          </w:p>
        </w:tc>
        <w:tc>
          <w:tcPr>
            <w:tcW w:w="25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(8,623)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23"/>
        </w:trPr>
        <w:tc>
          <w:tcPr>
            <w:tcW w:w="3960" w:type="dxa"/>
            <w:vAlign w:val="bottom"/>
            <w:gridSpan w:val="2"/>
          </w:tcPr>
          <w:p>
            <w:pPr>
              <w:spacing w:after="0"/>
              <w:rPr>
                <w:sz w:val="20"/>
                <w:szCs w:val="20"/>
                <w:color w:val="auto"/>
              </w:rPr>
            </w:pPr>
            <w:r>
              <w:rPr>
                <w:rFonts w:ascii="Arial" w:cs="Arial" w:eastAsia="Arial" w:hAnsi="Arial"/>
                <w:sz w:val="18"/>
                <w:szCs w:val="18"/>
                <w:color w:val="auto"/>
                <w:w w:val="96"/>
              </w:rPr>
              <w:t>Net increase in net assets resulting from operations</w:t>
            </w:r>
          </w:p>
        </w:tc>
        <w:tc>
          <w:tcPr>
            <w:tcW w:w="25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8,559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8,628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2520" w:type="dxa"/>
            <w:vAlign w:val="bottom"/>
            <w:vMerge w:val="restart"/>
          </w:tcPr>
          <w:p>
            <w:pPr>
              <w:jc w:val="right"/>
              <w:ind w:right="1970"/>
              <w:spacing w:after="0"/>
              <w:rPr>
                <w:sz w:val="20"/>
                <w:szCs w:val="20"/>
                <w:color w:val="auto"/>
              </w:rPr>
            </w:pPr>
            <w:r>
              <w:rPr>
                <w:rFonts w:ascii="Arial" w:cs="Arial" w:eastAsia="Arial" w:hAnsi="Arial"/>
                <w:sz w:val="18"/>
                <w:szCs w:val="18"/>
                <w:color w:val="auto"/>
              </w:rPr>
              <w:t>43</w:t>
            </w: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24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investment income for the three and six months ended August 31, 2016 and August 31, 2015 were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August 31,</w:t>
            </w:r>
          </w:p>
        </w:tc>
        <w:tc>
          <w:tcPr>
            <w:tcW w:w="5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August 31,</w:t>
            </w:r>
          </w:p>
        </w:tc>
        <w:tc>
          <w:tcPr>
            <w:tcW w:w="10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298"/>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7,303</w:t>
            </w:r>
          </w:p>
        </w:tc>
        <w:tc>
          <w:tcPr>
            <w:tcW w:w="8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Management fee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375</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770</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8,448</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7,758</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center"/>
              <w:ind w:right="260"/>
              <w:spacing w:after="0"/>
              <w:rPr>
                <w:sz w:val="20"/>
                <w:szCs w:val="20"/>
                <w:color w:val="auto"/>
              </w:rPr>
            </w:pPr>
            <w:r>
              <w:rPr>
                <w:rFonts w:ascii="Arial" w:cs="Arial" w:eastAsia="Arial" w:hAnsi="Arial"/>
                <w:sz w:val="14"/>
                <w:szCs w:val="14"/>
                <w:b w:val="1"/>
                <w:bCs w:val="1"/>
                <w:color w:val="auto"/>
                <w:w w:val="90"/>
              </w:rPr>
              <w:t>For the six months ended</w:t>
            </w:r>
          </w:p>
        </w:tc>
      </w:tr>
      <w:tr>
        <w:trPr>
          <w:trHeight w:val="119"/>
        </w:trPr>
        <w:tc>
          <w:tcPr>
            <w:tcW w:w="65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6"/>
              </w:rPr>
              <w:t>August 31,</w:t>
            </w:r>
          </w:p>
        </w:tc>
        <w:tc>
          <w:tcPr>
            <w:tcW w:w="56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August 31,</w:t>
            </w:r>
          </w:p>
        </w:tc>
        <w:tc>
          <w:tcPr>
            <w:tcW w:w="100" w:type="dxa"/>
            <w:vAlign w:val="bottom"/>
          </w:tcPr>
          <w:p>
            <w:pPr>
              <w:spacing w:after="0"/>
              <w:rPr>
                <w:sz w:val="10"/>
                <w:szCs w:val="10"/>
                <w:color w:val="auto"/>
              </w:rPr>
            </w:pPr>
          </w:p>
        </w:tc>
      </w:tr>
      <w:tr>
        <w:trPr>
          <w:trHeight w:val="171"/>
        </w:trPr>
        <w:tc>
          <w:tcPr>
            <w:tcW w:w="6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Pr>
          <w:p>
            <w:pPr>
              <w:spacing w:after="0"/>
              <w:rPr>
                <w:sz w:val="14"/>
                <w:szCs w:val="14"/>
                <w:color w:val="auto"/>
              </w:rPr>
            </w:pPr>
          </w:p>
        </w:tc>
      </w:tr>
      <w:tr>
        <w:trPr>
          <w:trHeight w:val="142"/>
        </w:trPr>
        <w:tc>
          <w:tcPr>
            <w:tcW w:w="6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3"/>
          </w:tcPr>
          <w:p>
            <w:pPr>
              <w:jc w:val="center"/>
              <w:ind w:left="298"/>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40" w:type="dxa"/>
            <w:vAlign w:val="bottom"/>
            <w:gridSpan w:val="2"/>
            <w:shd w:val="clear" w:color="auto" w:fill="CCEEFF"/>
          </w:tcPr>
          <w:p>
            <w:pPr>
              <w:jc w:val="right"/>
              <w:ind w:right="2"/>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14,585</w:t>
            </w:r>
          </w:p>
        </w:tc>
        <w:tc>
          <w:tcPr>
            <w:tcW w:w="800" w:type="dxa"/>
            <w:vAlign w:val="bottom"/>
            <w:gridSpan w:val="2"/>
            <w:shd w:val="clear" w:color="auto" w:fill="CCEEFF"/>
          </w:tcPr>
          <w:p>
            <w:pPr>
              <w:jc w:val="right"/>
              <w:ind w:right="8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13,750</w:t>
            </w:r>
          </w:p>
        </w:tc>
        <w:tc>
          <w:tcPr>
            <w:tcW w:w="100" w:type="dxa"/>
            <w:vAlign w:val="bottom"/>
            <w:shd w:val="clear" w:color="auto" w:fill="CCEEFF"/>
          </w:tcPr>
          <w:p>
            <w:pPr>
              <w:spacing w:after="0"/>
              <w:rPr>
                <w:sz w:val="18"/>
                <w:szCs w:val="18"/>
                <w:color w:val="auto"/>
              </w:rPr>
            </w:pPr>
          </w:p>
        </w:tc>
      </w:tr>
      <w:tr>
        <w:trPr>
          <w:trHeight w:val="216"/>
        </w:trPr>
        <w:tc>
          <w:tcPr>
            <w:tcW w:w="6500" w:type="dxa"/>
            <w:vAlign w:val="bottom"/>
          </w:tcPr>
          <w:p>
            <w:pPr>
              <w:spacing w:after="0"/>
              <w:rPr>
                <w:sz w:val="20"/>
                <w:szCs w:val="20"/>
                <w:color w:val="auto"/>
              </w:rPr>
            </w:pPr>
            <w:r>
              <w:rPr>
                <w:rFonts w:ascii="Arial" w:cs="Arial" w:eastAsia="Arial" w:hAnsi="Arial"/>
                <w:sz w:val="18"/>
                <w:szCs w:val="18"/>
                <w:color w:val="auto"/>
              </w:rPr>
              <w:t>Management fee income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748</w:t>
            </w:r>
          </w:p>
        </w:tc>
        <w:tc>
          <w:tcPr>
            <w:tcW w:w="5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752</w:t>
            </w:r>
          </w:p>
        </w:tc>
        <w:tc>
          <w:tcPr>
            <w:tcW w:w="100" w:type="dxa"/>
            <w:vAlign w:val="bottom"/>
          </w:tcPr>
          <w:p>
            <w:pPr>
              <w:spacing w:after="0"/>
              <w:rPr>
                <w:sz w:val="18"/>
                <w:szCs w:val="18"/>
                <w:color w:val="auto"/>
              </w:rPr>
            </w:pPr>
          </w:p>
        </w:tc>
      </w:tr>
      <w:tr>
        <w:trPr>
          <w:trHeight w:val="216"/>
        </w:trPr>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1,023</w:t>
            </w:r>
          </w:p>
        </w:tc>
        <w:tc>
          <w:tcPr>
            <w:tcW w:w="5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817</w:t>
            </w:r>
          </w:p>
        </w:tc>
        <w:tc>
          <w:tcPr>
            <w:tcW w:w="100" w:type="dxa"/>
            <w:vAlign w:val="bottom"/>
            <w:shd w:val="clear" w:color="auto" w:fill="CCEEFF"/>
          </w:tcPr>
          <w:p>
            <w:pPr>
              <w:spacing w:after="0"/>
              <w:rPr>
                <w:sz w:val="18"/>
                <w:szCs w:val="18"/>
                <w:color w:val="auto"/>
              </w:rPr>
            </w:pPr>
          </w:p>
        </w:tc>
      </w:tr>
      <w:tr>
        <w:trPr>
          <w:trHeight w:val="223"/>
        </w:trPr>
        <w:tc>
          <w:tcPr>
            <w:tcW w:w="650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ind w:right="2"/>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16,356</w:t>
            </w:r>
          </w:p>
        </w:tc>
        <w:tc>
          <w:tcPr>
            <w:tcW w:w="560" w:type="dxa"/>
            <w:vAlign w:val="bottom"/>
          </w:tcPr>
          <w:p>
            <w:pPr>
              <w:spacing w:after="0"/>
              <w:rPr>
                <w:sz w:val="19"/>
                <w:szCs w:val="19"/>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15,319</w:t>
            </w:r>
          </w:p>
        </w:tc>
        <w:tc>
          <w:tcPr>
            <w:tcW w:w="100" w:type="dxa"/>
            <w:vAlign w:val="bottom"/>
          </w:tcPr>
          <w:p>
            <w:pPr>
              <w:spacing w:after="0"/>
              <w:rPr>
                <w:sz w:val="19"/>
                <w:szCs w:val="19"/>
                <w:color w:val="auto"/>
              </w:rPr>
            </w:pPr>
          </w:p>
        </w:tc>
      </w:tr>
      <w:tr>
        <w:trPr>
          <w:trHeight w:val="20"/>
        </w:trPr>
        <w:tc>
          <w:tcPr>
            <w:tcW w:w="6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the three months ended August 31, 2016, total investment income increased $0.7 million, or 8.9% compared to the three months ended August 31, 2015. Interest income from investments increased $0.5 million, or 7.1%, to $7.3 million for the three months ended August 31, 2016 from $6.8 million for the three months ended August 31, 2015. This reflects an increase of 8.2% in total investments to $272.8 million at August 31, 2016 from $252.2 million at August 31, 2015, with the weighted average current coupon increasing from 11.7% to 11.9%.</w:t>
      </w:r>
    </w:p>
    <w:p>
      <w:pPr>
        <w:spacing w:after="0" w:line="187" w:lineRule="exact"/>
        <w:rPr>
          <w:sz w:val="20"/>
          <w:szCs w:val="20"/>
          <w:color w:val="auto"/>
        </w:rPr>
      </w:pPr>
    </w:p>
    <w:p>
      <w:pPr>
        <w:ind w:right="240" w:firstLine="456"/>
        <w:spacing w:after="0" w:line="279" w:lineRule="auto"/>
        <w:rPr>
          <w:sz w:val="20"/>
          <w:szCs w:val="20"/>
          <w:color w:val="auto"/>
        </w:rPr>
      </w:pPr>
      <w:r>
        <w:rPr>
          <w:rFonts w:ascii="Arial" w:cs="Arial" w:eastAsia="Arial" w:hAnsi="Arial"/>
          <w:sz w:val="17"/>
          <w:szCs w:val="17"/>
          <w:color w:val="auto"/>
        </w:rPr>
        <w:t>For the six months ended August 31, 2016, total investment income increased $1.0 million, or 6.8% compared to the six months ended August 31, 2015. Interest income from investments increased $0.8 million, or 6.1%, to $14.6 million for the six months ended August 31, 2016 from $13.8 million for the six months ended August 31, 2015. This reflects an increase of 8.2% in total investments to $272.8 million at August 31, 2016 from $252.2 million at August 31, 2015, with the weighted average current coupon increasing from 11.7% to 11.9%.</w:t>
      </w:r>
    </w:p>
    <w:p>
      <w:pPr>
        <w:spacing w:after="0" w:line="17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For the three months ended August 31, 2016 and August 31, 2015, total PIK income was $0.2 million and $0.3 million, respectively. For the six months ended August 31, 2016 and August 31, 2015, total PIK income was $0.3 million and $1.0 million, respectively.</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composition of our operating expenses for the three and six months ended August 31, 2016 and August 31, 2015 were as follows: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For the three months ended</w:t>
            </w:r>
          </w:p>
        </w:tc>
        <w:tc>
          <w:tcPr>
            <w:tcW w:w="0" w:type="dxa"/>
            <w:vAlign w:val="bottom"/>
          </w:tcPr>
          <w:p>
            <w:pPr>
              <w:spacing w:after="0"/>
              <w:rPr>
                <w:sz w:val="1"/>
                <w:szCs w:val="1"/>
                <w:color w:val="auto"/>
              </w:rPr>
            </w:pPr>
          </w:p>
        </w:tc>
      </w:tr>
      <w:tr>
        <w:trPr>
          <w:trHeight w:val="119"/>
        </w:trPr>
        <w:tc>
          <w:tcPr>
            <w:tcW w:w="3800" w:type="dxa"/>
            <w:vAlign w:val="bottom"/>
          </w:tcPr>
          <w:p>
            <w:pPr>
              <w:spacing w:after="0"/>
              <w:rPr>
                <w:sz w:val="10"/>
                <w:szCs w:val="10"/>
                <w:color w:val="auto"/>
              </w:rPr>
            </w:pPr>
          </w:p>
        </w:tc>
        <w:tc>
          <w:tcPr>
            <w:tcW w:w="2640" w:type="dxa"/>
            <w:vAlign w:val="bottom"/>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9"/>
              </w:rPr>
              <w:t>August 31,</w:t>
            </w:r>
          </w:p>
        </w:tc>
        <w:tc>
          <w:tcPr>
            <w:tcW w:w="64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August 31,</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0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4"/>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89"/>
              </w:rPr>
              <w:t>2015</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right"/>
              <w:spacing w:after="0" w:line="142" w:lineRule="exact"/>
              <w:rPr>
                <w:sz w:val="20"/>
                <w:szCs w:val="20"/>
                <w:color w:val="auto"/>
              </w:rPr>
            </w:pPr>
            <w:r>
              <w:rPr>
                <w:rFonts w:ascii="Arial" w:cs="Arial" w:eastAsia="Arial" w:hAnsi="Arial"/>
                <w:sz w:val="14"/>
                <w:szCs w:val="14"/>
                <w:b w:val="1"/>
                <w:bCs w:val="1"/>
                <w:color w:val="auto"/>
              </w:rPr>
              <w:t>($ in thousands)</w:t>
            </w: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2,370</w:t>
            </w:r>
          </w:p>
        </w:tc>
        <w:tc>
          <w:tcPr>
            <w:tcW w:w="840" w:type="dxa"/>
            <w:vAlign w:val="bottom"/>
            <w:gridSpan w:val="2"/>
            <w:shd w:val="clear" w:color="auto" w:fill="CCEEFF"/>
          </w:tcPr>
          <w:p>
            <w:pPr>
              <w:jc w:val="right"/>
              <w:ind w:right="49"/>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Base management fees</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1,203</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Administrator expenses</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325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1,208</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Insurance</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71</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w w:val="99"/>
              </w:rPr>
              <w:t>General and administrative and other expenses</w:t>
            </w:r>
          </w:p>
        </w:tc>
        <w:tc>
          <w:tcPr>
            <w:tcW w:w="2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305</w:t>
            </w: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Excise tax expense (credit)</w:t>
            </w:r>
          </w:p>
        </w:tc>
        <w:tc>
          <w:tcPr>
            <w:tcW w:w="2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3"/>
        </w:trPr>
        <w:tc>
          <w:tcPr>
            <w:tcW w:w="3800" w:type="dxa"/>
            <w:vAlign w:val="bottom"/>
          </w:tcPr>
          <w:p>
            <w:pPr>
              <w:spacing w:after="0"/>
              <w:rPr>
                <w:sz w:val="20"/>
                <w:szCs w:val="20"/>
                <w:color w:val="auto"/>
              </w:rPr>
            </w:pPr>
            <w:r>
              <w:rPr>
                <w:rFonts w:ascii="Arial" w:cs="Arial" w:eastAsia="Arial" w:hAnsi="Arial"/>
                <w:sz w:val="18"/>
                <w:szCs w:val="18"/>
                <w:color w:val="auto"/>
              </w:rPr>
              <w:t>Total expenses</w:t>
            </w:r>
          </w:p>
        </w:tc>
        <w:tc>
          <w:tcPr>
            <w:tcW w:w="26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5,844</w:t>
            </w:r>
          </w:p>
        </w:tc>
        <w:tc>
          <w:tcPr>
            <w:tcW w:w="64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0" w:type="dxa"/>
            <w:vAlign w:val="bottom"/>
          </w:tcPr>
          <w:p>
            <w:pPr>
              <w:spacing w:after="0" w:line="20" w:lineRule="exact"/>
              <w:rPr>
                <w:sz w:val="1"/>
                <w:szCs w:val="1"/>
                <w:color w:val="auto"/>
              </w:rPr>
            </w:pPr>
          </w:p>
        </w:tc>
        <w:tc>
          <w:tcPr>
            <w:tcW w:w="2640" w:type="dxa"/>
            <w:vAlign w:val="bottom"/>
            <w:vMerge w:val="restart"/>
          </w:tcPr>
          <w:p>
            <w:pPr>
              <w:jc w:val="right"/>
              <w:ind w:right="1930"/>
              <w:spacing w:after="0"/>
              <w:rPr>
                <w:sz w:val="20"/>
                <w:szCs w:val="20"/>
                <w:color w:val="auto"/>
              </w:rPr>
            </w:pPr>
            <w:r>
              <w:rPr>
                <w:rFonts w:ascii="Arial" w:cs="Arial" w:eastAsia="Arial" w:hAnsi="Arial"/>
                <w:sz w:val="18"/>
                <w:szCs w:val="18"/>
                <w:color w:val="auto"/>
              </w:rPr>
              <w:t>44</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00" w:type="dxa"/>
            <w:vAlign w:val="bottom"/>
          </w:tcPr>
          <w:p>
            <w:pPr>
              <w:spacing w:after="0"/>
              <w:rPr>
                <w:sz w:val="24"/>
                <w:szCs w:val="24"/>
                <w:color w:val="auto"/>
              </w:rPr>
            </w:pPr>
          </w:p>
        </w:tc>
        <w:tc>
          <w:tcPr>
            <w:tcW w:w="264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92"/>
              </w:rPr>
              <w:t>For the six months ended</w:t>
            </w:r>
          </w:p>
        </w:tc>
      </w:tr>
      <w:tr>
        <w:trPr>
          <w:trHeight w:val="119"/>
        </w:trPr>
        <w:tc>
          <w:tcPr>
            <w:tcW w:w="6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6"/>
              </w:rPr>
              <w:t>August 31,</w:t>
            </w:r>
          </w:p>
        </w:tc>
        <w:tc>
          <w:tcPr>
            <w:tcW w:w="58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w w:val="96"/>
              </w:rPr>
              <w:t>August 31,</w:t>
            </w:r>
          </w:p>
        </w:tc>
        <w:tc>
          <w:tcPr>
            <w:tcW w:w="120" w:type="dxa"/>
            <w:vAlign w:val="bottom"/>
          </w:tcPr>
          <w:p>
            <w:pPr>
              <w:spacing w:after="0"/>
              <w:rPr>
                <w:sz w:val="10"/>
                <w:szCs w:val="10"/>
                <w:color w:val="auto"/>
              </w:rPr>
            </w:pPr>
          </w:p>
        </w:tc>
      </w:tr>
      <w:tr>
        <w:trPr>
          <w:trHeight w:val="171"/>
        </w:trPr>
        <w:tc>
          <w:tcPr>
            <w:tcW w:w="6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4"/>
                <w:szCs w:val="14"/>
                <w:color w:val="auto"/>
              </w:rPr>
            </w:pPr>
          </w:p>
        </w:tc>
      </w:tr>
      <w:tr>
        <w:trPr>
          <w:trHeight w:val="142"/>
        </w:trPr>
        <w:tc>
          <w:tcPr>
            <w:tcW w:w="6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4"/>
          </w:tcPr>
          <w:p>
            <w:pPr>
              <w:jc w:val="right"/>
              <w:ind w:right="392"/>
              <w:spacing w:after="0" w:line="142" w:lineRule="exact"/>
              <w:rPr>
                <w:sz w:val="20"/>
                <w:szCs w:val="20"/>
                <w:color w:val="auto"/>
              </w:rPr>
            </w:pPr>
            <w:r>
              <w:rPr>
                <w:rFonts w:ascii="Arial" w:cs="Arial" w:eastAsia="Arial" w:hAnsi="Arial"/>
                <w:sz w:val="14"/>
                <w:szCs w:val="14"/>
                <w:b w:val="1"/>
                <w:bCs w:val="1"/>
                <w:color w:val="auto"/>
              </w:rPr>
              <w:t>($ in thousands)</w:t>
            </w:r>
          </w:p>
        </w:tc>
        <w:tc>
          <w:tcPr>
            <w:tcW w:w="120" w:type="dxa"/>
            <w:vAlign w:val="bottom"/>
          </w:tcPr>
          <w:p>
            <w:pPr>
              <w:spacing w:after="0"/>
              <w:rPr>
                <w:sz w:val="12"/>
                <w:szCs w:val="12"/>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4,738</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4,112</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Base management fees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2,430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2,275</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Administrator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650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525</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Incentive management fees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1,937</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Insurance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141</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r>
      <w:tr>
        <w:trPr>
          <w:trHeight w:val="216"/>
        </w:trPr>
        <w:tc>
          <w:tcPr>
            <w:tcW w:w="6620" w:type="dxa"/>
            <w:vAlign w:val="bottom"/>
          </w:tcPr>
          <w:p>
            <w:pPr>
              <w:spacing w:after="0"/>
              <w:rPr>
                <w:sz w:val="20"/>
                <w:szCs w:val="20"/>
                <w:color w:val="auto"/>
              </w:rPr>
            </w:pPr>
            <w:r>
              <w:rPr>
                <w:rFonts w:ascii="Arial" w:cs="Arial" w:eastAsia="Arial" w:hAnsi="Arial"/>
                <w:sz w:val="18"/>
                <w:szCs w:val="18"/>
                <w:color w:val="auto"/>
              </w:rPr>
              <w:t>General and administrative and other expenses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530</w:t>
            </w: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386</w:t>
            </w:r>
          </w:p>
        </w:tc>
        <w:tc>
          <w:tcPr>
            <w:tcW w:w="120" w:type="dxa"/>
            <w:vAlign w:val="bottom"/>
          </w:tcPr>
          <w:p>
            <w:pPr>
              <w:spacing w:after="0"/>
              <w:rPr>
                <w:sz w:val="18"/>
                <w:szCs w:val="18"/>
                <w:color w:val="auto"/>
              </w:rPr>
            </w:pPr>
          </w:p>
        </w:tc>
      </w:tr>
      <w:tr>
        <w:trPr>
          <w:trHeight w:val="216"/>
        </w:trPr>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Excise tax expense (credit)</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(123)</w:t>
            </w:r>
          </w:p>
        </w:tc>
      </w:tr>
      <w:tr>
        <w:trPr>
          <w:trHeight w:val="223"/>
        </w:trPr>
        <w:tc>
          <w:tcPr>
            <w:tcW w:w="6620" w:type="dxa"/>
            <w:vAlign w:val="bottom"/>
          </w:tcPr>
          <w:p>
            <w:pPr>
              <w:spacing w:after="0"/>
              <w:rPr>
                <w:sz w:val="20"/>
                <w:szCs w:val="20"/>
                <w:color w:val="auto"/>
              </w:rPr>
            </w:pPr>
            <w:r>
              <w:rPr>
                <w:rFonts w:ascii="Arial" w:cs="Arial" w:eastAsia="Arial" w:hAnsi="Arial"/>
                <w:sz w:val="18"/>
                <w:szCs w:val="18"/>
                <w:color w:val="auto"/>
              </w:rPr>
              <w:t>Total expenses</w:t>
            </w: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11,214</w:t>
            </w:r>
          </w:p>
        </w:tc>
        <w:tc>
          <w:tcPr>
            <w:tcW w:w="5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9,891</w:t>
            </w:r>
          </w:p>
        </w:tc>
        <w:tc>
          <w:tcPr>
            <w:tcW w:w="120" w:type="dxa"/>
            <w:vAlign w:val="bottom"/>
          </w:tcPr>
          <w:p>
            <w:pPr>
              <w:spacing w:after="0"/>
              <w:rPr>
                <w:sz w:val="19"/>
                <w:szCs w:val="19"/>
                <w:color w:val="auto"/>
              </w:rPr>
            </w:pPr>
          </w:p>
        </w:tc>
      </w:tr>
      <w:tr>
        <w:trPr>
          <w:trHeight w:val="20"/>
        </w:trPr>
        <w:tc>
          <w:tcPr>
            <w:tcW w:w="6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August 31, 2016, total operating expenses increased $1.7 million, or 42.5% compared to the three months ended August 31,</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2015. For the six months ended August 31, 2016, total operating expenses increased $1.3 million, or 13.4% compared to the six months ended August 31,</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2015.</w:t>
      </w:r>
    </w:p>
    <w:p>
      <w:pPr>
        <w:spacing w:after="0" w:line="211" w:lineRule="exact"/>
        <w:rPr>
          <w:sz w:val="20"/>
          <w:szCs w:val="20"/>
          <w:color w:val="auto"/>
        </w:rPr>
      </w:pPr>
    </w:p>
    <w:p>
      <w:pPr>
        <w:ind w:right="40" w:firstLine="456"/>
        <w:spacing w:after="0" w:line="285" w:lineRule="auto"/>
        <w:rPr>
          <w:sz w:val="20"/>
          <w:szCs w:val="20"/>
          <w:color w:val="auto"/>
        </w:rPr>
      </w:pPr>
      <w:r>
        <w:rPr>
          <w:rFonts w:ascii="Arial" w:cs="Arial" w:eastAsia="Arial" w:hAnsi="Arial"/>
          <w:sz w:val="16"/>
          <w:szCs w:val="16"/>
          <w:color w:val="auto"/>
        </w:rPr>
        <w:t>For the three and six months ended August 31, 2016 and August 31, 2015, the increase in interest and debt financing expenses is primarily attributable to an increase in outstanding debt as compared to the prior year, with increased levels of outstanding SBA debentures, as well as additional notes being issued. Although the Credit Facility decreased from $2.0 million outstanding at August 31, 2015 to $0.0 million at August 31, 2016, this was more than offset by our SBA debentures increasing from $79.0 million to $103.7 million, and the notes payable increasing from $57.2 million outstanding to $61.8 million outstanding for these same periods. For the three months ended August 31, 2016, the weighted average interest rate on our outstanding indebtedness was</w:t>
      </w:r>
    </w:p>
    <w:p>
      <w:pPr>
        <w:spacing w:after="0" w:line="2"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4.80% compared to 5.03% for the three months ended August 31, 2015. For the six months ended August 31, 2016, the weighted average interest rate on our outstanding indebtedness was 4.77% compared to 4.96% for the six months ended August 31, 2015. For both periods, the decrease was primarily driven by an increase in SBA debentures that carry a lower interest rate and makes up a higher proportion of our overall debt this year partially offset by the increase in notes payable that carry a higher interest rate. SBA debentures increased from 57.1% of overall debt as of August 31, 2015 to 62.7% as of August 31, 2016.</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August 31, 2016, base management fees increased $0.1 million, or 4.5% compared to the three months ended August 31,</w:t>
      </w:r>
    </w:p>
    <w:p>
      <w:pPr>
        <w:spacing w:after="0" w:line="46"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2015. For the six months ended August 31, 2016, base management fees increased $0.2 million, or 6.8% compared to the six months ended August 31, 2015. The increase in base management fees results from the increase in the average value of our total assets, less cash and cash equivalents, from $261.0 million as of August 31, 2015 to $272.7 million as of August 31, 2016.</w:t>
      </w:r>
    </w:p>
    <w:p>
      <w:pPr>
        <w:spacing w:after="0" w:line="190" w:lineRule="exact"/>
        <w:rPr>
          <w:sz w:val="20"/>
          <w:szCs w:val="20"/>
          <w:color w:val="auto"/>
        </w:rPr>
      </w:pPr>
    </w:p>
    <w:p>
      <w:pPr>
        <w:ind w:right="540" w:firstLine="456"/>
        <w:spacing w:after="0" w:line="277" w:lineRule="auto"/>
        <w:rPr>
          <w:sz w:val="20"/>
          <w:szCs w:val="20"/>
          <w:color w:val="auto"/>
        </w:rPr>
      </w:pPr>
      <w:r>
        <w:rPr>
          <w:rFonts w:ascii="Arial" w:cs="Arial" w:eastAsia="Arial" w:hAnsi="Arial"/>
          <w:sz w:val="18"/>
          <w:szCs w:val="18"/>
          <w:color w:val="auto"/>
        </w:rPr>
        <w:t>For the three and six months ended August 31, 2016, professional fees decreased $0.05 million, or 13.5%, and decreased $0.02 million, or 3.1%, respectively, compared to the three and six months ended August 31, 2015.</w:t>
      </w:r>
    </w:p>
    <w:p>
      <w:pPr>
        <w:spacing w:after="0" w:line="17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three months ended August 31, 2016, incentive management fees increased $1.2 million as compared to the three months ended August 31, 2015. The first part of the incentive management fees increased this year from $0.7 million to $0.8 million reflecting higher pre-incentive fee net investment income for the three months ended August 31, 2016. For the three months ended August 31, 2016, incentive management fees related to capital gains changed from a $0.8 million reduction of expense to a $0.4 million increase in expense as compared to the three months ended August 31, 2015, reflecting the $2.4 million net loss on investments for the three months ended August 31, 2015, as compared to the $2.7 million net gain on investments for the three months ended August 31, 2016.</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459" w:right="2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For the six months ended August 31, 2016, incentive management fees increased $0.2 million, or 10.3% compared to the six months ended August 31, 2015. The first part of the incentive management fees remained relatively unchanged this year at $1.4 million as a higher pre-incentive fee net investment income increase was offset by higher net assets that has led to decreased net investment income above the hurdle rate pursuant to the investment advisory and management agreement. However, for the six months ended August 31, 2016, incentive management fees in total increased $0.2 million as the incentive management fees related to capital gains increased from $0.3 million to $0.5 million compared to the six months ended August 31, 2015, reflecting the $3.2 million net gain on investments for the six months ended August 31, 2015, as compared to the $3.4 million net gain on investments for the six months ended August 31, 2016.</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discussed above, the increase in interest and debt financing expenses for the three and six months ended August 31, 2016 as compared to the three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six months ended August 31, 2015 is primarily attributable to an increase in the amount of outstanding debt. For the three and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31, 2016, there were no outstanding borrowings under the Credit Facility. For the three and six months ended August 31, 2015, the weighted average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interest rate on the outstanding borrowings under the Credit Facility was 6.00%. For the three months ended August 31, 2016 and August 31, 2015,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weighted average interest rate on the outstanding borrowings of the SBA debentures was 3.19% and 3.25%, respectively. For the six months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August 31, 2016 and August 31, 2015, the weighted average interest rate on the outstanding borrowings of the SBA debentures was 3.14% and 3.20%,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31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August 31, 2016, the Company had $50.3 million of sales, repayments, exits or restructurings resulting in $5.9 million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realized gains. For the six months ended August 31, 2016, the Company had $70.9 million of sales, repayments, exits or restructurings resulting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 million of net realized gains. The most significant realized gains during the six months ended August 31, 2016 were as follows (dollars in thousands):</w:t>
      </w: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Six Months ended August 31, 2016</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rPr>
              <w:t>Gross</w:t>
            </w: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49"/>
        </w:trPr>
        <w:tc>
          <w:tcPr>
            <w:tcW w:w="47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34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Asset Type</w:t>
            </w:r>
          </w:p>
        </w:tc>
        <w:tc>
          <w:tcPr>
            <w:tcW w:w="7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60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w w:val="96"/>
              </w:rPr>
              <w:t>Cost</w:t>
            </w:r>
          </w:p>
        </w:tc>
        <w:tc>
          <w:tcPr>
            <w:tcW w:w="220" w:type="dxa"/>
            <w:vAlign w:val="bottom"/>
          </w:tcPr>
          <w:p>
            <w:pPr>
              <w:spacing w:after="0"/>
              <w:rPr>
                <w:sz w:val="12"/>
                <w:szCs w:val="12"/>
                <w:color w:val="auto"/>
              </w:rPr>
            </w:pPr>
          </w:p>
        </w:tc>
        <w:tc>
          <w:tcPr>
            <w:tcW w:w="640" w:type="dxa"/>
            <w:vAlign w:val="bottom"/>
            <w:gridSpan w:val="2"/>
          </w:tcPr>
          <w:p>
            <w:pPr>
              <w:jc w:val="right"/>
              <w:ind w:right="10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4780" w:type="dxa"/>
            <w:vAlign w:val="bottom"/>
            <w:gridSpan w:val="2"/>
            <w:vMerge w:val="continue"/>
          </w:tcPr>
          <w:p>
            <w:pPr>
              <w:spacing w:after="0"/>
              <w:rPr>
                <w:sz w:val="14"/>
                <w:szCs w:val="14"/>
                <w:color w:val="auto"/>
              </w:rPr>
            </w:pPr>
          </w:p>
        </w:tc>
        <w:tc>
          <w:tcPr>
            <w:tcW w:w="2340" w:type="dxa"/>
            <w:vAlign w:val="bottom"/>
            <w:gridSpan w:val="2"/>
            <w:vMerge w:val="continue"/>
          </w:tcPr>
          <w:p>
            <w:pPr>
              <w:spacing w:after="0"/>
              <w:rPr>
                <w:sz w:val="14"/>
                <w:szCs w:val="14"/>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Proceeds</w:t>
            </w:r>
          </w:p>
        </w:tc>
        <w:tc>
          <w:tcPr>
            <w:tcW w:w="22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Gain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8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$ 6,457</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$481</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$ 5,976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gridSpan w:val="2"/>
          </w:tcPr>
          <w:p>
            <w:pPr>
              <w:spacing w:after="0"/>
              <w:rPr>
                <w:sz w:val="20"/>
                <w:szCs w:val="20"/>
                <w:color w:val="auto"/>
              </w:rPr>
            </w:pPr>
            <w:r>
              <w:rPr>
                <w:rFonts w:ascii="Arial" w:cs="Arial" w:eastAsia="Arial" w:hAnsi="Arial"/>
                <w:sz w:val="18"/>
                <w:szCs w:val="18"/>
                <w:color w:val="auto"/>
              </w:rPr>
              <w:t>Legacy Cabinets, Inc.</w:t>
            </w:r>
          </w:p>
        </w:tc>
        <w:tc>
          <w:tcPr>
            <w:tcW w:w="2340" w:type="dxa"/>
            <w:vAlign w:val="bottom"/>
            <w:gridSpan w:val="2"/>
          </w:tcPr>
          <w:p>
            <w:pPr>
              <w:spacing w:after="0"/>
              <w:rPr>
                <w:sz w:val="20"/>
                <w:szCs w:val="20"/>
                <w:color w:val="auto"/>
              </w:rPr>
            </w:pPr>
            <w:r>
              <w:rPr>
                <w:rFonts w:ascii="Arial" w:cs="Arial" w:eastAsia="Arial" w:hAnsi="Arial"/>
                <w:sz w:val="18"/>
                <w:szCs w:val="18"/>
                <w:color w:val="auto"/>
              </w:rPr>
              <w:t>Common Stock Voting A-1</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2,320</w:t>
            </w:r>
          </w:p>
        </w:tc>
        <w:tc>
          <w:tcPr>
            <w:tcW w:w="820" w:type="dxa"/>
            <w:vAlign w:val="bottom"/>
            <w:gridSpan w:val="3"/>
          </w:tcPr>
          <w:p>
            <w:pPr>
              <w:jc w:val="right"/>
              <w:ind w:right="240"/>
              <w:spacing w:after="0"/>
              <w:rPr>
                <w:sz w:val="20"/>
                <w:szCs w:val="20"/>
                <w:color w:val="auto"/>
              </w:rPr>
            </w:pPr>
            <w:r>
              <w:rPr>
                <w:rFonts w:ascii="Arial" w:cs="Arial" w:eastAsia="Arial" w:hAnsi="Arial"/>
                <w:sz w:val="18"/>
                <w:szCs w:val="18"/>
                <w:color w:val="auto"/>
              </w:rPr>
              <w:t>221</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2,099</w:t>
            </w:r>
          </w:p>
        </w:tc>
        <w:tc>
          <w:tcPr>
            <w:tcW w:w="0" w:type="dxa"/>
            <w:vAlign w:val="bottom"/>
          </w:tcPr>
          <w:p>
            <w:pPr>
              <w:spacing w:after="0"/>
              <w:rPr>
                <w:sz w:val="1"/>
                <w:szCs w:val="1"/>
                <w:color w:val="auto"/>
              </w:rPr>
            </w:pPr>
          </w:p>
        </w:tc>
      </w:tr>
      <w:tr>
        <w:trPr>
          <w:trHeight w:val="216"/>
        </w:trPr>
        <w:tc>
          <w:tcPr>
            <w:tcW w:w="4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2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 Voting B-1</w:t>
            </w:r>
          </w:p>
        </w:tc>
        <w:tc>
          <w:tcPr>
            <w:tcW w:w="7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1,464</w:t>
            </w:r>
          </w:p>
        </w:tc>
        <w:tc>
          <w:tcPr>
            <w:tcW w:w="8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139</w:t>
            </w:r>
          </w:p>
        </w:tc>
        <w:tc>
          <w:tcPr>
            <w:tcW w:w="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1,325</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0" w:firstLine="456"/>
        <w:spacing w:after="0" w:line="277" w:lineRule="auto"/>
        <w:rPr>
          <w:sz w:val="20"/>
          <w:szCs w:val="20"/>
          <w:color w:val="auto"/>
        </w:rPr>
      </w:pPr>
      <w:r>
        <w:rPr>
          <w:rFonts w:ascii="Arial" w:cs="Arial" w:eastAsia="Arial" w:hAnsi="Arial"/>
          <w:sz w:val="18"/>
          <w:szCs w:val="18"/>
          <w:color w:val="auto"/>
        </w:rPr>
        <w:t>The $6.0 million of realized gain on our investment in Take 5 Oil Change, L.L.C. was due to the completion of a sales transaction with a strategic acquirer.</w:t>
      </w:r>
    </w:p>
    <w:p>
      <w:pPr>
        <w:spacing w:after="0" w:line="170"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The $3.4 million of realized gains on our investments in Legacy Cabinets, Inc. were due to a period of steadily improving performance, leading up to our sale of shares in Legacy Cabinets, Inc.</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August 31, 2015, the Company had $27.4 million of sales, repayments, exits or restructurings resulting in $3.7 million of</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net realized gains. For the six months ended August 31, 2015, the Company had $34.8 million of sales, repayments, exits or restructurings resulting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$3.8 million of net realized gains. The most significant realized gains during the six months ended August 31, 2015 were as follows (dollars in thousands):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Six Months ended August 31, 2015</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49"/>
        </w:trPr>
        <w:tc>
          <w:tcPr>
            <w:tcW w:w="5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6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Asset Type</w:t>
            </w:r>
          </w:p>
        </w:tc>
        <w:tc>
          <w:tcPr>
            <w:tcW w:w="1000" w:type="dxa"/>
            <w:vAlign w:val="bottom"/>
            <w:gridSpan w:val="2"/>
            <w:vMerge w:val="continue"/>
          </w:tcPr>
          <w:p>
            <w:pPr>
              <w:spacing w:after="0"/>
              <w:rPr>
                <w:sz w:val="12"/>
                <w:szCs w:val="12"/>
                <w:color w:val="auto"/>
              </w:rPr>
            </w:pPr>
          </w:p>
        </w:tc>
        <w:tc>
          <w:tcPr>
            <w:tcW w:w="64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6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1"/>
              </w:rPr>
              <w:t>Realized</w:t>
            </w:r>
          </w:p>
        </w:tc>
        <w:tc>
          <w:tcPr>
            <w:tcW w:w="0" w:type="dxa"/>
            <w:vAlign w:val="bottom"/>
          </w:tcPr>
          <w:p>
            <w:pPr>
              <w:spacing w:after="0"/>
              <w:rPr>
                <w:sz w:val="1"/>
                <w:szCs w:val="1"/>
                <w:color w:val="auto"/>
              </w:rPr>
            </w:pPr>
          </w:p>
        </w:tc>
      </w:tr>
      <w:tr>
        <w:trPr>
          <w:trHeight w:val="171"/>
        </w:trPr>
        <w:tc>
          <w:tcPr>
            <w:tcW w:w="5480" w:type="dxa"/>
            <w:vAlign w:val="bottom"/>
            <w:gridSpan w:val="2"/>
            <w:vMerge w:val="continue"/>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0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Proceeds</w:t>
            </w:r>
          </w:p>
        </w:tc>
        <w:tc>
          <w:tcPr>
            <w:tcW w:w="6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Gain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5100" w:type="dxa"/>
            <w:vAlign w:val="bottom"/>
            <w:shd w:val="clear" w:color="auto" w:fill="CCEEFF"/>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vMerge w:val="restart"/>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Network Communications, Inc.</w:t>
            </w:r>
          </w:p>
        </w:tc>
        <w:tc>
          <w:tcPr>
            <w:tcW w:w="126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40" w:type="dxa"/>
            <w:vAlign w:val="bottom"/>
            <w:vMerge w:val="continue"/>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$ 3,206</w:t>
            </w:r>
          </w:p>
        </w:tc>
        <w:tc>
          <w:tcPr>
            <w:tcW w:w="440" w:type="dxa"/>
            <w:vAlign w:val="bottom"/>
            <w:vMerge w:val="continue"/>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22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$ 3,206</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80" w:type="dxa"/>
            <w:vAlign w:val="bottom"/>
            <w:gridSpan w:val="2"/>
          </w:tcPr>
          <w:p>
            <w:pPr>
              <w:spacing w:after="0"/>
              <w:rPr>
                <w:sz w:val="20"/>
                <w:szCs w:val="20"/>
                <w:color w:val="auto"/>
              </w:rPr>
            </w:pPr>
            <w:r>
              <w:rPr>
                <w:rFonts w:ascii="Arial" w:cs="Arial" w:eastAsia="Arial" w:hAnsi="Arial"/>
                <w:sz w:val="18"/>
                <w:szCs w:val="18"/>
                <w:color w:val="auto"/>
              </w:rPr>
              <w:t>Network Communications, Inc</w:t>
            </w:r>
          </w:p>
        </w:tc>
        <w:tc>
          <w:tcPr>
            <w:tcW w:w="1600" w:type="dxa"/>
            <w:vAlign w:val="bottom"/>
            <w:gridSpan w:val="2"/>
          </w:tcPr>
          <w:p>
            <w:pPr>
              <w:spacing w:after="0"/>
              <w:rPr>
                <w:sz w:val="20"/>
                <w:szCs w:val="20"/>
                <w:color w:val="auto"/>
              </w:rPr>
            </w:pPr>
            <w:r>
              <w:rPr>
                <w:rFonts w:ascii="Arial" w:cs="Arial" w:eastAsia="Arial" w:hAnsi="Arial"/>
                <w:sz w:val="18"/>
                <w:szCs w:val="18"/>
                <w:color w:val="auto"/>
              </w:rPr>
              <w:t>Unsecured Notes</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914</w:t>
            </w:r>
          </w:p>
        </w:tc>
        <w:tc>
          <w:tcPr>
            <w:tcW w:w="640" w:type="dxa"/>
            <w:vAlign w:val="bottom"/>
            <w:gridSpan w:val="2"/>
          </w:tcPr>
          <w:p>
            <w:pPr>
              <w:jc w:val="right"/>
              <w:ind w:right="220"/>
              <w:spacing w:after="0"/>
              <w:rPr>
                <w:sz w:val="20"/>
                <w:szCs w:val="20"/>
                <w:color w:val="auto"/>
              </w:rPr>
            </w:pPr>
            <w:r>
              <w:rPr>
                <w:rFonts w:ascii="Arial" w:cs="Arial" w:eastAsia="Arial" w:hAnsi="Arial"/>
                <w:sz w:val="18"/>
                <w:szCs w:val="18"/>
                <w:color w:val="auto"/>
              </w:rPr>
              <w:t>686</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The $3.2 million and $0.2 million of realized gains in our investments in Network Communications, Inc. were due to the sale of the company to a third party and reflects the realization value pursuant to that transaction.</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459" w:right="2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three months ended August 31, 2016, our investments had net unrealized depreciation of $3.3 million versus net unrealized depreciation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$6.1 million for the three months ended August 31, 2015. For the six months ended August 31, 2016, our investments had net unrealized depreciation of $8.6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versus net unrealized depreciation of $0.6 million for the six months ended August 31, 2015. The most significant cumulative changes in unrealized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appreciation and depreciation for the six months ended August 31, 2016, were the following (dollars in thousands):</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Months ended August 31, 2016</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gridSpan w:val="2"/>
            <w:vMerge w:val="restart"/>
          </w:tcPr>
          <w:p>
            <w:pPr>
              <w:jc w:val="center"/>
              <w:ind w:right="440"/>
              <w:spacing w:after="0"/>
              <w:rPr>
                <w:sz w:val="20"/>
                <w:szCs w:val="20"/>
                <w:color w:val="auto"/>
              </w:rPr>
            </w:pPr>
            <w:r>
              <w:rPr>
                <w:rFonts w:ascii="Arial" w:cs="Arial" w:eastAsia="Arial" w:hAnsi="Arial"/>
                <w:sz w:val="14"/>
                <w:szCs w:val="14"/>
                <w:b w:val="1"/>
                <w:bCs w:val="1"/>
                <w:color w:val="auto"/>
              </w:rPr>
              <w:t>Fair</w:t>
            </w:r>
          </w:p>
        </w:tc>
        <w:tc>
          <w:tcPr>
            <w:tcW w:w="180" w:type="dxa"/>
            <w:vAlign w:val="bottom"/>
          </w:tcPr>
          <w:p>
            <w:pPr>
              <w:spacing w:after="0"/>
              <w:rPr>
                <w:sz w:val="14"/>
                <w:szCs w:val="14"/>
                <w:color w:val="auto"/>
              </w:rPr>
            </w:pPr>
          </w:p>
        </w:tc>
        <w:tc>
          <w:tcPr>
            <w:tcW w:w="88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940" w:type="dxa"/>
            <w:vAlign w:val="bottom"/>
            <w:gridSpan w:val="2"/>
          </w:tcPr>
          <w:p>
            <w:pPr>
              <w:spacing w:after="0"/>
              <w:rPr>
                <w:sz w:val="20"/>
                <w:szCs w:val="20"/>
                <w:color w:val="auto"/>
              </w:rPr>
            </w:pPr>
            <w:r>
              <w:rPr>
                <w:rFonts w:ascii="Arial" w:cs="Arial" w:eastAsia="Arial" w:hAnsi="Arial"/>
                <w:sz w:val="14"/>
                <w:szCs w:val="14"/>
                <w:b w:val="1"/>
                <w:bCs w:val="1"/>
                <w:color w:val="auto"/>
              </w:rPr>
              <w:t>YTD Change</w:t>
            </w:r>
          </w:p>
        </w:tc>
        <w:tc>
          <w:tcPr>
            <w:tcW w:w="0" w:type="dxa"/>
            <w:vAlign w:val="bottom"/>
          </w:tcPr>
          <w:p>
            <w:pPr>
              <w:spacing w:after="0"/>
              <w:rPr>
                <w:sz w:val="1"/>
                <w:szCs w:val="1"/>
                <w:color w:val="auto"/>
              </w:rPr>
            </w:pPr>
          </w:p>
        </w:tc>
      </w:tr>
      <w:tr>
        <w:trPr>
          <w:trHeight w:val="149"/>
        </w:trPr>
        <w:tc>
          <w:tcPr>
            <w:tcW w:w="3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900" w:type="dxa"/>
            <w:vAlign w:val="bottom"/>
          </w:tcPr>
          <w:p>
            <w:pPr>
              <w:spacing w:after="0"/>
              <w:rPr>
                <w:sz w:val="12"/>
                <w:szCs w:val="12"/>
                <w:color w:val="auto"/>
              </w:rPr>
            </w:pPr>
          </w:p>
        </w:tc>
        <w:tc>
          <w:tcPr>
            <w:tcW w:w="2320" w:type="dxa"/>
            <w:vAlign w:val="bottom"/>
            <w:gridSpan w:val="2"/>
            <w:vMerge w:val="restart"/>
          </w:tcPr>
          <w:p>
            <w:pPr>
              <w:ind w:left="640"/>
              <w:spacing w:after="0"/>
              <w:rPr>
                <w:sz w:val="20"/>
                <w:szCs w:val="20"/>
                <w:color w:val="auto"/>
              </w:rPr>
            </w:pPr>
            <w:r>
              <w:rPr>
                <w:rFonts w:ascii="Arial" w:cs="Arial" w:eastAsia="Arial" w:hAnsi="Arial"/>
                <w:sz w:val="14"/>
                <w:szCs w:val="14"/>
                <w:b w:val="1"/>
                <w:bCs w:val="1"/>
                <w:color w:val="auto"/>
              </w:rPr>
              <w:t>Asset Type</w:t>
            </w: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Cost</w:t>
            </w:r>
          </w:p>
        </w:tc>
        <w:tc>
          <w:tcPr>
            <w:tcW w:w="820" w:type="dxa"/>
            <w:vAlign w:val="bottom"/>
            <w:gridSpan w:val="2"/>
            <w:vMerge w:val="continue"/>
          </w:tcPr>
          <w:p>
            <w:pPr>
              <w:spacing w:after="0"/>
              <w:rPr>
                <w:sz w:val="12"/>
                <w:szCs w:val="12"/>
                <w:color w:val="auto"/>
              </w:rPr>
            </w:pPr>
          </w:p>
        </w:tc>
        <w:tc>
          <w:tcPr>
            <w:tcW w:w="10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Unrealized</w:t>
            </w:r>
          </w:p>
        </w:tc>
        <w:tc>
          <w:tcPr>
            <w:tcW w:w="220" w:type="dxa"/>
            <w:vAlign w:val="bottom"/>
          </w:tcPr>
          <w:p>
            <w:pPr>
              <w:spacing w:after="0"/>
              <w:rPr>
                <w:sz w:val="12"/>
                <w:szCs w:val="12"/>
                <w:color w:val="auto"/>
              </w:rPr>
            </w:pPr>
          </w:p>
        </w:tc>
        <w:tc>
          <w:tcPr>
            <w:tcW w:w="94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in Unrealized</w:t>
            </w:r>
          </w:p>
        </w:tc>
        <w:tc>
          <w:tcPr>
            <w:tcW w:w="0" w:type="dxa"/>
            <w:vAlign w:val="bottom"/>
          </w:tcPr>
          <w:p>
            <w:pPr>
              <w:spacing w:after="0"/>
              <w:rPr>
                <w:sz w:val="1"/>
                <w:szCs w:val="1"/>
                <w:color w:val="auto"/>
              </w:rPr>
            </w:pPr>
          </w:p>
        </w:tc>
      </w:tr>
      <w:tr>
        <w:trPr>
          <w:trHeight w:val="171"/>
        </w:trPr>
        <w:tc>
          <w:tcPr>
            <w:tcW w:w="3300" w:type="dxa"/>
            <w:vAlign w:val="bottom"/>
            <w:gridSpan w:val="2"/>
            <w:vMerge w:val="continue"/>
          </w:tcPr>
          <w:p>
            <w:pPr>
              <w:spacing w:after="0"/>
              <w:rPr>
                <w:sz w:val="14"/>
                <w:szCs w:val="14"/>
                <w:color w:val="auto"/>
              </w:rPr>
            </w:pPr>
          </w:p>
        </w:tc>
        <w:tc>
          <w:tcPr>
            <w:tcW w:w="900" w:type="dxa"/>
            <w:vAlign w:val="bottom"/>
          </w:tcPr>
          <w:p>
            <w:pPr>
              <w:spacing w:after="0"/>
              <w:rPr>
                <w:sz w:val="14"/>
                <w:szCs w:val="14"/>
                <w:color w:val="auto"/>
              </w:rPr>
            </w:pPr>
          </w:p>
        </w:tc>
        <w:tc>
          <w:tcPr>
            <w:tcW w:w="2320" w:type="dxa"/>
            <w:vAlign w:val="bottom"/>
            <w:gridSpan w:val="2"/>
            <w:vMerge w:val="continue"/>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8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0"/>
              </w:rPr>
              <w:t>Value</w:t>
            </w:r>
          </w:p>
        </w:tc>
        <w:tc>
          <w:tcPr>
            <w:tcW w:w="106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1"/>
              </w:rPr>
              <w:t>Depreciation</w:t>
            </w:r>
          </w:p>
        </w:tc>
        <w:tc>
          <w:tcPr>
            <w:tcW w:w="220" w:type="dxa"/>
            <w:vAlign w:val="bottom"/>
          </w:tcPr>
          <w:p>
            <w:pPr>
              <w:spacing w:after="0"/>
              <w:rPr>
                <w:sz w:val="14"/>
                <w:szCs w:val="14"/>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Depreciation</w:t>
            </w:r>
          </w:p>
        </w:tc>
        <w:tc>
          <w:tcPr>
            <w:tcW w:w="0" w:type="dxa"/>
            <w:vAlign w:val="bottom"/>
          </w:tcPr>
          <w:p>
            <w:pPr>
              <w:spacing w:after="0"/>
              <w:rPr>
                <w:sz w:val="1"/>
                <w:szCs w:val="1"/>
                <w:color w:val="auto"/>
              </w:rPr>
            </w:pPr>
          </w:p>
        </w:tc>
      </w:tr>
      <w:tr>
        <w:trPr>
          <w:trHeight w:val="210"/>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9"/>
              </w:rPr>
              <w:t>Take</w:t>
            </w:r>
          </w:p>
        </w:tc>
        <w:tc>
          <w:tcPr>
            <w:tcW w:w="29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5 Oil Change, L.L.C</w:t>
            </w:r>
          </w:p>
        </w:tc>
        <w:tc>
          <w:tcPr>
            <w:tcW w:w="90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w:t>
            </w: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  —</w:t>
            </w:r>
          </w:p>
        </w:tc>
        <w:tc>
          <w:tcPr>
            <w:tcW w:w="4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w:t>
            </w:r>
          </w:p>
        </w:tc>
        <w:tc>
          <w:tcPr>
            <w:tcW w:w="4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center"/>
              <w:ind w:left="194"/>
              <w:spacing w:after="0"/>
              <w:rPr>
                <w:sz w:val="20"/>
                <w:szCs w:val="20"/>
                <w:color w:val="auto"/>
              </w:rPr>
            </w:pPr>
            <w:r>
              <w:rPr>
                <w:rFonts w:ascii="Arial" w:cs="Arial" w:eastAsia="Arial" w:hAnsi="Arial"/>
                <w:sz w:val="18"/>
                <w:szCs w:val="18"/>
                <w:color w:val="auto"/>
                <w:w w:val="99"/>
              </w:rPr>
              <w:t>—</w:t>
            </w:r>
          </w:p>
        </w:tc>
        <w:tc>
          <w:tcPr>
            <w:tcW w:w="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   (5,755)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00" w:type="dxa"/>
            <w:vAlign w:val="bottom"/>
            <w:gridSpan w:val="2"/>
          </w:tcPr>
          <w:p>
            <w:pPr>
              <w:spacing w:after="0"/>
              <w:rPr>
                <w:sz w:val="20"/>
                <w:szCs w:val="20"/>
                <w:color w:val="auto"/>
              </w:rPr>
            </w:pPr>
            <w:r>
              <w:rPr>
                <w:rFonts w:ascii="Arial" w:cs="Arial" w:eastAsia="Arial" w:hAnsi="Arial"/>
                <w:sz w:val="18"/>
                <w:szCs w:val="18"/>
                <w:color w:val="auto"/>
              </w:rPr>
              <w:t>Legacy Cabinets, Inc.</w:t>
            </w:r>
          </w:p>
        </w:tc>
        <w:tc>
          <w:tcPr>
            <w:tcW w:w="3220" w:type="dxa"/>
            <w:vAlign w:val="bottom"/>
            <w:gridSpan w:val="3"/>
          </w:tcPr>
          <w:p>
            <w:pPr>
              <w:ind w:left="900"/>
              <w:spacing w:after="0"/>
              <w:rPr>
                <w:sz w:val="20"/>
                <w:szCs w:val="20"/>
                <w:color w:val="auto"/>
              </w:rPr>
            </w:pPr>
            <w:r>
              <w:rPr>
                <w:rFonts w:ascii="Arial" w:cs="Arial" w:eastAsia="Arial" w:hAnsi="Arial"/>
                <w:sz w:val="18"/>
                <w:szCs w:val="18"/>
                <w:color w:val="auto"/>
              </w:rPr>
              <w:t>Common Stock Voting A-1</w:t>
            </w:r>
          </w:p>
        </w:tc>
        <w:tc>
          <w:tcPr>
            <w:tcW w:w="94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8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16"/>
        </w:trPr>
        <w:tc>
          <w:tcPr>
            <w:tcW w:w="33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Legacy Cabinets, Inc.</w:t>
            </w:r>
          </w:p>
        </w:tc>
        <w:tc>
          <w:tcPr>
            <w:tcW w:w="322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Common Stock Voting B-1</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30"/>
        </w:trPr>
        <w:tc>
          <w:tcPr>
            <w:tcW w:w="3300" w:type="dxa"/>
            <w:vAlign w:val="bottom"/>
            <w:gridSpan w:val="2"/>
          </w:tcPr>
          <w:p>
            <w:pPr>
              <w:spacing w:after="0"/>
              <w:rPr>
                <w:sz w:val="20"/>
                <w:szCs w:val="20"/>
                <w:color w:val="auto"/>
              </w:rPr>
            </w:pPr>
            <w:r>
              <w:rPr>
                <w:rFonts w:ascii="Arial" w:cs="Arial" w:eastAsia="Arial" w:hAnsi="Arial"/>
                <w:sz w:val="18"/>
                <w:szCs w:val="18"/>
                <w:color w:val="auto"/>
              </w:rPr>
              <w:t>Elyria Foundry Company, L.L.C.</w:t>
            </w:r>
          </w:p>
        </w:tc>
        <w:tc>
          <w:tcPr>
            <w:tcW w:w="3220" w:type="dxa"/>
            <w:vAlign w:val="bottom"/>
            <w:gridSpan w:val="3"/>
          </w:tcPr>
          <w:p>
            <w:pPr>
              <w:ind w:left="900"/>
              <w:spacing w:after="0"/>
              <w:rPr>
                <w:sz w:val="20"/>
                <w:szCs w:val="20"/>
                <w:color w:val="auto"/>
              </w:rPr>
            </w:pPr>
            <w:r>
              <w:rPr>
                <w:rFonts w:ascii="Arial" w:cs="Arial" w:eastAsia="Arial" w:hAnsi="Arial"/>
                <w:sz w:val="18"/>
                <w:szCs w:val="18"/>
                <w:color w:val="auto"/>
              </w:rPr>
              <w:t>Common Stock</w:t>
            </w:r>
          </w:p>
        </w:tc>
        <w:tc>
          <w:tcPr>
            <w:tcW w:w="500" w:type="dxa"/>
            <w:vAlign w:val="bottom"/>
          </w:tcPr>
          <w:p>
            <w:pPr>
              <w:jc w:val="right"/>
              <w:spacing w:after="0"/>
              <w:rPr>
                <w:sz w:val="20"/>
                <w:szCs w:val="20"/>
                <w:color w:val="auto"/>
              </w:rPr>
            </w:pPr>
            <w:r>
              <w:rPr>
                <w:rFonts w:ascii="Arial" w:cs="Arial" w:eastAsia="Arial" w:hAnsi="Arial"/>
                <w:sz w:val="18"/>
                <w:szCs w:val="18"/>
                <w:color w:val="auto"/>
              </w:rPr>
              <w:t>9,217</w:t>
            </w:r>
          </w:p>
        </w:tc>
        <w:tc>
          <w:tcPr>
            <w:tcW w:w="440" w:type="dxa"/>
            <w:vAlign w:val="bottom"/>
          </w:tcPr>
          <w:p>
            <w:pPr>
              <w:spacing w:after="0"/>
              <w:rPr>
                <w:sz w:val="20"/>
                <w:szCs w:val="20"/>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8"/>
                <w:szCs w:val="18"/>
                <w:color w:val="auto"/>
              </w:rPr>
              <w:t>314</w:t>
            </w:r>
          </w:p>
        </w:tc>
        <w:tc>
          <w:tcPr>
            <w:tcW w:w="180" w:type="dxa"/>
            <w:vAlign w:val="bottom"/>
          </w:tcPr>
          <w:p>
            <w:pPr>
              <w:spacing w:after="0"/>
              <w:rPr>
                <w:sz w:val="20"/>
                <w:szCs w:val="20"/>
                <w:color w:val="auto"/>
              </w:rPr>
            </w:pPr>
          </w:p>
        </w:tc>
        <w:tc>
          <w:tcPr>
            <w:tcW w:w="8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(8,903)</w:t>
            </w:r>
          </w:p>
        </w:tc>
        <w:tc>
          <w:tcPr>
            <w:tcW w:w="1160" w:type="dxa"/>
            <w:vAlign w:val="bottom"/>
            <w:gridSpan w:val="3"/>
          </w:tcPr>
          <w:p>
            <w:pPr>
              <w:jc w:val="right"/>
              <w:ind w:right="40"/>
              <w:spacing w:after="0"/>
              <w:rPr>
                <w:sz w:val="20"/>
                <w:szCs w:val="20"/>
                <w:color w:val="auto"/>
              </w:rPr>
            </w:pPr>
            <w:r>
              <w:rPr>
                <w:rFonts w:ascii="Arial" w:cs="Arial" w:eastAsia="Arial" w:hAnsi="Arial"/>
                <w:sz w:val="18"/>
                <w:szCs w:val="18"/>
                <w:color w:val="auto"/>
              </w:rPr>
              <w:t>(1,712)</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$5.8 million of change in unrealized depreciation in our investment in Take 5 Oil Change, L.L.C. was driven by the completion of a sales transaction with a strategic acquirer. In realizing this gain as a result of the sale, unrealized appreciation was adjusted to zero, which resulted in a $5.8 million change in unrealized depreciation for the period.</w:t>
      </w:r>
    </w:p>
    <w:p>
      <w:pPr>
        <w:spacing w:after="0" w:line="181" w:lineRule="exact"/>
        <w:rPr>
          <w:sz w:val="20"/>
          <w:szCs w:val="20"/>
          <w:color w:val="auto"/>
        </w:rPr>
      </w:pPr>
    </w:p>
    <w:p>
      <w:pPr>
        <w:jc w:val="both"/>
        <w:ind w:right="20" w:firstLine="456"/>
        <w:spacing w:after="0" w:line="264" w:lineRule="auto"/>
        <w:rPr>
          <w:sz w:val="20"/>
          <w:szCs w:val="20"/>
          <w:color w:val="auto"/>
        </w:rPr>
      </w:pPr>
      <w:r>
        <w:rPr>
          <w:rFonts w:ascii="Arial" w:cs="Arial" w:eastAsia="Arial" w:hAnsi="Arial"/>
          <w:sz w:val="18"/>
          <w:szCs w:val="18"/>
          <w:color w:val="auto"/>
        </w:rPr>
        <w:t>The $4.0 million of change in unrealized depreciation in our investments in Legacy Cabinets, Inc. were driven by the completion of a sales transaction. In realizing these gains as a result of the sale, unrealized appreciation was adjusted to zero, which resulted in a $4.0 million change in unrealized depreciation for the period.</w:t>
      </w:r>
    </w:p>
    <w:p>
      <w:pPr>
        <w:spacing w:after="0" w:line="181"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The $1.7 million of change in unrealized depreciation in our investment in Elyria Foundry Company, L.L.C. was driven by a continued decline in oil and gas end markets since year-end, negatively impacting the company’s performance.</w:t>
      </w:r>
    </w:p>
    <w:p>
      <w:pPr>
        <w:spacing w:after="0" w:line="170"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The most significant cumulative changes in unrealized appreciation and depreciation for the six months ended August 31, 2015, were the following (dollars in thousands):</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Six Months ended August 31, 2015</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Fair</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gridSpan w:val="2"/>
          </w:tcPr>
          <w:p>
            <w:pPr>
              <w:jc w:val="center"/>
              <w:ind w:right="62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9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2580" w:type="dxa"/>
            <w:vAlign w:val="bottom"/>
            <w:vMerge w:val="restart"/>
          </w:tcPr>
          <w:p>
            <w:pPr>
              <w:ind w:left="960"/>
              <w:spacing w:after="0"/>
              <w:rPr>
                <w:sz w:val="20"/>
                <w:szCs w:val="20"/>
                <w:color w:val="auto"/>
              </w:rPr>
            </w:pPr>
            <w:r>
              <w:rPr>
                <w:rFonts w:ascii="Arial" w:cs="Arial" w:eastAsia="Arial" w:hAnsi="Arial"/>
                <w:sz w:val="14"/>
                <w:szCs w:val="14"/>
                <w:b w:val="1"/>
                <w:bCs w:val="1"/>
                <w:color w:val="auto"/>
              </w:rPr>
              <w:t>Asset Type</w:t>
            </w:r>
          </w:p>
        </w:tc>
        <w:tc>
          <w:tcPr>
            <w:tcW w:w="40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84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400" w:type="dxa"/>
            <w:vAlign w:val="bottom"/>
            <w:gridSpan w:val="3"/>
          </w:tcPr>
          <w:p>
            <w:pPr>
              <w:jc w:val="center"/>
              <w:ind w:right="5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920" w:type="dxa"/>
            <w:vAlign w:val="bottom"/>
            <w:gridSpan w:val="2"/>
            <w:vMerge w:val="continue"/>
          </w:tcPr>
          <w:p>
            <w:pPr>
              <w:spacing w:after="0"/>
              <w:rPr>
                <w:sz w:val="14"/>
                <w:szCs w:val="14"/>
                <w:color w:val="auto"/>
              </w:rPr>
            </w:pPr>
          </w:p>
        </w:tc>
        <w:tc>
          <w:tcPr>
            <w:tcW w:w="258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8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Value</w:t>
            </w:r>
          </w:p>
        </w:tc>
        <w:tc>
          <w:tcPr>
            <w:tcW w:w="260" w:type="dxa"/>
            <w:vAlign w:val="bottom"/>
          </w:tcPr>
          <w:p>
            <w:pPr>
              <w:spacing w:after="0"/>
              <w:rPr>
                <w:sz w:val="14"/>
                <w:szCs w:val="14"/>
                <w:color w:val="auto"/>
              </w:rPr>
            </w:pPr>
          </w:p>
        </w:tc>
        <w:tc>
          <w:tcPr>
            <w:tcW w:w="140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20"/>
        </w:trPr>
        <w:tc>
          <w:tcPr>
            <w:tcW w:w="380" w:type="dxa"/>
            <w:vAlign w:val="bottom"/>
            <w:shd w:val="clear" w:color="auto" w:fill="000000"/>
          </w:tcPr>
          <w:p>
            <w:pPr>
              <w:spacing w:after="0" w:line="20" w:lineRule="exact"/>
              <w:rPr>
                <w:sz w:val="1"/>
                <w:szCs w:val="1"/>
                <w:color w:val="auto"/>
              </w:rPr>
            </w:pPr>
          </w:p>
        </w:tc>
        <w:tc>
          <w:tcPr>
            <w:tcW w:w="2540" w:type="dxa"/>
            <w:vAlign w:val="bottom"/>
            <w:shd w:val="clear" w:color="auto" w:fill="CCEEFF"/>
          </w:tcPr>
          <w:p>
            <w:pPr>
              <w:spacing w:after="0" w:line="20" w:lineRule="exact"/>
              <w:rPr>
                <w:sz w:val="1"/>
                <w:szCs w:val="1"/>
                <w:color w:val="auto"/>
              </w:rPr>
            </w:pPr>
          </w:p>
        </w:tc>
        <w:tc>
          <w:tcPr>
            <w:tcW w:w="2580" w:type="dxa"/>
            <w:vAlign w:val="bottom"/>
            <w:shd w:val="clear" w:color="auto" w:fill="000000"/>
          </w:tcPr>
          <w:p>
            <w:pPr>
              <w:spacing w:after="0" w:line="20" w:lineRule="exact"/>
              <w:rPr>
                <w:sz w:val="1"/>
                <w:szCs w:val="1"/>
                <w:color w:val="auto"/>
              </w:rPr>
            </w:pPr>
          </w:p>
        </w:tc>
        <w:tc>
          <w:tcPr>
            <w:tcW w:w="4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vMerge w:val="restart"/>
            <w:shd w:val="clear" w:color="auto" w:fill="CCEEFF"/>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60" w:type="dxa"/>
            <w:vAlign w:val="bottom"/>
            <w:vMerge w:val="restart"/>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20" w:type="dxa"/>
            <w:vAlign w:val="bottom"/>
            <w:vMerge w:val="restart"/>
            <w:shd w:val="clear" w:color="auto" w:fill="CCEEFF"/>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Saratoga CLO</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w w:val="89"/>
              </w:rPr>
              <w:t>Other/Structured Finance Securities</w:t>
            </w:r>
          </w:p>
        </w:tc>
        <w:tc>
          <w:tcPr>
            <w:tcW w:w="4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$14,304</w:t>
            </w:r>
          </w:p>
        </w:tc>
        <w:tc>
          <w:tcPr>
            <w:tcW w:w="500" w:type="dxa"/>
            <w:vAlign w:val="bottom"/>
            <w:vMerge w:val="continue"/>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$16,754</w:t>
            </w:r>
          </w:p>
        </w:tc>
        <w:tc>
          <w:tcPr>
            <w:tcW w:w="24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center"/>
              <w:ind w:left="297"/>
              <w:spacing w:after="0"/>
              <w:rPr>
                <w:sz w:val="20"/>
                <w:szCs w:val="20"/>
                <w:color w:val="auto"/>
              </w:rPr>
            </w:pPr>
            <w:r>
              <w:rPr>
                <w:rFonts w:ascii="Arial" w:cs="Arial" w:eastAsia="Arial" w:hAnsi="Arial"/>
                <w:sz w:val="18"/>
                <w:szCs w:val="18"/>
                <w:color w:val="auto"/>
                <w:w w:val="88"/>
              </w:rPr>
              <w:t>2,450</w:t>
            </w:r>
          </w:p>
        </w:tc>
        <w:tc>
          <w:tcPr>
            <w:tcW w:w="520" w:type="dxa"/>
            <w:vAlign w:val="bottom"/>
            <w:vMerge w:val="continue"/>
            <w:shd w:val="clear" w:color="auto" w:fill="CCEEFF"/>
          </w:tcPr>
          <w:p>
            <w:pPr>
              <w:spacing w:after="0"/>
              <w:rPr>
                <w:sz w:val="18"/>
                <w:szCs w:val="18"/>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w:t>
            </w:r>
          </w:p>
        </w:tc>
        <w:tc>
          <w:tcPr>
            <w:tcW w:w="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20" w:type="dxa"/>
            <w:vAlign w:val="bottom"/>
            <w:gridSpan w:val="2"/>
          </w:tcPr>
          <w:p>
            <w:pPr>
              <w:spacing w:after="0"/>
              <w:rPr>
                <w:sz w:val="20"/>
                <w:szCs w:val="20"/>
                <w:color w:val="auto"/>
              </w:rPr>
            </w:pPr>
            <w:r>
              <w:rPr>
                <w:rFonts w:ascii="Arial" w:cs="Arial" w:eastAsia="Arial" w:hAnsi="Arial"/>
                <w:sz w:val="18"/>
                <w:szCs w:val="18"/>
                <w:color w:val="auto"/>
              </w:rPr>
              <w:t>Elyria Foundry Company, LLC.</w:t>
            </w:r>
          </w:p>
        </w:tc>
        <w:tc>
          <w:tcPr>
            <w:tcW w:w="2580" w:type="dxa"/>
            <w:vAlign w:val="bottom"/>
          </w:tcPr>
          <w:p>
            <w:pPr>
              <w:spacing w:after="0"/>
              <w:rPr>
                <w:sz w:val="20"/>
                <w:szCs w:val="20"/>
                <w:color w:val="auto"/>
              </w:rPr>
            </w:pPr>
            <w:r>
              <w:rPr>
                <w:rFonts w:ascii="Arial" w:cs="Arial" w:eastAsia="Arial" w:hAnsi="Arial"/>
                <w:sz w:val="18"/>
                <w:szCs w:val="18"/>
                <w:color w:val="auto"/>
              </w:rPr>
              <w:t>Common Stock</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9,218</w:t>
            </w:r>
          </w:p>
        </w:tc>
        <w:tc>
          <w:tcPr>
            <w:tcW w:w="500" w:type="dxa"/>
            <w:vAlign w:val="bottom"/>
          </w:tcPr>
          <w:p>
            <w:pPr>
              <w:spacing w:after="0"/>
              <w:rPr>
                <w:sz w:val="18"/>
                <w:szCs w:val="18"/>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3,678</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91"/>
              </w:rPr>
              <w:t>(5,540)</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(3,084)</w:t>
            </w:r>
          </w:p>
        </w:tc>
        <w:tc>
          <w:tcPr>
            <w:tcW w:w="0" w:type="dxa"/>
            <w:vAlign w:val="bottom"/>
          </w:tcPr>
          <w:p>
            <w:pPr>
              <w:spacing w:after="0"/>
              <w:rPr>
                <w:sz w:val="1"/>
                <w:szCs w:val="1"/>
                <w:color w:val="auto"/>
              </w:rPr>
            </w:pPr>
          </w:p>
        </w:tc>
      </w:tr>
      <w:tr>
        <w:trPr>
          <w:trHeight w:val="216"/>
        </w:trPr>
        <w:tc>
          <w:tcPr>
            <w:tcW w:w="29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Smile Brands Group, Inc.</w:t>
            </w:r>
          </w:p>
        </w:tc>
        <w:tc>
          <w:tcPr>
            <w:tcW w:w="258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4,358</w:t>
            </w:r>
          </w:p>
        </w:tc>
        <w:tc>
          <w:tcPr>
            <w:tcW w:w="5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2,941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center"/>
              <w:ind w:right="140"/>
              <w:spacing w:after="0"/>
              <w:rPr>
                <w:sz w:val="20"/>
                <w:szCs w:val="20"/>
                <w:color w:val="auto"/>
              </w:rPr>
            </w:pPr>
            <w:r>
              <w:rPr>
                <w:rFonts w:ascii="Arial" w:cs="Arial" w:eastAsia="Arial" w:hAnsi="Arial"/>
                <w:sz w:val="18"/>
                <w:szCs w:val="18"/>
                <w:color w:val="auto"/>
                <w:w w:val="91"/>
              </w:rPr>
              <w:t>(1,417)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(1,203)</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firstLine="456"/>
        <w:spacing w:after="0" w:line="277" w:lineRule="auto"/>
        <w:rPr>
          <w:sz w:val="20"/>
          <w:szCs w:val="20"/>
          <w:color w:val="auto"/>
        </w:rPr>
      </w:pPr>
      <w:r>
        <w:rPr>
          <w:rFonts w:ascii="Arial" w:cs="Arial" w:eastAsia="Arial" w:hAnsi="Arial"/>
          <w:sz w:val="18"/>
          <w:szCs w:val="18"/>
          <w:color w:val="auto"/>
        </w:rPr>
        <w:t>The $1.4 million unrealized appreciation in our investment in the Saratoga CLO was primarily due to a decline in the discount rate based on prevailing market conditions.</w:t>
      </w:r>
    </w:p>
    <w:p>
      <w:pPr>
        <w:spacing w:after="0" w:line="170"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The $3.1 million unrealized depreciation in our investment in Elyria Foundry Company, LLC was primarily due to a decline in oil and gas end markets since year-end, negatively impacting the company’s performance.</w:t>
      </w:r>
    </w:p>
    <w:p>
      <w:pPr>
        <w:spacing w:after="0" w:line="170"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The $1.2 million unrealized depreciation in our investment in Smile Brands Group, Inc. was primarily due to declining profitability driven by increased spending.</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right="60" w:firstLine="456"/>
        <w:spacing w:after="0" w:line="302" w:lineRule="auto"/>
        <w:rPr>
          <w:sz w:val="20"/>
          <w:szCs w:val="20"/>
          <w:color w:val="auto"/>
        </w:rPr>
      </w:pPr>
      <w:r>
        <w:rPr>
          <w:rFonts w:ascii="Arial" w:cs="Arial" w:eastAsia="Arial" w:hAnsi="Arial"/>
          <w:sz w:val="16"/>
          <w:szCs w:val="16"/>
          <w:color w:val="auto"/>
        </w:rPr>
        <w:t>For the three months ended August 31, 2016 and August 31, 2015, we recorded a net increase in net assets resulting from operations of $5.3 million and $1.2 million, respectively. Based on 5,740,816 weighted average common shares outstanding as of August 31, 2016, our per share net increase in net assets resulting from operations was $0.92 for the three months ended August 31, 2016. This compares to a per share net increase in net assets resulting from operations of $0.22 for the three months ended August 31, 2015 based on 5,583,795 weighted average common shares outstanding as of August 31, 2015.</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380"/>
          </w:cols>
          <w:pgMar w:left="240" w:top="459" w:right="27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40" w:firstLine="456"/>
        <w:spacing w:after="0" w:line="302" w:lineRule="auto"/>
        <w:rPr>
          <w:sz w:val="20"/>
          <w:szCs w:val="20"/>
          <w:color w:val="auto"/>
        </w:rPr>
      </w:pPr>
      <w:r>
        <w:rPr>
          <w:rFonts w:ascii="Arial" w:cs="Arial" w:eastAsia="Arial" w:hAnsi="Arial"/>
          <w:sz w:val="16"/>
          <w:szCs w:val="16"/>
          <w:color w:val="auto"/>
        </w:rPr>
        <w:t>For the six months ended August 31, 2016 and August 31, 2015, we recorded a net increase in net assets resulting from operations of $8.6 million and $8.6 million, respectively. Based on 5,739,157 weighted average common shares outstanding as of August 31, 2016, our per share net increase in net assets resulting from operations was $1.49 for the six months ended August 31, 2016. This compares to a per share net increase in net assets resulting from operations of $1.57 for the six months ended August 31, 2015 based on 5,492,491 weighted average common shares outstanding as of August 31, 2015.</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80" w:firstLine="456"/>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160" w:firstLine="456"/>
        <w:spacing w:after="0" w:line="257" w:lineRule="auto"/>
        <w:rPr>
          <w:sz w:val="20"/>
          <w:szCs w:val="20"/>
          <w:color w:val="auto"/>
        </w:rPr>
      </w:pPr>
      <w:r>
        <w:rPr>
          <w:rFonts w:ascii="Arial" w:cs="Arial" w:eastAsia="Arial" w:hAnsi="Arial"/>
          <w:sz w:val="18"/>
          <w:szCs w:val="18"/>
          <w:color w:val="auto"/>
        </w:rPr>
        <w:t>Although we expect to fund the growth of our investment portfolio through the net proceeds from SBA debenture drawdowns and future equity offerings, including our dividend reinvestment plan (“DRIP”),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w:t>
      </w:r>
    </w:p>
    <w:p>
      <w:pPr>
        <w:spacing w:after="0" w:line="18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308.1% as of August 31, 2016 and 302.5% as of February 29, 2016.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600" w:firstLine="456"/>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LLC (the “Credit Facility”) on June 30, 2010.</w:t>
      </w:r>
    </w:p>
    <w:p>
      <w:pPr>
        <w:spacing w:after="0" w:line="170"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 rate</w:t>
      </w:r>
      <w:r>
        <w:rPr>
          <w:rFonts w:ascii="Arial" w:cs="Arial" w:eastAsia="Arial" w:hAnsi="Arial"/>
          <w:sz w:val="18"/>
          <w:szCs w:val="18"/>
          <w:i w:val="1"/>
          <w:iCs w:val="1"/>
          <w:color w:val="auto"/>
        </w:rPr>
        <w:t xml:space="preserve"> </w:t>
      </w:r>
      <w:r>
        <w:rPr>
          <w:rFonts w:ascii="Arial" w:cs="Arial" w:eastAsia="Arial" w:hAnsi="Arial"/>
          <w:sz w:val="18"/>
          <w:szCs w:val="18"/>
          <w:color w:val="auto"/>
        </w:rPr>
        <w:t>(which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97" w:lineRule="exact"/>
        <w:rPr>
          <w:sz w:val="20"/>
          <w:szCs w:val="20"/>
          <w:color w:val="auto"/>
        </w:rPr>
      </w:pPr>
    </w:p>
    <w:p>
      <w:pPr>
        <w:ind w:right="40" w:firstLine="456"/>
        <w:spacing w:after="0" w:line="264" w:lineRule="auto"/>
        <w:rPr>
          <w:sz w:val="20"/>
          <w:szCs w:val="20"/>
          <w:color w:val="auto"/>
        </w:rPr>
      </w:pPr>
      <w:r>
        <w:rPr>
          <w:rFonts w:ascii="Arial" w:cs="Arial" w:eastAsia="Arial" w:hAnsi="Arial"/>
          <w:sz w:val="18"/>
          <w:szCs w:val="18"/>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459" w:right="2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00"/>
        <w:spacing w:after="0" w:line="342" w:lineRule="auto"/>
        <w:rPr>
          <w:sz w:val="20"/>
          <w:szCs w:val="20"/>
          <w:color w:val="auto"/>
        </w:rPr>
      </w:pPr>
      <w:r>
        <w:rPr>
          <w:rFonts w:ascii="Arial" w:cs="Arial" w:eastAsia="Arial" w:hAnsi="Arial"/>
          <w:sz w:val="16"/>
          <w:szCs w:val="16"/>
          <w:color w:val="auto"/>
        </w:rPr>
        <w:t>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24" w:lineRule="exact"/>
        <w:rPr>
          <w:sz w:val="20"/>
          <w:szCs w:val="20"/>
          <w:color w:val="auto"/>
        </w:rPr>
      </w:pPr>
    </w:p>
    <w:p>
      <w:pPr>
        <w:ind w:right="40" w:firstLine="456"/>
        <w:spacing w:after="0" w:line="342" w:lineRule="auto"/>
        <w:rPr>
          <w:sz w:val="20"/>
          <w:szCs w:val="20"/>
          <w:color w:val="auto"/>
        </w:rPr>
      </w:pPr>
      <w:r>
        <w:rPr>
          <w:rFonts w:ascii="Arial" w:cs="Arial" w:eastAsia="Arial" w:hAnsi="Arial"/>
          <w:sz w:val="16"/>
          <w:szCs w:val="16"/>
          <w:i w:val="1"/>
          <w:iCs w:val="1"/>
          <w:color w:val="auto"/>
        </w:rPr>
        <w:t xml:space="preserve">Collateral. </w:t>
      </w:r>
      <w:r>
        <w:rPr>
          <w:rFonts w:ascii="Arial" w:cs="Arial" w:eastAsia="Arial" w:hAnsi="Arial"/>
          <w:sz w:val="16"/>
          <w:szCs w:val="16"/>
          <w:color w:val="auto"/>
        </w:rPr>
        <w:t>The Credit Facility is secured by substantially all of the assets of the Company (other than assets held by our SBIC subsidiary) and includes</w:t>
      </w:r>
      <w:r>
        <w:rPr>
          <w:rFonts w:ascii="Arial" w:cs="Arial" w:eastAsia="Arial" w:hAnsi="Arial"/>
          <w:sz w:val="16"/>
          <w:szCs w:val="16"/>
          <w:i w:val="1"/>
          <w:iCs w:val="1"/>
          <w:color w:val="auto"/>
        </w:rPr>
        <w:t xml:space="preserve"> </w:t>
      </w:r>
      <w:r>
        <w:rPr>
          <w:rFonts w:ascii="Arial" w:cs="Arial" w:eastAsia="Arial" w:hAnsi="Arial"/>
          <w:sz w:val="16"/>
          <w:szCs w:val="16"/>
          <w:color w:val="auto"/>
        </w:rPr>
        <w:t>the subordinated notes (“CLO Notes”) issued by Saratoga CLO and the Company’s rights under the CLO Management Agreement (as defined below).</w:t>
      </w:r>
    </w:p>
    <w:p>
      <w:pPr>
        <w:spacing w:after="0" w:line="124" w:lineRule="exact"/>
        <w:rPr>
          <w:sz w:val="20"/>
          <w:szCs w:val="20"/>
          <w:color w:val="auto"/>
        </w:rPr>
      </w:pPr>
    </w:p>
    <w:p>
      <w:pPr>
        <w:jc w:val="both"/>
        <w:ind w:right="220" w:firstLine="456"/>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 and</w:t>
      </w:r>
      <w:r>
        <w:rPr>
          <w:rFonts w:ascii="Arial" w:cs="Arial" w:eastAsia="Arial" w:hAnsi="Arial"/>
          <w:sz w:val="16"/>
          <w:szCs w:val="16"/>
          <w:i w:val="1"/>
          <w:iCs w:val="1"/>
          <w:color w:val="auto"/>
        </w:rPr>
        <w:t xml:space="preserve"> </w:t>
      </w:r>
      <w:r>
        <w:rPr>
          <w:rFonts w:ascii="Arial" w:cs="Arial" w:eastAsia="Arial" w:hAnsi="Arial"/>
          <w:sz w:val="16"/>
          <w:szCs w:val="16"/>
          <w:color w:val="auto"/>
        </w:rPr>
        <w:t>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2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jc w:val="both"/>
        <w:ind w:right="160" w:firstLine="456"/>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 Facility,</w:t>
      </w:r>
      <w:r>
        <w:rPr>
          <w:rFonts w:ascii="Arial" w:cs="Arial" w:eastAsia="Arial" w:hAnsi="Arial"/>
          <w:sz w:val="16"/>
          <w:szCs w:val="16"/>
          <w:i w:val="1"/>
          <w:iCs w:val="1"/>
          <w:color w:val="auto"/>
        </w:rPr>
        <w:t xml:space="preserve"> </w:t>
      </w:r>
      <w:r>
        <w:rPr>
          <w:rFonts w:ascii="Arial" w:cs="Arial" w:eastAsia="Arial" w:hAnsi="Arial"/>
          <w:sz w:val="16"/>
          <w:szCs w:val="16"/>
          <w:color w:val="auto"/>
        </w:rPr>
        <w:t>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ind w:left="900" w:right="180" w:hanging="446"/>
        <w:spacing w:after="0" w:line="264"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900" w:right="200" w:hanging="446"/>
        <w:spacing w:after="0" w:line="28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 assets</w:t>
      </w:r>
      <w:r>
        <w:rPr>
          <w:rFonts w:ascii="Arial" w:cs="Arial" w:eastAsia="Arial" w:hAnsi="Arial"/>
          <w:sz w:val="17"/>
          <w:szCs w:val="17"/>
          <w:i w:val="1"/>
          <w:iCs w:val="1"/>
          <w:color w:val="auto"/>
        </w:rPr>
        <w:t xml:space="preserve"> </w:t>
      </w:r>
      <w:r>
        <w:rPr>
          <w:rFonts w:ascii="Arial" w:cs="Arial" w:eastAsia="Arial" w:hAnsi="Arial"/>
          <w:sz w:val="17"/>
          <w:szCs w:val="17"/>
          <w:color w:val="auto"/>
        </w:rPr>
        <w:t>plus the fair value of certain ineligible pledged loan assets and the CLO Notes (in each case, subject to certain adjustments) to outstanding borrowings under the Credit Facility plus the Unfunded Exposure Amount must equal at least 200.0%.</w:t>
      </w:r>
    </w:p>
    <w:p>
      <w:pPr>
        <w:spacing w:after="0" w:line="70" w:lineRule="exact"/>
        <w:rPr>
          <w:rFonts w:ascii="Arial" w:cs="Arial" w:eastAsia="Arial" w:hAnsi="Arial"/>
          <w:sz w:val="17"/>
          <w:szCs w:val="17"/>
          <w:color w:val="auto"/>
        </w:rPr>
      </w:pPr>
    </w:p>
    <w:p>
      <w:pPr>
        <w:ind w:left="900" w:right="320" w:hanging="446"/>
        <w:spacing w:after="0" w:line="286" w:lineRule="auto"/>
        <w:tabs>
          <w:tab w:leader="none" w:pos="900" w:val="left"/>
        </w:tabs>
        <w:numPr>
          <w:ilvl w:val="0"/>
          <w:numId w:val="29"/>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right="60" w:firstLine="456"/>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 fees</w:t>
      </w:r>
      <w:r>
        <w:rPr>
          <w:rFonts w:ascii="Arial" w:cs="Arial" w:eastAsia="Arial" w:hAnsi="Arial"/>
          <w:sz w:val="17"/>
          <w:szCs w:val="17"/>
          <w:i w:val="1"/>
          <w:iCs w:val="1"/>
          <w:color w:val="auto"/>
        </w:rPr>
        <w:t xml:space="preserve"> </w:t>
      </w:r>
      <w:r>
        <w:rPr>
          <w:rFonts w:ascii="Arial" w:cs="Arial" w:eastAsia="Arial" w:hAnsi="Arial"/>
          <w:sz w:val="17"/>
          <w:szCs w:val="17"/>
          <w:color w:val="auto"/>
        </w:rPr>
        <w:t>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40" w:firstLine="456"/>
        <w:spacing w:after="0" w:line="273" w:lineRule="auto"/>
        <w:rPr>
          <w:sz w:val="20"/>
          <w:szCs w:val="20"/>
          <w:color w:val="auto"/>
        </w:rPr>
      </w:pPr>
      <w:r>
        <w:rPr>
          <w:rFonts w:ascii="Arial" w:cs="Arial" w:eastAsia="Arial" w:hAnsi="Arial"/>
          <w:sz w:val="17"/>
          <w:szCs w:val="17"/>
          <w:i w:val="1"/>
          <w:iCs w:val="1"/>
          <w:color w:val="auto"/>
        </w:rPr>
        <w:t xml:space="preserve">Reserve Account. </w:t>
      </w:r>
      <w:r>
        <w:rPr>
          <w:rFonts w:ascii="Arial" w:cs="Arial" w:eastAsia="Arial" w:hAnsi="Arial"/>
          <w:sz w:val="17"/>
          <w:szCs w:val="17"/>
          <w:color w:val="auto"/>
        </w:rPr>
        <w:t>The Credit Facility requires the Company to set aside an amount equal to the sum of accrued interest, commitment fees and</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 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459" w:right="25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456"/>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 (the</w:t>
      </w:r>
      <w:r>
        <w:rPr>
          <w:rFonts w:ascii="Arial" w:cs="Arial" w:eastAsia="Arial" w:hAnsi="Arial"/>
          <w:sz w:val="17"/>
          <w:szCs w:val="17"/>
          <w:i w:val="1"/>
          <w:iCs w:val="1"/>
          <w:color w:val="auto"/>
        </w:rPr>
        <w:t xml:space="preserve"> </w:t>
      </w:r>
      <w:r>
        <w:rPr>
          <w:rFonts w:ascii="Arial" w:cs="Arial" w:eastAsia="Arial" w:hAnsi="Arial"/>
          <w:sz w:val="17"/>
          <w:szCs w:val="17"/>
          <w:color w:val="auto"/>
        </w:rPr>
        <w:t>“Unfunded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 Company</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out of collections on principal and interest during the Revolving Period and out of collections on interest following the termination of the Revolving Period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accordance with the priority established in such provision. The operating expenses payable pursuant to the priority of payment provisions is limited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$350,000 for each monthly payment date or $2.5 million for the immediately preceding period of twelve consecutive monthly payment dates. This ceiling can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 increased by the lesser of 5.0% or the percentage increase in the fair market value of all the Company’s assets only on the first monthly payment date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occur after each one-year anniversary following the closing of the Credit Facility. Upon the occurrence of a Manager Event (described below), the consent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administrative agent is required in order to pay operating expenses through the priority of payments provision.</w:t>
      </w:r>
    </w:p>
    <w:p>
      <w:pPr>
        <w:spacing w:after="0" w:line="211" w:lineRule="exact"/>
        <w:rPr>
          <w:sz w:val="20"/>
          <w:szCs w:val="20"/>
          <w:color w:val="auto"/>
        </w:rPr>
      </w:pPr>
    </w:p>
    <w:p>
      <w:pPr>
        <w:ind w:right="320" w:firstLine="456"/>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 and</w:t>
      </w:r>
      <w:r>
        <w:rPr>
          <w:rFonts w:ascii="Arial" w:cs="Arial" w:eastAsia="Arial" w:hAnsi="Arial"/>
          <w:sz w:val="17"/>
          <w:szCs w:val="17"/>
          <w:i w:val="1"/>
          <w:iCs w:val="1"/>
          <w:color w:val="auto"/>
        </w:rPr>
        <w:t xml:space="preserve"> </w:t>
      </w:r>
      <w:r>
        <w:rPr>
          <w:rFonts w:ascii="Arial" w:cs="Arial" w:eastAsia="Arial" w:hAnsi="Arial"/>
          <w:sz w:val="17"/>
          <w:szCs w:val="17"/>
          <w:color w:val="auto"/>
        </w:rPr>
        <w:t>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1480" w:right="200" w:hanging="446"/>
        <w:spacing w:after="0" w:line="308" w:lineRule="auto"/>
        <w:tabs>
          <w:tab w:leader="none" w:pos="1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51" w:lineRule="exact"/>
        <w:rPr>
          <w:rFonts w:ascii="Arial" w:cs="Arial" w:eastAsia="Arial" w:hAnsi="Arial"/>
          <w:sz w:val="17"/>
          <w:szCs w:val="17"/>
          <w:color w:val="auto"/>
        </w:rPr>
      </w:pPr>
    </w:p>
    <w:p>
      <w:pPr>
        <w:ind w:left="1480" w:hanging="446"/>
        <w:spacing w:after="0"/>
        <w:tabs>
          <w:tab w:leader="none" w:pos="1480" w:val="left"/>
        </w:tabs>
        <w:numPr>
          <w:ilvl w:val="1"/>
          <w:numId w:val="30"/>
        </w:numPr>
        <w:rPr>
          <w:rFonts w:ascii="Arial" w:cs="Arial" w:eastAsia="Arial" w:hAnsi="Arial"/>
          <w:sz w:val="17"/>
          <w:szCs w:val="17"/>
          <w:color w:val="auto"/>
        </w:rPr>
      </w:pPr>
      <w:r>
        <w:rPr>
          <w:rFonts w:ascii="Arial" w:cs="Arial" w:eastAsia="Arial" w:hAnsi="Arial"/>
          <w:sz w:val="17"/>
          <w:szCs w:val="17"/>
          <w:color w:val="auto"/>
        </w:rPr>
        <w:t>failure of the Management Agreement between Saratoga Investment Advisors and the Company to be in full force and effect;</w:t>
      </w:r>
    </w:p>
    <w:p>
      <w:pPr>
        <w:spacing w:after="0" w:line="142" w:lineRule="exact"/>
        <w:rPr>
          <w:rFonts w:ascii="Arial" w:cs="Arial" w:eastAsia="Arial" w:hAnsi="Arial"/>
          <w:sz w:val="17"/>
          <w:szCs w:val="17"/>
          <w:color w:val="auto"/>
        </w:rPr>
      </w:pPr>
    </w:p>
    <w:p>
      <w:pPr>
        <w:ind w:left="1480" w:right="160" w:hanging="446"/>
        <w:spacing w:after="0" w:line="312" w:lineRule="auto"/>
        <w:tabs>
          <w:tab w:leader="none" w:pos="1480" w:val="left"/>
        </w:tabs>
        <w:numPr>
          <w:ilvl w:val="1"/>
          <w:numId w:val="30"/>
        </w:numPr>
        <w:rPr>
          <w:rFonts w:ascii="Arial" w:cs="Arial" w:eastAsia="Arial" w:hAnsi="Arial"/>
          <w:sz w:val="16"/>
          <w:szCs w:val="16"/>
          <w:color w:val="auto"/>
        </w:rPr>
      </w:pPr>
      <w:r>
        <w:rPr>
          <w:rFonts w:ascii="Arial" w:cs="Arial" w:eastAsia="Arial" w:hAnsi="Arial"/>
          <w:sz w:val="16"/>
          <w:szCs w:val="16"/>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52" w:lineRule="exact"/>
        <w:rPr>
          <w:rFonts w:ascii="Arial" w:cs="Arial" w:eastAsia="Arial" w:hAnsi="Arial"/>
          <w:sz w:val="16"/>
          <w:szCs w:val="16"/>
          <w:color w:val="auto"/>
        </w:rPr>
      </w:pPr>
    </w:p>
    <w:p>
      <w:pPr>
        <w:ind w:left="1480" w:right="40" w:hanging="446"/>
        <w:spacing w:after="0" w:line="264"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1480" w:hanging="446"/>
        <w:spacing w:after="0" w:line="259" w:lineRule="auto"/>
        <w:tabs>
          <w:tab w:leader="none" w:pos="14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87"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LLC for the aggregate amount of all documented, out-of-pocket costs and expenses, including the reasonable fees and expenses of lawyers, incurred by Madison Capital Funding LLC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380"/>
          </w:cols>
          <w:pgMar w:left="240" w:top="459" w:right="27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 February 24, 2012, we amended our senior secured revolving credit facility with Madison Capital Funding LLC to, among other things:</w:t>
      </w:r>
    </w:p>
    <w:p>
      <w:pPr>
        <w:spacing w:after="0" w:line="131" w:lineRule="exact"/>
        <w:rPr>
          <w:sz w:val="20"/>
          <w:szCs w:val="20"/>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900" w:right="320" w:hanging="446"/>
        <w:spacing w:after="0" w:line="259" w:lineRule="auto"/>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be terminated. All borrowings and other amounts payable under the Credit Facility are due and payable five years after the end of the Revolving Period; and</w:t>
      </w:r>
    </w:p>
    <w:p>
      <w:pPr>
        <w:spacing w:after="0" w:line="92" w:lineRule="exact"/>
        <w:rPr>
          <w:rFonts w:ascii="Arial" w:cs="Arial" w:eastAsia="Arial" w:hAnsi="Arial"/>
          <w:sz w:val="18"/>
          <w:szCs w:val="18"/>
          <w:color w:val="auto"/>
        </w:rPr>
      </w:pPr>
    </w:p>
    <w:p>
      <w:pPr>
        <w:ind w:left="900" w:hanging="446"/>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remove the condition that we may not acquire additional loan assets without the prior written consent of the administrative agent.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September 17, 2014, we entered into a second amendment to the Revolving Facility with Madison Capital Funding LLC to, among other things:</w:t>
      </w:r>
    </w:p>
    <w:p>
      <w:pPr>
        <w:spacing w:after="0" w:line="154" w:lineRule="exact"/>
        <w:rPr>
          <w:sz w:val="20"/>
          <w:szCs w:val="20"/>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extend the maturity date of the Revolving Facility from February 24, 2020 to September 17, 2022 (unless terminated sooner upon certain events);</w:t>
      </w:r>
    </w:p>
    <w:p>
      <w:pPr>
        <w:spacing w:after="0" w:line="153" w:lineRule="exact"/>
        <w:rPr>
          <w:rFonts w:ascii="Arial" w:cs="Arial" w:eastAsia="Arial" w:hAnsi="Arial"/>
          <w:sz w:val="16"/>
          <w:szCs w:val="16"/>
          <w:color w:val="auto"/>
        </w:rPr>
      </w:pPr>
    </w:p>
    <w:p>
      <w:pPr>
        <w:ind w:left="900" w:hanging="446"/>
        <w:spacing w:after="0"/>
        <w:tabs>
          <w:tab w:leader="none" w:pos="90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reduce the applicable margin rate on base rate borrowings from 4.50% to 3.75%, and on LIBOR borrowings from 5.50% to 4.75%; and</w:t>
      </w:r>
    </w:p>
    <w:p>
      <w:pPr>
        <w:spacing w:after="0" w:line="142" w:lineRule="exact"/>
        <w:rPr>
          <w:rFonts w:ascii="Arial" w:cs="Arial" w:eastAsia="Arial" w:hAnsi="Arial"/>
          <w:sz w:val="17"/>
          <w:szCs w:val="17"/>
          <w:color w:val="auto"/>
        </w:rPr>
      </w:pPr>
    </w:p>
    <w:p>
      <w:pPr>
        <w:ind w:left="900" w:hanging="446"/>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As of August 31, 2016, we had no outstanding borrowings under the Credit Facility and $103.7 million SBA-guaranteed debentures outstanding (which are discussed below). As of February 29, 2016, we had no outstanding borrowings under the Credit Facility and $103.7 million SBA-guaranteed debentures outstanding. Our borrowing base under the Credit Facility at August 31, 2016 and February 29, 2016 was $24.0 million and $21.8 million, respectively.</w:t>
      </w:r>
    </w:p>
    <w:p>
      <w:pPr>
        <w:spacing w:after="0" w:line="14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asset coverage ratio, as defined in the 1940 Act, was 308.1% as of August 31, 2016 and 302.5% as of February 29, 2016.</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60" w:firstLine="456"/>
        <w:spacing w:after="0" w:line="279" w:lineRule="auto"/>
        <w:rPr>
          <w:sz w:val="20"/>
          <w:szCs w:val="20"/>
          <w:color w:val="auto"/>
        </w:rPr>
      </w:pPr>
      <w:r>
        <w:rPr>
          <w:rFonts w:ascii="Arial" w:cs="Arial" w:eastAsia="Arial" w:hAnsi="Arial"/>
          <w:sz w:val="17"/>
          <w:szCs w:val="17"/>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 Section 301(c) of the Small Business Investment Act of 1958. SBICs are designated to stimulate the flow of private equity capital to eligible small businesses. Under SBA regulations, SBICs may make loans to eligible small businesses and invest in the equity securities of small businesses.</w:t>
      </w:r>
    </w:p>
    <w:p>
      <w:pPr>
        <w:spacing w:after="0" w:line="171"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87" w:lineRule="exact"/>
        <w:rPr>
          <w:sz w:val="20"/>
          <w:szCs w:val="20"/>
          <w:color w:val="auto"/>
        </w:rPr>
      </w:pPr>
    </w:p>
    <w:p>
      <w:pPr>
        <w:jc w:val="both"/>
        <w:ind w:right="60" w:firstLine="456"/>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$150.0 million when it has at least $75.0 million in regulatory capital, receives a capital commitment from the SBA and has been through an examination by the SBA subsequent to licensing. As of August 31, 2016, our SBIC subsidiary had $75.0 million in regulatory capital and $103.7 million SBA-guaranteed debentures outstanding.</w:t>
      </w:r>
    </w:p>
    <w:p>
      <w:pPr>
        <w:spacing w:after="0" w:line="166"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We received exemptive relief from the SEC to permit us to exclude the debt of our SBIC subsidiary guaranteed by the SBA from the definition of senior securities in the 200% asset coverage test under the 1940 Act. This allows us increased flexibility under the 200% asset coverage test by permitting us to borrow up to $150.0 million more than we would otherwise be able to absent the receipt of this exemptive relief.</w:t>
      </w:r>
    </w:p>
    <w:p>
      <w:pPr>
        <w:spacing w:after="0" w:line="166" w:lineRule="exact"/>
        <w:rPr>
          <w:sz w:val="20"/>
          <w:szCs w:val="20"/>
          <w:color w:val="auto"/>
        </w:rPr>
      </w:pPr>
    </w:p>
    <w:p>
      <w:pPr>
        <w:ind w:right="20" w:firstLine="456"/>
        <w:spacing w:after="0" w:line="273" w:lineRule="auto"/>
        <w:rPr>
          <w:sz w:val="20"/>
          <w:szCs w:val="20"/>
          <w:color w:val="auto"/>
        </w:rPr>
      </w:pPr>
      <w:r>
        <w:rPr>
          <w:rFonts w:ascii="Arial" w:cs="Arial" w:eastAsia="Arial" w:hAnsi="Arial"/>
          <w:sz w:val="17"/>
          <w:szCs w:val="17"/>
          <w:color w:val="auto"/>
        </w:rPr>
        <w:t>On April 2, 2015, the SBA issued a “green light” letter inviting the Company to continue the application process to obtain a license to form and operate its second SBIC subsidiary. On September 27, 2016, the SBA informed us that as part of their continued review of our application for a second license, and in order to ensure that they were reviewing the most current information available, we would need to update all previously submitted materials and invited us to reapply. As a result of this request, with which we are in the process of complying, the existing “green light” letter that the SBA issued to us will expire. If approved in the future, a second SBIC license would provide us an incremental source of long-term capital by permitting us to issue up to $150.0 million of additional SBA-guaranteed debentures in addition to the $150.0 million already approved under the first license.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280" w:firstLine="456"/>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since May 31, 2016, may be redeemed in whole or in part at any time or from time to time at our option. In connection with the issuance of the notes, we agreed to the following covenants for the period of time during which the notes are outstanding:</w:t>
      </w:r>
    </w:p>
    <w:p>
      <w:pPr>
        <w:spacing w:after="0" w:line="99" w:lineRule="exact"/>
        <w:rPr>
          <w:sz w:val="20"/>
          <w:szCs w:val="20"/>
          <w:color w:val="auto"/>
        </w:rPr>
      </w:pPr>
    </w:p>
    <w:p>
      <w:pPr>
        <w:ind w:left="900" w:right="340" w:hanging="446"/>
        <w:spacing w:after="0" w:line="259"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92" w:lineRule="exact"/>
        <w:rPr>
          <w:rFonts w:ascii="Arial" w:cs="Arial" w:eastAsia="Arial" w:hAnsi="Arial"/>
          <w:sz w:val="18"/>
          <w:szCs w:val="18"/>
          <w:color w:val="auto"/>
        </w:rPr>
      </w:pPr>
    </w:p>
    <w:p>
      <w:pPr>
        <w:ind w:left="900" w:hanging="446"/>
        <w:spacing w:after="0" w:line="271"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right="100" w:firstLine="456"/>
        <w:spacing w:after="0" w:line="286" w:lineRule="auto"/>
        <w:rPr>
          <w:sz w:val="20"/>
          <w:szCs w:val="20"/>
          <w:color w:val="auto"/>
        </w:rPr>
      </w:pPr>
      <w:r>
        <w:rPr>
          <w:rFonts w:ascii="Arial" w:cs="Arial" w:eastAsia="Arial" w:hAnsi="Arial"/>
          <w:sz w:val="17"/>
          <w:szCs w:val="17"/>
          <w:color w:val="auto"/>
        </w:rPr>
        <w:t>On May 29, 2015, we entered into a Debt Distribution Agreement with Ladenburg Thalmann &amp; Co. through which we may offer for sale, from time to time, up to $20.0 million in aggregate principal amount of the Notes through an ATM offering. As of August 31, 2016, we sold 539,725 bonds with a principal of $13,493,125 at an average price of $25.31 for aggregate net proceeds of $13,385,766 (net of transaction costs).</w:t>
      </w:r>
    </w:p>
    <w:p>
      <w:pPr>
        <w:spacing w:after="0" w:line="166"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At August 31, 2016 and February 29, 2016, the fair value of investments, cash and cash equivalents and cash and cash equivalents, reserve accounts were as follows:</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5"/>
          </w:tcPr>
          <w:p>
            <w:pPr>
              <w:jc w:val="right"/>
              <w:ind w:right="1020"/>
              <w:spacing w:after="0"/>
              <w:rPr>
                <w:sz w:val="20"/>
                <w:szCs w:val="20"/>
                <w:color w:val="auto"/>
              </w:rPr>
            </w:pPr>
            <w:r>
              <w:rPr>
                <w:rFonts w:ascii="Arial" w:cs="Arial" w:eastAsia="Arial" w:hAnsi="Arial"/>
                <w:sz w:val="14"/>
                <w:szCs w:val="14"/>
                <w:b w:val="1"/>
                <w:bCs w:val="1"/>
                <w:color w:val="auto"/>
              </w:rPr>
              <w:t>At August 31, 2016</w:t>
            </w:r>
          </w:p>
        </w:tc>
        <w:tc>
          <w:tcPr>
            <w:tcW w:w="100" w:type="dxa"/>
            <w:vAlign w:val="bottom"/>
          </w:tcPr>
          <w:p>
            <w:pPr>
              <w:spacing w:after="0"/>
              <w:rPr>
                <w:sz w:val="14"/>
                <w:szCs w:val="14"/>
                <w:color w:val="auto"/>
              </w:rPr>
            </w:pPr>
          </w:p>
        </w:tc>
        <w:tc>
          <w:tcPr>
            <w:tcW w:w="20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At February 29, 2016</w:t>
            </w:r>
          </w:p>
        </w:tc>
        <w:tc>
          <w:tcPr>
            <w:tcW w:w="0" w:type="dxa"/>
            <w:vAlign w:val="bottom"/>
          </w:tcPr>
          <w:p>
            <w:pPr>
              <w:spacing w:after="0"/>
              <w:rPr>
                <w:sz w:val="1"/>
                <w:szCs w:val="1"/>
                <w:color w:val="auto"/>
              </w:rPr>
            </w:pPr>
          </w:p>
        </w:tc>
      </w:tr>
      <w:tr>
        <w:trPr>
          <w:trHeight w:val="119"/>
        </w:trPr>
        <w:tc>
          <w:tcPr>
            <w:tcW w:w="5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860" w:type="dxa"/>
            <w:vAlign w:val="bottom"/>
          </w:tcPr>
          <w:p>
            <w:pPr>
              <w:spacing w:after="0"/>
              <w:rPr>
                <w:sz w:val="12"/>
                <w:szCs w:val="12"/>
                <w:color w:val="auto"/>
              </w:rPr>
            </w:pPr>
          </w:p>
        </w:tc>
        <w:tc>
          <w:tcPr>
            <w:tcW w:w="122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32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of</w:t>
            </w:r>
          </w:p>
        </w:tc>
        <w:tc>
          <w:tcPr>
            <w:tcW w:w="12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5860" w:type="dxa"/>
            <w:vAlign w:val="bottom"/>
          </w:tcPr>
          <w:p>
            <w:pPr>
              <w:spacing w:after="0"/>
              <w:rPr>
                <w:sz w:val="14"/>
                <w:szCs w:val="14"/>
                <w:color w:val="auto"/>
              </w:rPr>
            </w:pPr>
          </w:p>
        </w:tc>
        <w:tc>
          <w:tcPr>
            <w:tcW w:w="1220" w:type="dxa"/>
            <w:vAlign w:val="bottom"/>
            <w:gridSpan w:val="4"/>
            <w:vMerge w:val="continue"/>
          </w:tcPr>
          <w:p>
            <w:pPr>
              <w:spacing w:after="0"/>
              <w:rPr>
                <w:sz w:val="14"/>
                <w:szCs w:val="14"/>
                <w:color w:val="auto"/>
              </w:rPr>
            </w:pPr>
          </w:p>
        </w:tc>
        <w:tc>
          <w:tcPr>
            <w:tcW w:w="13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Total</w:t>
            </w:r>
          </w:p>
        </w:tc>
        <w:tc>
          <w:tcPr>
            <w:tcW w:w="1200" w:type="dxa"/>
            <w:vAlign w:val="bottom"/>
            <w:gridSpan w:val="3"/>
            <w:vMerge w:val="continue"/>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58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520" w:type="dxa"/>
            <w:vAlign w:val="bottom"/>
            <w:tcBorders>
              <w:top w:val="single" w:sz="8" w:color="auto"/>
            </w:tcBorders>
            <w:gridSpan w:val="5"/>
          </w:tcPr>
          <w:p>
            <w:pPr>
              <w:jc w:val="right"/>
              <w:ind w:right="104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12,707</w:t>
            </w:r>
          </w:p>
        </w:tc>
        <w:tc>
          <w:tcPr>
            <w:tcW w:w="13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2,440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Cash and cash equivalents, reserve accounts</w:t>
            </w:r>
          </w:p>
        </w:tc>
        <w:tc>
          <w:tcPr>
            <w:tcW w:w="100" w:type="dxa"/>
            <w:vAlign w:val="bottom"/>
          </w:tcPr>
          <w:p>
            <w:pPr>
              <w:spacing w:after="0"/>
              <w:rPr>
                <w:sz w:val="18"/>
                <w:szCs w:val="18"/>
                <w:color w:val="auto"/>
              </w:rPr>
            </w:pPr>
          </w:p>
        </w:tc>
        <w:tc>
          <w:tcPr>
            <w:tcW w:w="1120" w:type="dxa"/>
            <w:vAlign w:val="bottom"/>
            <w:gridSpan w:val="3"/>
          </w:tcPr>
          <w:p>
            <w:pPr>
              <w:jc w:val="right"/>
              <w:ind w:right="540"/>
              <w:spacing w:after="0"/>
              <w:rPr>
                <w:sz w:val="20"/>
                <w:szCs w:val="20"/>
                <w:color w:val="auto"/>
              </w:rPr>
            </w:pPr>
            <w:r>
              <w:rPr>
                <w:rFonts w:ascii="Arial" w:cs="Arial" w:eastAsia="Arial" w:hAnsi="Arial"/>
                <w:sz w:val="18"/>
                <w:szCs w:val="18"/>
                <w:color w:val="auto"/>
              </w:rPr>
              <w:t>10,174</w:t>
            </w: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4,595</w:t>
            </w:r>
          </w:p>
        </w:tc>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Syndicated loans</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9,516</w:t>
            </w: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11,868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First lien term loans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w w:val="86"/>
              </w:rPr>
              <w:t>153,276</w:t>
            </w:r>
          </w:p>
        </w:tc>
        <w:tc>
          <w:tcPr>
            <w:tcW w:w="520" w:type="dxa"/>
            <w:vAlign w:val="bottom"/>
          </w:tcPr>
          <w:p>
            <w:pPr>
              <w:spacing w:after="0"/>
              <w:rPr>
                <w:sz w:val="18"/>
                <w:szCs w:val="18"/>
                <w:color w:val="auto"/>
              </w:rPr>
            </w:pPr>
          </w:p>
        </w:tc>
        <w:tc>
          <w:tcPr>
            <w:tcW w:w="1320" w:type="dxa"/>
            <w:vAlign w:val="bottom"/>
            <w:gridSpan w:val="2"/>
          </w:tcPr>
          <w:p>
            <w:pPr>
              <w:jc w:val="right"/>
              <w:ind w:right="640"/>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w w:val="86"/>
              </w:rPr>
              <w:t>144,643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49.7</w:t>
            </w: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0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540"/>
              <w:spacing w:after="0"/>
              <w:rPr>
                <w:sz w:val="20"/>
                <w:szCs w:val="20"/>
                <w:color w:val="auto"/>
              </w:rPr>
            </w:pPr>
            <w:r>
              <w:rPr>
                <w:rFonts w:ascii="Arial" w:cs="Arial" w:eastAsia="Arial" w:hAnsi="Arial"/>
                <w:sz w:val="18"/>
                <w:szCs w:val="18"/>
                <w:color w:val="auto"/>
              </w:rPr>
              <w:t>87,024</w:t>
            </w:r>
          </w:p>
        </w:tc>
        <w:tc>
          <w:tcPr>
            <w:tcW w:w="13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29.4</w:t>
            </w: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88,178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11,917</w:t>
            </w:r>
          </w:p>
        </w:tc>
        <w:tc>
          <w:tcPr>
            <w:tcW w:w="5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12,828</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11,071</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26,479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6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60" w:type="dxa"/>
            <w:vAlign w:val="bottom"/>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295,685</w:t>
            </w:r>
          </w:p>
        </w:tc>
        <w:tc>
          <w:tcPr>
            <w:tcW w:w="20" w:type="dxa"/>
            <w:vAlign w:val="bottom"/>
            <w:vMerge w:val="continue"/>
          </w:tcPr>
          <w:p>
            <w:pPr>
              <w:spacing w:after="0"/>
              <w:rPr>
                <w:sz w:val="19"/>
                <w:szCs w:val="19"/>
                <w:color w:val="auto"/>
              </w:rPr>
            </w:pPr>
          </w:p>
        </w:tc>
        <w:tc>
          <w:tcPr>
            <w:tcW w:w="520" w:type="dxa"/>
            <w:vAlign w:val="bottom"/>
            <w:vMerge w:val="continue"/>
          </w:tcPr>
          <w:p>
            <w:pPr>
              <w:spacing w:after="0"/>
              <w:rPr>
                <w:sz w:val="19"/>
                <w:szCs w:val="19"/>
                <w:color w:val="auto"/>
              </w:rPr>
            </w:pPr>
          </w:p>
        </w:tc>
        <w:tc>
          <w:tcPr>
            <w:tcW w:w="132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w w:val="86"/>
              </w:rPr>
              <w:t>291,031</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56"/>
        <w:spacing w:after="0" w:line="273" w:lineRule="auto"/>
        <w:rPr>
          <w:sz w:val="20"/>
          <w:szCs w:val="20"/>
          <w:color w:val="auto"/>
        </w:rPr>
      </w:pPr>
      <w:r>
        <w:rPr>
          <w:rFonts w:ascii="Arial" w:cs="Arial" w:eastAsia="Arial" w:hAnsi="Arial"/>
          <w:sz w:val="17"/>
          <w:szCs w:val="17"/>
          <w:color w:val="auto"/>
        </w:rPr>
        <w:t>On September 24, 2014, we announced the approval of an open market share repurchase plan that allows it to repurchase up to 200,000 shares of our common stock at prices below our NAV as reported in its then most recently published consolidated financial statements, which was subsequently increased to 400,000 shares of our common stock. As of August 31, 2016, we purchased 138,494 shares of common stock, at the average price of $16.16 for approximately $2.2 million pursuant to this repurchase plan. On October 5, 2016, our board of directors extended the open market share repurchase plan for another year to October 15, 2017 and increased the number of shares we are permitted to repurchase at prices below our NAV, as reported in its then most recently published consolidated financial statements, to 600,000 shares of our common stock.</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342" w:lineRule="auto"/>
        <w:rPr>
          <w:sz w:val="20"/>
          <w:szCs w:val="20"/>
          <w:color w:val="auto"/>
        </w:rPr>
      </w:pPr>
      <w:r>
        <w:rPr>
          <w:rFonts w:ascii="Arial" w:cs="Arial" w:eastAsia="Arial" w:hAnsi="Arial"/>
          <w:sz w:val="16"/>
          <w:szCs w:val="16"/>
          <w:color w:val="auto"/>
        </w:rPr>
        <w:t>On October 5, 2016, our board of directors declared a dividend of $0.44 per share payable on November 9, 2016, to common stockholders of record as of October 31, 2016. Shareholders had the option to receive payment of the dividend in cash, or receive shares of common stock, pursuant our DRIP.</w:t>
      </w:r>
    </w:p>
    <w:p>
      <w:pPr>
        <w:spacing w:after="0" w:line="124"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On August 8, 2016, our board of directors declared a special dividend of $0.20 per share, which was paid on September 5, 2016, to common stockholders of record as of August 24, 2016. Shareholders had the option to receive payment of the dividend in cash, or receive shares of common stock, pursuant our DRIP. Based on shareholder elections, the dividend consisted of approximately $0.7 million in cash and 24,786 newly issued shares of common stock, or 0.4% of our outstanding common stock prior to the dividend payment. The number of shares of common stock comprising the stock portion was calculated based on a price of $17.06 per share, which equaled the volume weighted average trading price per share of the common stock on August 22, 23, 24, 25, 26, 29, 30, 31 and September 1 and 2, 2016.</w:t>
      </w:r>
    </w:p>
    <w:p>
      <w:pPr>
        <w:spacing w:after="0" w:line="19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On July 7, 2016, our board of directors declared a dividend of $0.43 per share, which was paid on August 9, 2016, to common stockholders of record as of July 29, 2016. Shareholders had the option to receive payment of the dividend in cash, or receive shares of common stock, pursuant our DRIP. Based on shareholder elections, the dividend consisted of approximately $1.5 million in cash and 58,167 newly issued shares of common stock, or 1.0% of our outstanding common stock prior to the dividend payment. The number of shares of common stock comprising the stock portion was calculated based on a price of $16.32 per share, which equaled the volume weighted average trading price per share of the common stock on July 27, 28, 29 and August 1, 2, 3, 4, 5, 8 and 9, 2016.</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March 31, 2016, our board of directors declared a dividend of $0.41 per share, which was paid on April 27, 2016, to common stockholders of record as of April 15, 2016. Shareholders had the option to receive payment of the dividend in cash, or receive shares of common stock, pursuant our DRIP. Based on shareholder elections, the dividend consisted of approximately $1.5 million in cash and 56,728 newly issued shares of common stock, or 1.0% of our outstanding common stock prior to the dividend payment. The number of shares of common stock comprising the stock portion was calculated based on a price of $15.43 per share, which equaled the volume weighted average trading price per share of the common stock on April 14, 15, 18, 19, 20, 21, 22, 25, 26 and 27, 2016.</w:t>
      </w:r>
    </w:p>
    <w:p>
      <w:pPr>
        <w:spacing w:after="0" w:line="19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On January 12, 2016, our board of directors declared a dividend of $0.40 per share, which was paid on February 29, 2016, to common stockholders of record as of February 1, 2016. Shareholders had the option to receive payment of the dividend in cash, or receive shares of common stock, pursuant our DRIP. Based on shareholder elections, the dividend consisted of approximately $1.4 million in cash and 66,765 newly issued shares of common stock, or 1.2% of our outstanding common stock prior to the dividend payment. The number of shares of common stock comprising the stock portion was calculated based on a price of $13.11 per share, which equaled the volume weighted average trading price per share of the common stock on February 16, 17, 18, 19, 22, 23, 24, 25, 26 and 29, 2016.</w:t>
      </w:r>
    </w:p>
    <w:p>
      <w:pPr>
        <w:spacing w:after="0" w:line="193"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On October 7, 2015, our board of directors declared a dividend of $0.36 per share, which was paid on November 30, 2015, to common stockholders of record as of November 2, 2015. Shareholders had the option to receive payment of the dividend in cash, or receive shares of common stock, pursuant our DRIP. Based on shareholder elections, the dividend consisted of approximately $1.1 million in cash and 61,029 newly issued shares of common stock, or</w:t>
      </w:r>
    </w:p>
    <w:p>
      <w:pPr>
        <w:jc w:val="both"/>
        <w:ind w:right="200"/>
        <w:spacing w:after="0" w:line="255" w:lineRule="auto"/>
        <w:rPr>
          <w:sz w:val="20"/>
          <w:szCs w:val="20"/>
          <w:color w:val="auto"/>
        </w:rPr>
      </w:pPr>
      <w:r>
        <w:rPr>
          <w:rFonts w:ascii="Arial" w:cs="Arial" w:eastAsia="Arial" w:hAnsi="Arial"/>
          <w:sz w:val="18"/>
          <w:szCs w:val="18"/>
          <w:color w:val="auto"/>
        </w:rPr>
        <w:t>1.1% of our outstanding common stock prior to the dividend payment. The number of shares of common stock comprising the stock portion was calculated based on a price of $14.53 per share, which equaled the volume weighted average trading price per share of the common stock on November 16, 17, 18, 19, 20, 23, 24, 25, 27 and 30, 2015.</w:t>
      </w:r>
    </w:p>
    <w:p>
      <w:pPr>
        <w:spacing w:after="0" w:line="190"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On July 8, 2015, our board of directors declared a dividend of $0.33 per share, which was paid on August 31, 2015, to common stockholders of record as of August 3, 2015. Shareholders had the option to receive payment of the dividend in cash, or receive shares of common stock, pursuant our DRIP. Based on shareholder elections, the dividend consisted of approximately $1.1 million in cash and 47,861 newly issued shares of common stock, or 0.9% of our outstanding common stock prior to the dividend payment. The number of shares of common stock comprising the stock portion was calculated based on a price of $15.28 per share, which equaled the volume weighted average trading price per share of the common stock on August 18, 19, 20, 21, 24, 25, 26, 27, 28 and 31, 2015.</w:t>
      </w:r>
    </w:p>
    <w:p>
      <w:pPr>
        <w:spacing w:after="0" w:line="193"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May 14, 2015, our board of directors declared a special dividend of $1.00 per share, which was paid on June 5, 2015, to common stockholders of record as of May 26, 2015. Shareholders had the option to receive payment of the dividend in cash, or receive shares of common stock, pursuant our DRIP. Based on shareholder elections, the dividend consisted of approximately $3.4 million in cash and 126,230 newly issued shares of common stock, or 2.3% of our outstanding common stock prior to the dividend payment. The number of shares of common stock comprising the stock portion was calculated based on a price of $16.47 per share, which equaled the volume weighted average trading price per share of the common stock on May 22, 26, 27, 28, 29 and June 1, 2, 3, 4 and 5, 2015.</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On April 9, 2015, our board of directors declared a dividend of $0.27 per share, which was paid on May 29, 2015, to common stockholders of record as of May 4, 2015. Shareholders had the option to receive payment of the dividend in cash, or receive shares of common stock, pursuant our DRIP. Based on shareholder elections, the dividend consisted of approximately $0.9 million in cash and 33,766 newly issued shares of common stock, or 0.6% of our outstanding common stock prior to the dividend payment. The number of shares of common stock comprising the stock portion was calculated based on a price of $16.78 per share, which equaled the volume weighted average trading price per share of the common stock on May 15, 18, 19, 20, 21, 22, 26, 27, 28 and 29, 2015.</w:t>
      </w:r>
    </w:p>
    <w:p>
      <w:pPr>
        <w:spacing w:after="0" w:line="193" w:lineRule="exact"/>
        <w:rPr>
          <w:sz w:val="20"/>
          <w:szCs w:val="20"/>
          <w:color w:val="auto"/>
        </w:rPr>
      </w:pPr>
    </w:p>
    <w:p>
      <w:pPr>
        <w:ind w:right="180" w:firstLine="456"/>
        <w:spacing w:after="0" w:line="297" w:lineRule="auto"/>
        <w:rPr>
          <w:sz w:val="20"/>
          <w:szCs w:val="20"/>
          <w:color w:val="auto"/>
        </w:rPr>
      </w:pPr>
      <w:r>
        <w:rPr>
          <w:rFonts w:ascii="Arial" w:cs="Arial" w:eastAsia="Arial" w:hAnsi="Arial"/>
          <w:sz w:val="16"/>
          <w:szCs w:val="16"/>
          <w:color w:val="auto"/>
        </w:rPr>
        <w:t>On September 24, 2014, our board of directors declared a dividend of $0.22 per share, which was paid on February 27, 2015. Shareholders have the option to receive payment of the dividend in cash, or receive shares of common stock, pursuant our DRIP. Based on shareholder elections, the dividend consisted of approximately $0.8 million in cash and 26,858 newly issued shares of common stock, or 0.5% of our outstanding common stock prior to the dividend payment. The number of shares of common stock comprising the stock portion was calculated based on a price of $14.97 per share, which equaled the volume weighted average trading price per share of the common stock on February 13, 17, 18, 19, 20, 23, 24, 25, 26 and 27, 2015.</w:t>
      </w:r>
    </w:p>
    <w:p>
      <w:pPr>
        <w:spacing w:after="0" w:line="158" w:lineRule="exact"/>
        <w:rPr>
          <w:sz w:val="20"/>
          <w:szCs w:val="20"/>
          <w:color w:val="auto"/>
        </w:rPr>
      </w:pPr>
    </w:p>
    <w:p>
      <w:pPr>
        <w:ind w:right="120" w:firstLine="456"/>
        <w:spacing w:after="0" w:line="297" w:lineRule="auto"/>
        <w:rPr>
          <w:sz w:val="20"/>
          <w:szCs w:val="20"/>
          <w:color w:val="auto"/>
        </w:rPr>
      </w:pPr>
      <w:r>
        <w:rPr>
          <w:rFonts w:ascii="Arial" w:cs="Arial" w:eastAsia="Arial" w:hAnsi="Arial"/>
          <w:sz w:val="16"/>
          <w:szCs w:val="16"/>
          <w:color w:val="auto"/>
        </w:rPr>
        <w:t>Also on September 24, 2014, our board of directors declared a dividend of $0.18 per share, which was paid on November 28, 2014. Shareholders had the option to receive payment of the dividend in cash, or receive shares of common stock pursuant to our DRIP. Based on shareholder elections, the dividend consisted of approximately $0.6 million in cash and 22,283 newly issued shares of common stock, or 0.4% of our outstanding common stock prior to the dividend payment. The number of shares of common stock comprising the stock portion was calculated based on a price of $14.37 per share, which equaled the volume weighted average trading price per share of the common stock on November 14, 17, 18, 19, 20, 21, 24, 25, 26 and 28, 2014.</w:t>
      </w:r>
    </w:p>
    <w:p>
      <w:pPr>
        <w:spacing w:after="0" w:line="158" w:lineRule="exact"/>
        <w:rPr>
          <w:sz w:val="20"/>
          <w:szCs w:val="20"/>
          <w:color w:val="auto"/>
        </w:rPr>
      </w:pPr>
    </w:p>
    <w:p>
      <w:pPr>
        <w:ind w:firstLine="456"/>
        <w:spacing w:after="0" w:line="293" w:lineRule="auto"/>
        <w:rPr>
          <w:sz w:val="20"/>
          <w:szCs w:val="20"/>
          <w:color w:val="auto"/>
        </w:rPr>
      </w:pPr>
      <w:r>
        <w:rPr>
          <w:rFonts w:ascii="Arial" w:cs="Arial" w:eastAsia="Arial" w:hAnsi="Arial"/>
          <w:sz w:val="16"/>
          <w:szCs w:val="16"/>
          <w:color w:val="auto"/>
        </w:rPr>
        <w:t>On October 30, 2013, our board of directors declared a dividend of $2.65 per share, which was paid on December 27, 2013, to common stockholders of record as of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 This dividend was declared in reliance on certain private letter rulings issued by the IRS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w:t>
      </w:r>
    </w:p>
    <w:p>
      <w:pPr>
        <w:spacing w:after="0" w:line="165"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88" w:lineRule="exact"/>
        <w:rPr>
          <w:sz w:val="20"/>
          <w:szCs w:val="20"/>
          <w:color w:val="auto"/>
        </w:rPr>
      </w:pPr>
    </w:p>
    <w:p>
      <w:pPr>
        <w:ind w:right="140" w:firstLine="456"/>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which was paid on December 31, 2012, to common stockholders of record as of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On November 15, 2011, our board of directors declared a dividend of $3.00 per share, which was paid on December 30, 2011, to common stockholders of record as of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On November 13, 2009, our board of directors declared a dividend of $18.25 per share, which was paid on December 31, 2009, to common stockholders of record as of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August 31, 2016:</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8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86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160" w:type="dxa"/>
            <w:vAlign w:val="bottom"/>
            <w:gridSpan w:val="2"/>
            <w:vMerge w:val="restart"/>
          </w:tcPr>
          <w:p>
            <w:pPr>
              <w:jc w:val="center"/>
              <w:ind w:right="480"/>
              <w:spacing w:after="0"/>
              <w:rPr>
                <w:sz w:val="20"/>
                <w:szCs w:val="20"/>
                <w:color w:val="auto"/>
              </w:rPr>
            </w:pPr>
            <w:r>
              <w:rPr>
                <w:rFonts w:ascii="Arial" w:cs="Arial" w:eastAsia="Arial" w:hAnsi="Arial"/>
                <w:sz w:val="14"/>
                <w:szCs w:val="14"/>
                <w:b w:val="1"/>
                <w:bCs w:val="1"/>
                <w:color w:val="auto"/>
                <w:w w:val="95"/>
              </w:rPr>
              <w:t>Total</w:t>
            </w:r>
          </w:p>
        </w:tc>
        <w:tc>
          <w:tcPr>
            <w:tcW w:w="620" w:type="dxa"/>
            <w:vAlign w:val="bottom"/>
            <w:gridSpan w:val="2"/>
          </w:tcPr>
          <w:p>
            <w:pPr>
              <w:spacing w:after="0" w:line="119" w:lineRule="exact"/>
              <w:rPr>
                <w:sz w:val="20"/>
                <w:szCs w:val="20"/>
                <w:color w:val="auto"/>
              </w:rPr>
            </w:pPr>
            <w:r>
              <w:rPr>
                <w:rFonts w:ascii="Arial" w:cs="Arial" w:eastAsia="Arial" w:hAnsi="Arial"/>
                <w:sz w:val="13"/>
                <w:szCs w:val="13"/>
                <w:b w:val="1"/>
                <w:bCs w:val="1"/>
                <w:color w:val="auto"/>
                <w:w w:val="93"/>
              </w:rPr>
              <w:t>Less Than</w:t>
            </w:r>
          </w:p>
        </w:tc>
        <w:tc>
          <w:tcPr>
            <w:tcW w:w="80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1 -3</w:t>
            </w:r>
          </w:p>
        </w:tc>
        <w:tc>
          <w:tcPr>
            <w:tcW w:w="360" w:type="dxa"/>
            <w:vAlign w:val="bottom"/>
          </w:tcPr>
          <w:p>
            <w:pPr>
              <w:spacing w:after="0"/>
              <w:rPr>
                <w:sz w:val="10"/>
                <w:szCs w:val="10"/>
                <w:color w:val="auto"/>
              </w:rPr>
            </w:pPr>
          </w:p>
        </w:tc>
        <w:tc>
          <w:tcPr>
            <w:tcW w:w="680" w:type="dxa"/>
            <w:vAlign w:val="bottom"/>
            <w:gridSpan w:val="2"/>
          </w:tcPr>
          <w:p>
            <w:pPr>
              <w:jc w:val="right"/>
              <w:ind w:right="128"/>
              <w:spacing w:after="0" w:line="119" w:lineRule="exact"/>
              <w:rPr>
                <w:sz w:val="20"/>
                <w:szCs w:val="20"/>
                <w:color w:val="auto"/>
              </w:rPr>
            </w:pPr>
            <w:r>
              <w:rPr>
                <w:rFonts w:ascii="Arial" w:cs="Arial" w:eastAsia="Arial" w:hAnsi="Arial"/>
                <w:sz w:val="13"/>
                <w:szCs w:val="13"/>
                <w:b w:val="1"/>
                <w:bCs w:val="1"/>
                <w:color w:val="auto"/>
              </w:rPr>
              <w:t>3 -5</w:t>
            </w:r>
          </w:p>
        </w:tc>
        <w:tc>
          <w:tcPr>
            <w:tcW w:w="46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1 Year</w:t>
            </w:r>
          </w:p>
        </w:tc>
        <w:tc>
          <w:tcPr>
            <w:tcW w:w="44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Years</w:t>
            </w:r>
          </w:p>
        </w:tc>
        <w:tc>
          <w:tcPr>
            <w:tcW w:w="80" w:type="dxa"/>
            <w:vAlign w:val="bottom"/>
          </w:tcPr>
          <w:p>
            <w:pPr>
              <w:spacing w:after="0"/>
              <w:rPr>
                <w:sz w:val="14"/>
                <w:szCs w:val="14"/>
                <w:color w:val="auto"/>
              </w:rPr>
            </w:pPr>
          </w:p>
        </w:tc>
        <w:tc>
          <w:tcPr>
            <w:tcW w:w="1060" w:type="dxa"/>
            <w:vAlign w:val="bottom"/>
            <w:gridSpan w:val="2"/>
          </w:tcPr>
          <w:p>
            <w:pPr>
              <w:ind w:left="120"/>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920" w:type="dxa"/>
            <w:vAlign w:val="bottom"/>
            <w:gridSpan w:val="3"/>
            <w:shd w:val="clear" w:color="auto" w:fill="CCEEFF"/>
          </w:tcPr>
          <w:p>
            <w:pPr>
              <w:jc w:val="center"/>
              <w:ind w:right="4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165,453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140" w:type="dxa"/>
            <w:vAlign w:val="bottom"/>
            <w:gridSpan w:val="3"/>
            <w:shd w:val="clear" w:color="auto" w:fill="CCEEFF"/>
          </w:tcPr>
          <w:p>
            <w:pPr>
              <w:jc w:val="center"/>
              <w:ind w:right="4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61,793</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$ 103,660</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The Company’s off-balance sheet arrangements consisted of $8.0 million and $2.0 million of unfunded commitments to provide debt financing to its portfolio companies or to fund limited partnership interests as of August 31, 2016 and February 29, 2016,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statements of assets and liabilities and are not reflected in the Company’s consolidated statements of assets and liabilities.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459" w:right="23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60" w:firstLine="456"/>
        <w:spacing w:after="0" w:line="277" w:lineRule="auto"/>
        <w:rPr>
          <w:sz w:val="20"/>
          <w:szCs w:val="20"/>
          <w:color w:val="auto"/>
        </w:rPr>
      </w:pPr>
      <w:r>
        <w:rPr>
          <w:rFonts w:ascii="Arial" w:cs="Arial" w:eastAsia="Arial" w:hAnsi="Arial"/>
          <w:sz w:val="18"/>
          <w:szCs w:val="18"/>
          <w:color w:val="auto"/>
        </w:rPr>
        <w:t>A summary of the composition of the unfunded commitments as of August 31, 2016 and February 29, 2016 is shown in the table below (dollars in thousands):</w:t>
      </w:r>
    </w:p>
    <w:p>
      <w:pPr>
        <w:spacing w:after="0" w:line="189"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6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85"/>
              <w:spacing w:after="0"/>
              <w:rPr>
                <w:sz w:val="20"/>
                <w:szCs w:val="20"/>
                <w:color w:val="auto"/>
              </w:rPr>
            </w:pPr>
            <w:r>
              <w:rPr>
                <w:rFonts w:ascii="Arial" w:cs="Arial" w:eastAsia="Arial" w:hAnsi="Arial"/>
                <w:sz w:val="14"/>
                <w:szCs w:val="14"/>
                <w:b w:val="1"/>
                <w:bCs w:val="1"/>
                <w:color w:val="auto"/>
              </w:rPr>
              <w:t>As of</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19"/>
        </w:trPr>
        <w:tc>
          <w:tcPr>
            <w:tcW w:w="64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6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3"/>
              </w:rPr>
              <w:t>August 31,</w:t>
            </w:r>
          </w:p>
        </w:tc>
        <w:tc>
          <w:tcPr>
            <w:tcW w:w="1440" w:type="dxa"/>
            <w:vAlign w:val="bottom"/>
            <w:gridSpan w:val="3"/>
          </w:tcPr>
          <w:p>
            <w:pPr>
              <w:jc w:val="right"/>
              <w:spacing w:after="0" w:line="119" w:lineRule="exact"/>
              <w:rPr>
                <w:sz w:val="20"/>
                <w:szCs w:val="20"/>
                <w:color w:val="auto"/>
              </w:rPr>
            </w:pPr>
            <w:r>
              <w:rPr>
                <w:rFonts w:ascii="Arial" w:cs="Arial" w:eastAsia="Arial" w:hAnsi="Arial"/>
                <w:sz w:val="13"/>
                <w:szCs w:val="13"/>
                <w:b w:val="1"/>
                <w:bCs w:val="1"/>
                <w:color w:val="auto"/>
              </w:rPr>
              <w:t>February 29,</w:t>
            </w:r>
          </w:p>
        </w:tc>
        <w:tc>
          <w:tcPr>
            <w:tcW w:w="100" w:type="dxa"/>
            <w:vAlign w:val="bottom"/>
          </w:tcPr>
          <w:p>
            <w:pPr>
              <w:spacing w:after="0"/>
              <w:rPr>
                <w:sz w:val="10"/>
                <w:szCs w:val="10"/>
                <w:color w:val="auto"/>
              </w:rPr>
            </w:pPr>
          </w:p>
        </w:tc>
      </w:tr>
      <w:tr>
        <w:trPr>
          <w:trHeight w:val="171"/>
        </w:trPr>
        <w:tc>
          <w:tcPr>
            <w:tcW w:w="64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4"/>
                <w:szCs w:val="14"/>
                <w:color w:val="auto"/>
              </w:rPr>
            </w:pPr>
          </w:p>
        </w:tc>
      </w:tr>
      <w:tr>
        <w:trPr>
          <w:trHeight w:val="210"/>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Avionte Holdings, LLC</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16"/>
        </w:trPr>
        <w:tc>
          <w:tcPr>
            <w:tcW w:w="6460" w:type="dxa"/>
            <w:vAlign w:val="bottom"/>
          </w:tcPr>
          <w:p>
            <w:pPr>
              <w:spacing w:after="0"/>
              <w:rPr>
                <w:sz w:val="20"/>
                <w:szCs w:val="20"/>
                <w:color w:val="auto"/>
              </w:rPr>
            </w:pPr>
            <w:r>
              <w:rPr>
                <w:rFonts w:ascii="Arial" w:cs="Arial" w:eastAsia="Arial" w:hAnsi="Arial"/>
                <w:sz w:val="18"/>
                <w:szCs w:val="18"/>
                <w:color w:val="auto"/>
              </w:rPr>
              <w:t>BoardEffect, Inc.</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7,000</w:t>
            </w: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ind w:left="360"/>
              <w:spacing w:after="0"/>
              <w:rPr>
                <w:sz w:val="20"/>
                <w:szCs w:val="20"/>
                <w:color w:val="auto"/>
              </w:rPr>
            </w:pPr>
            <w:r>
              <w:rPr>
                <w:rFonts w:ascii="Arial" w:cs="Arial" w:eastAsia="Arial" w:hAnsi="Arial"/>
                <w:sz w:val="18"/>
                <w:szCs w:val="18"/>
                <w:color w:val="auto"/>
              </w:rPr>
              <w:t>—</w:t>
            </w:r>
          </w:p>
        </w:tc>
      </w:tr>
      <w:tr>
        <w:trPr>
          <w:trHeight w:val="216"/>
        </w:trPr>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Identity Automation Systems</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8"/>
                <w:szCs w:val="18"/>
                <w:color w:val="auto"/>
              </w:rPr>
            </w:pPr>
          </w:p>
        </w:tc>
      </w:tr>
      <w:tr>
        <w:trPr>
          <w:trHeight w:val="223"/>
        </w:trPr>
        <w:tc>
          <w:tcPr>
            <w:tcW w:w="64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w:t>
            </w:r>
          </w:p>
        </w:tc>
        <w:tc>
          <w:tcPr>
            <w:tcW w:w="640" w:type="dxa"/>
            <w:vAlign w:val="bottom"/>
          </w:tcPr>
          <w:p>
            <w:pPr>
              <w:spacing w:after="0"/>
              <w:rPr>
                <w:sz w:val="19"/>
                <w:szCs w:val="19"/>
                <w:color w:val="auto"/>
              </w:rPr>
            </w:pPr>
          </w:p>
        </w:tc>
        <w:tc>
          <w:tcPr>
            <w:tcW w:w="160" w:type="dxa"/>
            <w:vAlign w:val="bottom"/>
            <w:tcBorders>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w:t>
            </w:r>
          </w:p>
        </w:tc>
        <w:tc>
          <w:tcPr>
            <w:tcW w:w="100" w:type="dxa"/>
            <w:vAlign w:val="bottom"/>
          </w:tcPr>
          <w:p>
            <w:pPr>
              <w:spacing w:after="0"/>
              <w:rPr>
                <w:sz w:val="19"/>
                <w:szCs w:val="19"/>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29, 2016.</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35" w:lineRule="exact"/>
        <w:rPr>
          <w:sz w:val="20"/>
          <w:szCs w:val="20"/>
          <w:color w:val="auto"/>
        </w:rPr>
      </w:pPr>
    </w:p>
    <w:p>
      <w:pPr>
        <w:ind w:left="46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 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98" w:lineRule="exact"/>
        <w:rPr>
          <w:rFonts w:ascii="Arial" w:cs="Arial" w:eastAsia="Arial" w:hAnsi="Arial"/>
          <w:sz w:val="18"/>
          <w:szCs w:val="18"/>
          <w:color w:val="auto"/>
        </w:rPr>
      </w:pPr>
    </w:p>
    <w:p>
      <w:pPr>
        <w:ind w:left="460" w:hanging="452"/>
        <w:spacing w:after="0" w:line="277"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August 31, 2016 that have materially affected, or are reasonably likely to materially affect, our internal control over financial reporting.</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60"/>
          </w:cols>
          <w:pgMar w:left="240" w:top="459" w:right="29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w:t>
      </w:r>
    </w:p>
    <w:p>
      <w:pPr>
        <w:ind w:right="20"/>
        <w:spacing w:after="0" w:line="252" w:lineRule="auto"/>
        <w:rPr>
          <w:sz w:val="20"/>
          <w:szCs w:val="20"/>
          <w:color w:val="auto"/>
        </w:rPr>
      </w:pPr>
      <w:r>
        <w:rPr>
          <w:rFonts w:ascii="Arial" w:cs="Arial" w:eastAsia="Arial" w:hAnsi="Arial"/>
          <w:sz w:val="18"/>
          <w:szCs w:val="18"/>
          <w:color w:val="auto"/>
        </w:rPr>
        <w:t>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3"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Except as discussed above, neither we nor our wholly-owned subsidiaries, Saratoga Investment Funding LLC and Saratoga Investment Corp. SBIC LP, are currently subject to any material legal proceedings.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ind w:right="60" w:firstLine="456"/>
        <w:spacing w:after="0" w:line="312" w:lineRule="auto"/>
        <w:rPr>
          <w:sz w:val="20"/>
          <w:szCs w:val="20"/>
          <w:color w:val="auto"/>
        </w:rPr>
      </w:pPr>
      <w:r>
        <w:rPr>
          <w:rFonts w:ascii="Arial" w:cs="Arial" w:eastAsia="Arial" w:hAnsi="Arial"/>
          <w:sz w:val="16"/>
          <w:szCs w:val="16"/>
          <w:color w:val="auto"/>
        </w:rPr>
        <w:t>In addition to information set forth in this report, you should carefully consider the “Risk Factors” discussed in our annual report on Form 10-K for the year ended February 29, 2016, which could materially affect our business, financial condition and/or operating results. Additional risks or uncertainties not currently known to us or that we currently deem to be immaterial also may materially affect our business, financial condition and/or operating results.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29" w:lineRule="exact"/>
        <w:rPr>
          <w:sz w:val="20"/>
          <w:szCs w:val="20"/>
          <w:color w:val="auto"/>
        </w:rPr>
      </w:pPr>
    </w:p>
    <w:p>
      <w:pPr>
        <w:jc w:val="right"/>
        <w:ind w:right="9360"/>
        <w:spacing w:after="0"/>
        <w:rPr>
          <w:sz w:val="20"/>
          <w:szCs w:val="20"/>
          <w:color w:val="auto"/>
        </w:rPr>
      </w:pPr>
      <w:r>
        <w:rPr>
          <w:rFonts w:ascii="Arial" w:cs="Arial" w:eastAsia="Arial" w:hAnsi="Arial"/>
          <w:sz w:val="17"/>
          <w:szCs w:val="17"/>
          <w:b w:val="1"/>
          <w:bCs w:val="1"/>
          <w:color w:val="auto"/>
        </w:rPr>
        <w:t>Item 5. Other Information</w:t>
      </w:r>
    </w:p>
    <w:p>
      <w:pPr>
        <w:spacing w:after="0" w:line="133" w:lineRule="exact"/>
        <w:rPr>
          <w:sz w:val="20"/>
          <w:szCs w:val="20"/>
          <w:color w:val="auto"/>
        </w:rPr>
      </w:pPr>
    </w:p>
    <w:p>
      <w:pPr>
        <w:jc w:val="right"/>
        <w:ind w:right="938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Listed below are the exhibits which are filed as part of this report (according to the number assigned to them in Item 601 of Regulation S-K):</w:t>
      </w: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ind w:left="40"/>
              <w:spacing w:after="0"/>
              <w:rPr>
                <w:sz w:val="20"/>
                <w:szCs w:val="20"/>
                <w:color w:val="auto"/>
              </w:rPr>
            </w:pPr>
            <w:r>
              <w:rPr>
                <w:rFonts w:ascii="Arial" w:cs="Arial" w:eastAsia="Arial" w:hAnsi="Arial"/>
                <w:sz w:val="14"/>
                <w:szCs w:val="14"/>
                <w:b w:val="1"/>
                <w:bCs w:val="1"/>
                <w:color w:val="auto"/>
                <w:w w:val="98"/>
              </w:rPr>
              <w:t>Exhibit</w:t>
            </w:r>
          </w:p>
        </w:tc>
        <w:tc>
          <w:tcPr>
            <w:tcW w:w="496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520" w:type="dxa"/>
            <w:vAlign w:val="bottom"/>
          </w:tcPr>
          <w:p>
            <w:pPr>
              <w:spacing w:after="0"/>
              <w:rPr>
                <w:sz w:val="14"/>
                <w:szCs w:val="14"/>
                <w:color w:val="auto"/>
              </w:rPr>
            </w:pPr>
          </w:p>
        </w:tc>
      </w:tr>
      <w:tr>
        <w:trPr>
          <w:trHeight w:val="185"/>
        </w:trPr>
        <w:tc>
          <w:tcPr>
            <w:tcW w:w="5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Number</w:t>
            </w:r>
          </w:p>
        </w:tc>
        <w:tc>
          <w:tcPr>
            <w:tcW w:w="4960" w:type="dxa"/>
            <w:vAlign w:val="bottom"/>
          </w:tcPr>
          <w:p>
            <w:pPr>
              <w:spacing w:after="0"/>
              <w:rPr>
                <w:sz w:val="16"/>
                <w:szCs w:val="16"/>
                <w:color w:val="auto"/>
              </w:rPr>
            </w:pPr>
          </w:p>
        </w:tc>
        <w:tc>
          <w:tcPr>
            <w:tcW w:w="4060" w:type="dxa"/>
            <w:vAlign w:val="bottom"/>
            <w:gridSpan w:val="2"/>
          </w:tcPr>
          <w:p>
            <w:pPr>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6"/>
              </w:rPr>
              <w:t>Certification of Chief Executive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7"/>
              </w:rPr>
              <w:t>Certification of Chief Financial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1"/>
              </w:rPr>
              <w:t>Certification of Chief Executive Officer Pursuant to Section 906 of the Sarbanes-Oxley Act of 2002 (18 U.S.C. 1350)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9020" w:type="dxa"/>
            <w:vAlign w:val="bottom"/>
            <w:gridSpan w:val="3"/>
          </w:tcPr>
          <w:p>
            <w:pPr>
              <w:ind w:left="560"/>
              <w:spacing w:after="0"/>
              <w:rPr>
                <w:sz w:val="20"/>
                <w:szCs w:val="20"/>
                <w:color w:val="auto"/>
              </w:rPr>
            </w:pPr>
            <w:r>
              <w:rPr>
                <w:rFonts w:ascii="Arial" w:cs="Arial" w:eastAsia="Arial" w:hAnsi="Arial"/>
                <w:sz w:val="18"/>
                <w:szCs w:val="18"/>
                <w:color w:val="auto"/>
                <w:w w:val="92"/>
              </w:rPr>
              <w:t>Certification of Chief Financial Officer Pursuant to Section 906 of the Sarbanes-Oxley Act of 2002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0620"/>
          </w:cols>
          <w:pgMar w:left="240" w:top="459" w:right="10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45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p>
        </w:tc>
        <w:tc>
          <w:tcPr>
            <w:tcW w:w="7620" w:type="dxa"/>
            <w:vAlign w:val="bottom"/>
            <w:gridSpan w:val="2"/>
          </w:tcPr>
          <w:p>
            <w:pPr>
              <w:ind w:left="2100"/>
              <w:spacing w:after="0"/>
              <w:rPr>
                <w:sz w:val="20"/>
                <w:szCs w:val="20"/>
                <w:color w:val="auto"/>
              </w:rPr>
            </w:pPr>
            <w:r>
              <w:rPr>
                <w:rFonts w:ascii="Arial" w:cs="Arial" w:eastAsia="Arial" w:hAnsi="Arial"/>
                <w:sz w:val="18"/>
                <w:szCs w:val="18"/>
                <w:color w:val="auto"/>
              </w:rPr>
              <w:t>SARATOGA INVESTMENT CORP.</w:t>
            </w:r>
          </w:p>
        </w:tc>
      </w:tr>
      <w:tr>
        <w:trPr>
          <w:trHeight w:val="432"/>
        </w:trPr>
        <w:tc>
          <w:tcPr>
            <w:tcW w:w="3800" w:type="dxa"/>
            <w:vAlign w:val="bottom"/>
          </w:tcPr>
          <w:p>
            <w:pPr>
              <w:spacing w:after="0"/>
              <w:rPr>
                <w:sz w:val="20"/>
                <w:szCs w:val="20"/>
                <w:color w:val="auto"/>
              </w:rPr>
            </w:pPr>
            <w:r>
              <w:rPr>
                <w:rFonts w:ascii="Arial" w:cs="Arial" w:eastAsia="Arial" w:hAnsi="Arial"/>
                <w:sz w:val="18"/>
                <w:szCs w:val="18"/>
                <w:color w:val="auto"/>
              </w:rPr>
              <w:t>Date: October 12, 2016</w:t>
            </w: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6"/>
              </w:rPr>
              <w:t>/s/ CHRISTIAN L. OBERBECK</w:t>
            </w:r>
          </w:p>
        </w:tc>
      </w:tr>
      <w:tr>
        <w:trPr>
          <w:trHeight w:val="209"/>
        </w:trPr>
        <w:tc>
          <w:tcPr>
            <w:tcW w:w="38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91"/>
              </w:rPr>
              <w:t>Christian L. Oberbeck</w:t>
            </w:r>
          </w:p>
        </w:tc>
      </w:tr>
      <w:tr>
        <w:trPr>
          <w:trHeight w:val="230"/>
        </w:trPr>
        <w:tc>
          <w:tcPr>
            <w:tcW w:w="38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2"/>
              </w:rPr>
              <w:t>Chief Executive Officer</w:t>
            </w:r>
          </w:p>
        </w:tc>
      </w:tr>
      <w:tr>
        <w:trPr>
          <w:trHeight w:val="432"/>
        </w:trPr>
        <w:tc>
          <w:tcPr>
            <w:tcW w:w="3800" w:type="dxa"/>
            <w:vAlign w:val="bottom"/>
          </w:tcPr>
          <w:p>
            <w:pPr>
              <w:spacing w:after="0"/>
              <w:rPr>
                <w:sz w:val="24"/>
                <w:szCs w:val="24"/>
                <w:color w:val="auto"/>
              </w:rPr>
            </w:pPr>
          </w:p>
        </w:tc>
        <w:tc>
          <w:tcPr>
            <w:tcW w:w="2480" w:type="dxa"/>
            <w:vAlign w:val="bottom"/>
          </w:tcPr>
          <w:p>
            <w:pPr>
              <w:ind w:left="210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/s/ HENRI J. STEENKAMP</w:t>
            </w:r>
          </w:p>
        </w:tc>
      </w:tr>
      <w:tr>
        <w:trPr>
          <w:trHeight w:val="224"/>
        </w:trPr>
        <w:tc>
          <w:tcPr>
            <w:tcW w:w="380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40" w:type="dxa"/>
            <w:vAlign w:val="bottom"/>
          </w:tcPr>
          <w:p>
            <w:pPr>
              <w:jc w:val="center"/>
              <w:spacing w:after="0"/>
              <w:rPr>
                <w:sz w:val="20"/>
                <w:szCs w:val="20"/>
                <w:color w:val="auto"/>
              </w:rPr>
            </w:pPr>
            <w:r>
              <w:rPr>
                <w:rFonts w:ascii="Arial" w:cs="Arial" w:eastAsia="Arial" w:hAnsi="Arial"/>
                <w:sz w:val="18"/>
                <w:szCs w:val="18"/>
                <w:color w:val="auto"/>
                <w:w w:val="89"/>
              </w:rPr>
              <w:t>Henri J. Steenkamp</w:t>
            </w:r>
          </w:p>
        </w:tc>
      </w:tr>
    </w:tbl>
    <w:p>
      <w:pPr>
        <w:ind w:left="6900"/>
        <w:spacing w:after="0"/>
        <w:rPr>
          <w:sz w:val="20"/>
          <w:szCs w:val="20"/>
          <w:color w:val="auto"/>
        </w:rPr>
      </w:pPr>
      <w:r>
        <w:rPr>
          <w:rFonts w:ascii="Arial" w:cs="Arial" w:eastAsia="Arial" w:hAnsi="Arial"/>
          <w:sz w:val="18"/>
          <w:szCs w:val="18"/>
          <w:i w:val="1"/>
          <w:iCs w:val="1"/>
          <w:color w:val="auto"/>
        </w:rPr>
        <w:t>Chief Financial Officer and Chief Compliance Officer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1100" w:hanging="179"/>
        <w:spacing w:after="0"/>
        <w:tabs>
          <w:tab w:leader="none" w:pos="11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5"/>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1100" w:hanging="179"/>
        <w:spacing w:after="0"/>
        <w:tabs>
          <w:tab w:leader="none" w:pos="11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120" w:firstLine="921"/>
        <w:spacing w:after="0" w:line="342" w:lineRule="auto"/>
        <w:tabs>
          <w:tab w:leader="none" w:pos="1093" w:val="left"/>
        </w:tabs>
        <w:numPr>
          <w:ilvl w:val="0"/>
          <w:numId w:val="3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80" w:firstLine="921"/>
        <w:spacing w:after="0" w:line="308" w:lineRule="auto"/>
        <w:tabs>
          <w:tab w:leader="none" w:pos="10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46" w:lineRule="exact"/>
        <w:rPr>
          <w:rFonts w:ascii="Arial" w:cs="Arial" w:eastAsia="Arial" w:hAnsi="Arial"/>
          <w:sz w:val="17"/>
          <w:szCs w:val="17"/>
          <w:color w:val="auto"/>
        </w:rPr>
      </w:pPr>
    </w:p>
    <w:p>
      <w:pPr>
        <w:ind w:right="60" w:firstLine="921"/>
        <w:spacing w:after="0" w:line="277" w:lineRule="auto"/>
        <w:tabs>
          <w:tab w:leader="none" w:pos="1093"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920" w:right="220" w:firstLine="421"/>
        <w:spacing w:after="0" w:line="264" w:lineRule="auto"/>
        <w:tabs>
          <w:tab w:leader="none" w:pos="158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20" w:firstLine="421"/>
        <w:spacing w:after="0" w:line="264" w:lineRule="auto"/>
        <w:tabs>
          <w:tab w:leader="none" w:pos="15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920" w:right="160" w:firstLine="421"/>
        <w:spacing w:after="0" w:line="342" w:lineRule="auto"/>
        <w:tabs>
          <w:tab w:leader="none" w:pos="1585" w:val="left"/>
        </w:tabs>
        <w:numPr>
          <w:ilvl w:val="1"/>
          <w:numId w:val="36"/>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20" w:right="140" w:firstLine="421"/>
        <w:spacing w:after="0" w:line="264" w:lineRule="auto"/>
        <w:tabs>
          <w:tab w:leader="none" w:pos="15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921"/>
        <w:spacing w:after="0" w:line="308" w:lineRule="auto"/>
        <w:tabs>
          <w:tab w:leader="none" w:pos="1093"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920" w:right="340" w:firstLine="421"/>
        <w:spacing w:after="0" w:line="308" w:lineRule="auto"/>
        <w:tabs>
          <w:tab w:leader="none" w:pos="1585" w:val="left"/>
        </w:tabs>
        <w:numPr>
          <w:ilvl w:val="1"/>
          <w:numId w:val="36"/>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920" w:right="20" w:firstLine="421"/>
        <w:spacing w:after="0" w:line="277" w:lineRule="auto"/>
        <w:tabs>
          <w:tab w:leader="none" w:pos="1595" w:val="left"/>
        </w:tabs>
        <w:numPr>
          <w:ilvl w:val="1"/>
          <w:numId w:val="3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12, 2016</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7130A3"/>
    <w:multiLevelType w:val="hybridMultilevel"/>
    <w:lvl w:ilvl="0">
      <w:lvlJc w:val="left"/>
      <w:lvlText w:val="☒"/>
      <w:numFmt w:val="bullet"/>
      <w:start w:val="1"/>
    </w:lvl>
  </w:abstractNum>
  <w:abstractNum w:abstractNumId="1">
    <w:nsid w:val="62BBD95A"/>
    <w:multiLevelType w:val="hybridMultilevel"/>
    <w:lvl w:ilvl="0">
      <w:lvlJc w:val="left"/>
      <w:lvlText w:val="☐"/>
      <w:numFmt w:val="bullet"/>
      <w:start w:val="1"/>
    </w:lvl>
  </w:abstractNum>
  <w:abstractNum w:abstractNumId="2">
    <w:nsid w:val="436C6125"/>
    <w:multiLevelType w:val="hybridMultilevel"/>
    <w:lvl w:ilvl="0">
      <w:lvlJc w:val="left"/>
      <w:lvlText w:val="(%1)"/>
      <w:numFmt w:val="lowerLetter"/>
      <w:start w:val="1"/>
    </w:lvl>
  </w:abstractNum>
  <w:abstractNum w:abstractNumId="3">
    <w:nsid w:val="628C895D"/>
    <w:multiLevelType w:val="hybridMultilevel"/>
    <w:lvl w:ilvl="0">
      <w:lvlJc w:val="left"/>
      <w:lvlText w:val="(%1)"/>
      <w:numFmt w:val="lowerLetter"/>
      <w:start w:val="7"/>
    </w:lvl>
  </w:abstractNum>
  <w:abstractNum w:abstractNumId="4">
    <w:nsid w:val="333AB105"/>
    <w:multiLevelType w:val="hybridMultilevel"/>
    <w:lvl w:ilvl="0">
      <w:lvlJc w:val="left"/>
      <w:lvlText w:val="(%1)"/>
      <w:numFmt w:val="lowerLetter"/>
      <w:start w:val="1"/>
    </w:lvl>
  </w:abstractNum>
  <w:abstractNum w:abstractNumId="5">
    <w:nsid w:val="721DA317"/>
    <w:multiLevelType w:val="hybridMultilevel"/>
    <w:lvl w:ilvl="0">
      <w:lvlJc w:val="left"/>
      <w:lvlText w:val="(%1)"/>
      <w:numFmt w:val="lowerLetter"/>
      <w:start w:val="7"/>
    </w:lvl>
  </w:abstractNum>
  <w:abstractNum w:abstractNumId="6">
    <w:nsid w:val="2443A858"/>
    <w:multiLevelType w:val="hybridMultilevel"/>
    <w:lvl w:ilvl="0">
      <w:lvlJc w:val="left"/>
      <w:lvlText w:val="•"/>
      <w:numFmt w:val="bullet"/>
      <w:start w:val="1"/>
    </w:lvl>
  </w:abstractNum>
  <w:abstractNum w:abstractNumId="7">
    <w:nsid w:val="2D1D5AE9"/>
    <w:multiLevelType w:val="hybridMultilevel"/>
    <w:lvl w:ilvl="0">
      <w:lvlJc w:val="left"/>
      <w:lvlText w:val="•"/>
      <w:numFmt w:val="bullet"/>
      <w:start w:val="1"/>
    </w:lvl>
  </w:abstractNum>
  <w:abstractNum w:abstractNumId="8">
    <w:nsid w:val="6763845E"/>
    <w:multiLevelType w:val="hybridMultilevel"/>
    <w:lvl w:ilvl="0">
      <w:lvlJc w:val="left"/>
      <w:lvlText w:val="•"/>
      <w:numFmt w:val="bullet"/>
      <w:start w:val="1"/>
    </w:lvl>
  </w:abstractNum>
  <w:abstractNum w:abstractNumId="9">
    <w:nsid w:val="75A2A8D4"/>
    <w:multiLevelType w:val="hybridMultilevel"/>
    <w:lvl w:ilvl="0">
      <w:lvlJc w:val="left"/>
      <w:lvlText w:val="•"/>
      <w:numFmt w:val="bullet"/>
      <w:start w:val="1"/>
    </w:lvl>
  </w:abstractNum>
  <w:abstractNum w:abstractNumId="10">
    <w:nsid w:val="8EDBDAB"/>
    <w:multiLevelType w:val="hybridMultilevel"/>
    <w:lvl w:ilvl="0">
      <w:lvlJc w:val="left"/>
      <w:lvlText w:val="•"/>
      <w:numFmt w:val="bullet"/>
      <w:start w:val="1"/>
    </w:lvl>
  </w:abstractNum>
  <w:abstractNum w:abstractNumId="11">
    <w:nsid w:val="79838CB2"/>
    <w:multiLevelType w:val="hybridMultilevel"/>
    <w:lvl w:ilvl="0">
      <w:lvlJc w:val="left"/>
      <w:lvlText w:val="(%1)"/>
      <w:numFmt w:val="lowerLetter"/>
      <w:start w:val="1"/>
    </w:lvl>
  </w:abstractNum>
  <w:abstractNum w:abstractNumId="12">
    <w:nsid w:val="4353D0CD"/>
    <w:multiLevelType w:val="hybridMultilevel"/>
    <w:lvl w:ilvl="0">
      <w:lvlJc w:val="left"/>
      <w:lvlText w:val="(%1)"/>
      <w:numFmt w:val="lowerLetter"/>
      <w:start w:val="1"/>
    </w:lvl>
  </w:abstractNum>
  <w:abstractNum w:abstractNumId="13">
    <w:nsid w:val="B03E0C6"/>
    <w:multiLevelType w:val="hybridMultilevel"/>
    <w:lvl w:ilvl="0">
      <w:lvlJc w:val="left"/>
      <w:lvlText w:val="•"/>
      <w:numFmt w:val="bullet"/>
      <w:start w:val="1"/>
    </w:lvl>
  </w:abstractNum>
  <w:abstractNum w:abstractNumId="14">
    <w:nsid w:val="189A769B"/>
    <w:multiLevelType w:val="hybridMultilevel"/>
    <w:lvl w:ilvl="0">
      <w:lvlJc w:val="left"/>
      <w:lvlText w:val="•"/>
      <w:numFmt w:val="bullet"/>
      <w:start w:val="1"/>
    </w:lvl>
  </w:abstractNum>
  <w:abstractNum w:abstractNumId="15">
    <w:nsid w:val="54E49EB4"/>
    <w:multiLevelType w:val="hybridMultilevel"/>
    <w:lvl w:ilvl="0">
      <w:lvlJc w:val="left"/>
      <w:lvlText w:val="(%1)"/>
      <w:numFmt w:val="decimal"/>
      <w:start w:val="1"/>
    </w:lvl>
  </w:abstractNum>
  <w:abstractNum w:abstractNumId="16">
    <w:nsid w:val="71F32454"/>
    <w:multiLevelType w:val="hybridMultilevel"/>
    <w:lvl w:ilvl="0">
      <w:lvlJc w:val="left"/>
      <w:lvlText w:val="•"/>
      <w:numFmt w:val="bullet"/>
      <w:start w:val="1"/>
    </w:lvl>
  </w:abstractNum>
  <w:abstractNum w:abstractNumId="17">
    <w:nsid w:val="2CA88611"/>
    <w:multiLevelType w:val="hybridMultilevel"/>
    <w:lvl w:ilvl="0">
      <w:lvlJc w:val="left"/>
      <w:lvlText w:val="•"/>
      <w:numFmt w:val="bullet"/>
      <w:start w:val="1"/>
    </w:lvl>
  </w:abstractNum>
  <w:abstractNum w:abstractNumId="18">
    <w:nsid w:val="836C40E"/>
    <w:multiLevelType w:val="hybridMultilevel"/>
    <w:lvl w:ilvl="0">
      <w:lvlJc w:val="left"/>
      <w:lvlText w:val="•"/>
      <w:numFmt w:val="bullet"/>
      <w:start w:val="1"/>
    </w:lvl>
  </w:abstractNum>
  <w:abstractNum w:abstractNumId="19">
    <w:nsid w:val="2901D82"/>
    <w:multiLevelType w:val="hybridMultilevel"/>
    <w:lvl w:ilvl="0">
      <w:lvlJc w:val="left"/>
      <w:lvlText w:val="•"/>
      <w:numFmt w:val="bullet"/>
      <w:start w:val="1"/>
    </w:lvl>
  </w:abstractNum>
  <w:abstractNum w:abstractNumId="20">
    <w:nsid w:val="3A95F874"/>
    <w:multiLevelType w:val="hybridMultilevel"/>
    <w:lvl w:ilvl="0">
      <w:lvlJc w:val="left"/>
      <w:lvlText w:val="•"/>
      <w:numFmt w:val="bullet"/>
      <w:start w:val="1"/>
    </w:lvl>
  </w:abstractNum>
  <w:abstractNum w:abstractNumId="21">
    <w:nsid w:val="8138641"/>
    <w:multiLevelType w:val="hybridMultilevel"/>
    <w:lvl w:ilvl="0">
      <w:lvlJc w:val="left"/>
      <w:lvlText w:val="•"/>
      <w:numFmt w:val="bullet"/>
      <w:start w:val="1"/>
    </w:lvl>
  </w:abstractNum>
  <w:abstractNum w:abstractNumId="22">
    <w:nsid w:val="1E7FF521"/>
    <w:multiLevelType w:val="hybridMultilevel"/>
    <w:lvl w:ilvl="0">
      <w:lvlJc w:val="left"/>
      <w:lvlText w:val="(%1)"/>
      <w:numFmt w:val="decimal"/>
      <w:start w:val="2"/>
    </w:lvl>
  </w:abstractNum>
  <w:abstractNum w:abstractNumId="23">
    <w:nsid w:val="7C3DBD3D"/>
    <w:multiLevelType w:val="hybridMultilevel"/>
    <w:lvl w:ilvl="0">
      <w:lvlJc w:val="left"/>
      <w:lvlText w:val="(%1)"/>
      <w:numFmt w:val="decimal"/>
      <w:start w:val="1"/>
    </w:lvl>
  </w:abstractNum>
  <w:abstractNum w:abstractNumId="24">
    <w:nsid w:val="737B8DDC"/>
    <w:multiLevelType w:val="hybridMultilevel"/>
    <w:lvl w:ilvl="0">
      <w:lvlJc w:val="left"/>
      <w:lvlText w:val="(%1)"/>
      <w:numFmt w:val="decimal"/>
      <w:start w:val="1"/>
    </w:lvl>
  </w:abstractNum>
  <w:abstractNum w:abstractNumId="25">
    <w:nsid w:val="6CEAF087"/>
    <w:multiLevelType w:val="hybridMultilevel"/>
    <w:lvl w:ilvl="0">
      <w:lvlJc w:val="left"/>
      <w:lvlText w:val="(%1)"/>
      <w:numFmt w:val="decimal"/>
      <w:start w:val="1"/>
    </w:lvl>
  </w:abstractNum>
  <w:abstractNum w:abstractNumId="26">
    <w:nsid w:val="22221A70"/>
    <w:multiLevelType w:val="hybridMultilevel"/>
    <w:lvl w:ilvl="0">
      <w:lvlJc w:val="left"/>
      <w:lvlText w:val="(%1)"/>
      <w:numFmt w:val="decimal"/>
      <w:start w:val="1"/>
    </w:lvl>
  </w:abstractNum>
  <w:abstractNum w:abstractNumId="27">
    <w:nsid w:val="4516DDE9"/>
    <w:multiLevelType w:val="hybridMultilevel"/>
    <w:lvl w:ilvl="0">
      <w:lvlJc w:val="left"/>
      <w:lvlText w:val="(%1)"/>
      <w:numFmt w:val="decimal"/>
      <w:start w:val="1"/>
    </w:lvl>
  </w:abstractNum>
  <w:abstractNum w:abstractNumId="28">
    <w:nsid w:val="3006C83E"/>
    <w:multiLevelType w:val="hybridMultilevel"/>
    <w:lvl w:ilvl="0">
      <w:lvlJc w:val="left"/>
      <w:lvlText w:val="•"/>
      <w:numFmt w:val="bullet"/>
      <w:start w:val="1"/>
    </w:lvl>
  </w:abstractNum>
  <w:abstractNum w:abstractNumId="29">
    <w:nsid w:val="614FD4A1"/>
    <w:multiLevelType w:val="hybridMultilevel"/>
    <w:lvl w:ilvl="0">
      <w:lvlJc w:val="left"/>
      <w:lvlText w:val="•"/>
      <w:numFmt w:val="bullet"/>
      <w:start w:val="1"/>
    </w:lvl>
    <w:lvl w:ilvl="1">
      <w:lvlJc w:val="left"/>
      <w:lvlText w:val="•"/>
      <w:numFmt w:val="bullet"/>
      <w:start w:val="1"/>
    </w:lvl>
  </w:abstractNum>
  <w:abstractNum w:abstractNumId="30">
    <w:nsid w:val="419AC241"/>
    <w:multiLevelType w:val="hybridMultilevel"/>
    <w:lvl w:ilvl="0">
      <w:lvlJc w:val="left"/>
      <w:lvlText w:val="•"/>
      <w:numFmt w:val="bullet"/>
      <w:start w:val="1"/>
    </w:lvl>
  </w:abstractNum>
  <w:abstractNum w:abstractNumId="31">
    <w:nsid w:val="5577F8E1"/>
    <w:multiLevelType w:val="hybridMultilevel"/>
    <w:lvl w:ilvl="0">
      <w:lvlJc w:val="left"/>
      <w:lvlText w:val="•"/>
      <w:numFmt w:val="bullet"/>
      <w:start w:val="1"/>
    </w:lvl>
  </w:abstractNum>
  <w:abstractNum w:abstractNumId="32">
    <w:nsid w:val="440BADFC"/>
    <w:multiLevelType w:val="hybridMultilevel"/>
    <w:lvl w:ilvl="0">
      <w:lvlJc w:val="left"/>
      <w:lvlText w:val="•"/>
      <w:numFmt w:val="bullet"/>
      <w:start w:val="1"/>
    </w:lvl>
  </w:abstractNum>
  <w:abstractNum w:abstractNumId="33">
    <w:nsid w:val="5072367"/>
    <w:multiLevelType w:val="hybridMultilevel"/>
    <w:lvl w:ilvl="0">
      <w:lvlJc w:val="left"/>
      <w:lvlText w:val="(%1)"/>
      <w:numFmt w:val="lowerLetter"/>
      <w:start w:val="1"/>
    </w:lvl>
  </w:abstractNum>
  <w:abstractNum w:abstractNumId="34">
    <w:nsid w:val="3804823E"/>
    <w:multiLevelType w:val="hybridMultilevel"/>
    <w:lvl w:ilvl="0">
      <w:lvlJc w:val="left"/>
      <w:lvlText w:val="%1."/>
      <w:numFmt w:val="decimal"/>
      <w:start w:val="1"/>
    </w:lvl>
    <w:lvl w:ilvl="1">
      <w:lvlJc w:val="left"/>
      <w:lvlText w:val="(%2)"/>
      <w:numFmt w:val="lowerLetter"/>
      <w:start w:val="1"/>
    </w:lvl>
  </w:abstractNum>
  <w:abstractNum w:abstractNumId="35">
    <w:nsid w:val="77465F01"/>
    <w:multiLevelType w:val="hybridMultilevel"/>
    <w:lvl w:ilvl="0">
      <w:lvlJc w:val="left"/>
      <w:lvlText w:val="%1."/>
      <w:numFmt w:val="decimal"/>
      <w:start w:val="1"/>
    </w:lvl>
    <w:lvl w:ilvl="1">
      <w:lvlJc w:val="left"/>
      <w:lvlText w:val="(%2)"/>
      <w:numFmt w:val="lowerLetter"/>
      <w:start w:val="1"/>
    </w:lvl>
  </w:abstractNum>
  <w:abstractNum w:abstractNumId="36">
    <w:nsid w:val="7724C67E"/>
    <w:multiLevelType w:val="hybridMultilevel"/>
    <w:lvl w:ilvl="0">
      <w:lvlJc w:val="left"/>
      <w:lvlText w:val="%1."/>
      <w:numFmt w:val="decimal"/>
      <w:start w:val="1"/>
    </w:lvl>
  </w:abstractNum>
  <w:abstractNum w:abstractNumId="37">
    <w:nsid w:val="5C482A9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2019-12-29T10:03:57Z</dcterms:created>
  <dcterms:modified xsi:type="dcterms:W3CDTF">2019-12-29T10:03:57Z</dcterms:modified>
</cp:coreProperties>
</file>