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February 28, 2015</w:t>
      </w:r>
    </w:p>
    <w:p>
      <w:pPr>
        <w:spacing w:after="0" w:line="243" w:lineRule="exact"/>
        <w:rPr>
          <w:sz w:val="24"/>
          <w:szCs w:val="24"/>
          <w:color w:val="auto"/>
        </w:rPr>
      </w:pPr>
    </w:p>
    <w:p>
      <w:pPr>
        <w:ind w:left="460" w:right="8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SARATOGA INVESTMENT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60" w:type="dxa"/>
        <w:tblCellMar>
          <w:top w:w="0" w:type="dxa"/>
          <w:left w:w="0" w:type="dxa"/>
          <w:bottom w:w="0" w:type="dxa"/>
          <w:right w:w="0" w:type="dxa"/>
        </w:tblCellMar>
      </w:tblPr>
      <w:tr>
        <w:trPr>
          <w:trHeight w:val="214"/>
        </w:trPr>
        <w:tc>
          <w:tcPr>
            <w:tcW w:w="1860" w:type="dxa"/>
            <w:vAlign w:val="bottom"/>
          </w:tcPr>
          <w:p>
            <w:pPr>
              <w:spacing w:after="0"/>
              <w:rPr>
                <w:sz w:val="18"/>
                <w:szCs w:val="18"/>
                <w:color w:val="auto"/>
              </w:rPr>
            </w:pPr>
          </w:p>
        </w:tc>
        <w:tc>
          <w:tcPr>
            <w:tcW w:w="4920" w:type="dxa"/>
            <w:vAlign w:val="bottom"/>
            <w:gridSpan w:val="4"/>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gridSpan w:val="2"/>
          </w:tcPr>
          <w:p>
            <w:pPr>
              <w:jc w:val="center"/>
              <w:ind w:left="639"/>
              <w:spacing w:after="0"/>
              <w:rPr>
                <w:sz w:val="20"/>
                <w:szCs w:val="20"/>
                <w:color w:val="auto"/>
              </w:rPr>
            </w:pPr>
            <w:r>
              <w:rPr>
                <w:rFonts w:ascii="Times New Roman" w:cs="Times New Roman" w:eastAsia="Times New Roman" w:hAnsi="Times New Roman"/>
                <w:sz w:val="18"/>
                <w:szCs w:val="18"/>
                <w:b w:val="1"/>
                <w:bCs w:val="1"/>
                <w:color w:val="auto"/>
                <w:w w:val="98"/>
              </w:rPr>
              <w:t>20-8700615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780" w:type="dxa"/>
            <w:vAlign w:val="bottom"/>
            <w:gridSpan w:val="5"/>
          </w:tcPr>
          <w:p>
            <w:pPr>
              <w:jc w:val="center"/>
              <w:ind w:right="19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00" w:type="dxa"/>
            <w:vAlign w:val="bottom"/>
            <w:gridSpan w:val="2"/>
          </w:tcPr>
          <w:p>
            <w:pPr>
              <w:jc w:val="center"/>
              <w:ind w:left="6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780" w:type="dxa"/>
            <w:vAlign w:val="bottom"/>
            <w:gridSpan w:val="5"/>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80" w:type="dxa"/>
            <w:vAlign w:val="bottom"/>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535 Madison Avenue</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New York, New York 10022</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440" w:type="dxa"/>
            <w:vAlign w:val="bottom"/>
            <w:gridSpan w:val="4"/>
          </w:tcPr>
          <w:p>
            <w:pPr>
              <w:jc w:val="center"/>
              <w:ind w:left="3995"/>
              <w:spacing w:after="0"/>
              <w:rPr>
                <w:sz w:val="20"/>
                <w:szCs w:val="20"/>
                <w:color w:val="auto"/>
              </w:rPr>
            </w:pPr>
            <w:r>
              <w:rPr>
                <w:rFonts w:ascii="Times New Roman" w:cs="Times New Roman" w:eastAsia="Times New Roman" w:hAnsi="Times New Roman"/>
                <w:sz w:val="18"/>
                <w:szCs w:val="18"/>
                <w:b w:val="1"/>
                <w:bCs w:val="1"/>
                <w:color w:val="auto"/>
                <w:w w:val="99"/>
              </w:rPr>
              <w:t>(212) 906-7800</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500" w:type="dxa"/>
            <w:vAlign w:val="bottom"/>
            <w:gridSpan w:val="4"/>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500" w:type="dxa"/>
            <w:vAlign w:val="bottom"/>
            <w:gridSpan w:val="4"/>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4920" w:type="dxa"/>
            <w:vAlign w:val="bottom"/>
            <w:gridSpan w:val="4"/>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0.001 per share</w:t>
            </w:r>
          </w:p>
        </w:tc>
        <w:tc>
          <w:tcPr>
            <w:tcW w:w="282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00" w:type="dxa"/>
            <w:vAlign w:val="bottom"/>
            <w:gridSpan w:val="2"/>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par value $</w:t>
            </w:r>
          </w:p>
        </w:tc>
        <w:tc>
          <w:tcPr>
            <w:tcW w:w="3780" w:type="dxa"/>
            <w:vAlign w:val="bottom"/>
            <w:gridSpan w:val="3"/>
            <w:vMerge w:val="continue"/>
          </w:tcPr>
          <w:p>
            <w:pPr>
              <w:spacing w:after="0"/>
              <w:rPr>
                <w:sz w:val="16"/>
                <w:szCs w:val="16"/>
                <w:color w:val="auto"/>
              </w:rPr>
            </w:pPr>
          </w:p>
        </w:tc>
        <w:tc>
          <w:tcPr>
            <w:tcW w:w="3000" w:type="dxa"/>
            <w:vAlign w:val="bottom"/>
            <w:gridSpan w:val="5"/>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6780" w:type="dxa"/>
            <w:vAlign w:val="bottom"/>
            <w:gridSpan w:val="5"/>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7.50% Notes due 2020</w:t>
            </w:r>
          </w:p>
        </w:tc>
        <w:tc>
          <w:tcPr>
            <w:tcW w:w="300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432"/>
        </w:trPr>
        <w:tc>
          <w:tcPr>
            <w:tcW w:w="1860" w:type="dxa"/>
            <w:vAlign w:val="bottom"/>
          </w:tcPr>
          <w:p>
            <w:pPr>
              <w:spacing w:after="0"/>
              <w:rPr>
                <w:sz w:val="24"/>
                <w:szCs w:val="24"/>
                <w:color w:val="auto"/>
              </w:rPr>
            </w:pPr>
          </w:p>
        </w:tc>
        <w:tc>
          <w:tcPr>
            <w:tcW w:w="6640" w:type="dxa"/>
            <w:vAlign w:val="bottom"/>
            <w:gridSpan w:val="5"/>
          </w:tcPr>
          <w:p>
            <w:pPr>
              <w:jc w:val="center"/>
              <w:ind w:left="7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gridSpan w:val="2"/>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446"/>
        </w:trPr>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2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18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0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362" w:right="239" w:bottom="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362" w:right="239" w:bottom="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362" w:right="239" w:bottom="0" w:gutter="0" w:footer="0" w:header="0"/>
          <w:type w:val="continuous"/>
        </w:sectPr>
      </w:pPr>
    </w:p>
    <w:p>
      <w:pPr>
        <w:ind w:left="460"/>
        <w:spacing w:after="0" w:line="207" w:lineRule="exact"/>
        <w:tabs>
          <w:tab w:leader="none" w:pos="8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2">
            <w:col w:w="8560" w:space="180"/>
            <w:col w:w="2680"/>
          </w:cols>
          <w:pgMar w:left="240" w:top="362" w:right="239" w:bottom="0" w:gutter="0" w:footer="0" w:header="0"/>
          <w:type w:val="continuous"/>
        </w:sectPr>
      </w:pPr>
    </w:p>
    <w:bookmarkStart w:id="1" w:name="page2"/>
    <w:bookmarkEnd w:id="1"/>
    <w:p>
      <w:pPr>
        <w:ind w:firstLine="45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August 29, 2014 was approximately $55.5 million based upon a closing price of $16.06 reported for such date by the New York Stock Exchange.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outstanding common shares of the registrant as of May 20, 2015 was 5,428,758.</w:t>
      </w:r>
    </w:p>
    <w:p>
      <w:pPr>
        <w:spacing w:after="0" w:line="22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00"/>
          </w:cols>
          <w:pgMar w:left="240" w:top="121" w:right="12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ABOUT REFERENCES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(the “Annual Report”), the “Company,” “we,” “us” and “our” refer to Saratoga Investment Corp. and its wholly owned subsidiaries, Saratoga Investment Funding LLC and Saratoga Investment Corp. SBIC, L.P., unless the context otherwise requires. We refer to Saratoga Investment Advisors, LLC, our investment adviser, as “Saratoga Investment Advisors” or the “Investment Adviser.”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Some of the statements in this Annual Report constitute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“project,” “should,” “will” and “would” or the negative of these terms or other comparable terminology.</w:t>
      </w:r>
    </w:p>
    <w:p>
      <w:pPr>
        <w:spacing w:after="0" w:line="180"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forward-looking statements contained in this Annual Report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660" w:right="400" w:hanging="206"/>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 including our ability to operate as a business development company, or to operate our small business investment company subsidiary, and to continue to qualify to be taxed as a regulated investment company;</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For a discussion of factors that could cause our actual results to differ from forward-looking statements contained in this Annual Report, please see the discussion under Part I, Item 1A “Risk Factors”.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6"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7"/>
            <w:vMerge w:val="restart"/>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c>
          <w:tcPr>
            <w:tcW w:w="0" w:type="dxa"/>
            <w:vAlign w:val="bottom"/>
          </w:tcPr>
          <w:p>
            <w:pPr>
              <w:spacing w:after="0"/>
              <w:rPr>
                <w:sz w:val="1"/>
                <w:szCs w:val="1"/>
                <w:color w:val="auto"/>
              </w:rPr>
            </w:pPr>
          </w:p>
        </w:tc>
      </w:tr>
      <w:tr>
        <w:trPr>
          <w:trHeight w:val="156"/>
        </w:trPr>
        <w:tc>
          <w:tcPr>
            <w:tcW w:w="10940" w:type="dxa"/>
            <w:vAlign w:val="bottom"/>
            <w:gridSpan w:val="2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0580" w:type="dxa"/>
            <w:vAlign w:val="bottom"/>
            <w:gridSpan w:val="2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Business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1A. Risk Factors</w:t>
              </w:r>
            </w:hyperlink>
          </w:p>
        </w:tc>
        <w:tc>
          <w:tcPr>
            <w:tcW w:w="898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1B. Unresolved Staff Comments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Item 2. Properties</w:t>
              </w:r>
            </w:hyperlink>
          </w:p>
        </w:tc>
        <w:tc>
          <w:tcPr>
            <w:tcW w:w="1420" w:type="dxa"/>
            <w:vAlign w:val="bottom"/>
            <w:tcBorders>
              <w:top w:val="single" w:sz="8" w:color="0000EE"/>
            </w:tcBorders>
            <w:gridSpan w:val="8"/>
          </w:tcPr>
          <w:p>
            <w:pPr>
              <w:spacing w:after="0"/>
              <w:rPr>
                <w:sz w:val="17"/>
                <w:szCs w:val="17"/>
                <w:color w:val="auto"/>
              </w:rPr>
            </w:pPr>
          </w:p>
        </w:tc>
        <w:tc>
          <w:tcPr>
            <w:tcW w:w="78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Item 3. Legal Proceedings</w:t>
              </w:r>
            </w:hyperlink>
          </w:p>
        </w:tc>
        <w:tc>
          <w:tcPr>
            <w:tcW w:w="868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Item 4. Mine Safety Disclosures</w:t>
              </w:r>
            </w:hyperlink>
          </w:p>
        </w:tc>
        <w:tc>
          <w:tcPr>
            <w:tcW w:w="82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PART II</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6. Selected Financial Data</w:t>
              </w:r>
            </w:hyperlink>
          </w:p>
        </w:tc>
        <w:tc>
          <w:tcPr>
            <w:tcW w:w="6400" w:type="dxa"/>
            <w:vAlign w:val="bottom"/>
            <w:tcBorders>
              <w:top w:val="single" w:sz="8" w:color="0000EE"/>
            </w:tcBorders>
            <w:gridSpan w:val="14"/>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0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7A. Quantitative and Qualitative Disclosures about Market Risk</w:t>
              </w:r>
            </w:hyperlink>
          </w:p>
        </w:tc>
        <w:tc>
          <w:tcPr>
            <w:tcW w:w="35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Item 8. Financial Statements and Supplementary Data</w:t>
              </w:r>
            </w:hyperlink>
          </w:p>
        </w:tc>
        <w:tc>
          <w:tcPr>
            <w:tcW w:w="1100" w:type="dxa"/>
            <w:vAlign w:val="bottom"/>
            <w:tcBorders>
              <w:top w:val="single" w:sz="8" w:color="0000EE"/>
            </w:tcBorders>
            <w:gridSpan w:val="2"/>
          </w:tcPr>
          <w:p>
            <w:pPr>
              <w:spacing w:after="0"/>
              <w:rPr>
                <w:sz w:val="17"/>
                <w:szCs w:val="17"/>
                <w:color w:val="auto"/>
              </w:rPr>
            </w:pPr>
          </w:p>
        </w:tc>
        <w:tc>
          <w:tcPr>
            <w:tcW w:w="55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9A. Controls and Procedures</w:t>
              </w:r>
            </w:hyperlink>
          </w:p>
        </w:tc>
        <w:tc>
          <w:tcPr>
            <w:tcW w:w="4560" w:type="dxa"/>
            <w:vAlign w:val="bottom"/>
            <w:tcBorders>
              <w:top w:val="single" w:sz="8" w:color="0000EE"/>
            </w:tcBorders>
            <w:gridSpan w:val="9"/>
          </w:tcPr>
          <w:p>
            <w:pPr>
              <w:spacing w:after="0"/>
              <w:rPr>
                <w:sz w:val="17"/>
                <w:szCs w:val="17"/>
                <w:color w:val="auto"/>
              </w:rPr>
            </w:pPr>
          </w:p>
        </w:tc>
        <w:tc>
          <w:tcPr>
            <w:tcW w:w="35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Item 9B. Other Information</w:t>
              </w:r>
            </w:hyperlink>
          </w:p>
        </w:tc>
        <w:tc>
          <w:tcPr>
            <w:tcW w:w="85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PART III</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10. Directors, Executive Officers and Corporate Governance</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Item 11. Executive Compensation</w:t>
              </w:r>
            </w:hyperlink>
          </w:p>
        </w:tc>
        <w:tc>
          <w:tcPr>
            <w:tcW w:w="2280" w:type="dxa"/>
            <w:vAlign w:val="bottom"/>
            <w:tcBorders>
              <w:top w:val="single" w:sz="8" w:color="0000EE"/>
            </w:tcBorders>
            <w:gridSpan w:val="6"/>
          </w:tcPr>
          <w:p>
            <w:pPr>
              <w:spacing w:after="0"/>
              <w:rPr>
                <w:sz w:val="17"/>
                <w:szCs w:val="17"/>
                <w:color w:val="auto"/>
              </w:rPr>
            </w:pPr>
          </w:p>
        </w:tc>
        <w:tc>
          <w:tcPr>
            <w:tcW w:w="584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80" w:type="dxa"/>
            <w:vAlign w:val="bottom"/>
            <w:gridSpan w:val="26"/>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12. Security Ownership of Certain Beneficial Owners and Management and Related Stockholder Matters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9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13. Certain Relationships and Related Transactions, and Director Independence</w:t>
              </w:r>
            </w:hyperlink>
          </w:p>
        </w:tc>
        <w:tc>
          <w:tcPr>
            <w:tcW w:w="26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Item 14. Principal Accountant Fees and Services</w:t>
              </w:r>
            </w:hyperlink>
          </w:p>
        </w:tc>
        <w:tc>
          <w:tcPr>
            <w:tcW w:w="2580" w:type="dxa"/>
            <w:vAlign w:val="bottom"/>
            <w:tcBorders>
              <w:top w:val="single" w:sz="8" w:color="0000EE"/>
            </w:tcBorders>
            <w:gridSpan w:val="5"/>
          </w:tcPr>
          <w:p>
            <w:pPr>
              <w:spacing w:after="0"/>
              <w:rPr>
                <w:sz w:val="17"/>
                <w:szCs w:val="17"/>
                <w:color w:val="auto"/>
              </w:rPr>
            </w:pPr>
          </w:p>
        </w:tc>
        <w:tc>
          <w:tcPr>
            <w:tcW w:w="4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4"/>
              </w:rPr>
            </w:pPr>
            <w:hyperlink w:anchor="page80">
              <w:r>
                <w:rPr>
                  <w:rFonts w:ascii="Times New Roman" w:cs="Times New Roman" w:eastAsia="Times New Roman" w:hAnsi="Times New Roman"/>
                  <w:sz w:val="18"/>
                  <w:szCs w:val="18"/>
                  <w:color w:val="0000EE"/>
                  <w:w w:val="94"/>
                </w:rPr>
                <w:t>PART IV</w:t>
              </w:r>
            </w:hyperlink>
          </w:p>
        </w:tc>
        <w:tc>
          <w:tcPr>
            <w:tcW w:w="1026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Item 15. Exhibits and Financial Statement Schedules</w:t>
              </w:r>
            </w:hyperlink>
          </w:p>
        </w:tc>
        <w:tc>
          <w:tcPr>
            <w:tcW w:w="67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7"/>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Signatures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gridSpan w:val="6"/>
          </w:tcPr>
          <w:p>
            <w:pPr>
              <w:spacing w:after="0"/>
              <w:rPr>
                <w:sz w:val="24"/>
                <w:szCs w:val="24"/>
                <w:color w:val="auto"/>
              </w:rPr>
            </w:pPr>
          </w:p>
        </w:tc>
        <w:tc>
          <w:tcPr>
            <w:tcW w:w="5700" w:type="dxa"/>
            <w:vAlign w:val="bottom"/>
            <w:gridSpan w:val="16"/>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6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that invests primarily in leveraged loans and mezzanine debt issued by private U.S. middle-market companies, which we define as companies having annual EBITDA (earnings before interest, taxes, depreciation and amortization) of $2 million and $50 million, both through direct lending and through participation in loan syndicates. Our investment objective is to generate current income and, to a lesser extent, capital appreciation from our investments. We are externally managed and advised by Saratoga Investment Advisors, LLC, a New York-based investment firm affiliated with Saratoga Partners, a middle market private equity investment firm.</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portfolio is comprised primarily of investments in leveraged loans (both first and second lien term loans) issued by middle market companies.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purchase mezzanine debt and make equity investments in middle market companies. Mezzanine debt is typically unsecured and subordinated to senior debt of the portfolio company.</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28, 2015, we had total assets of $263.6 million and investments in 34 portfolio companies and an additional investment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notes of one collateralized loan obligation fund, Saratoga Investment Corp. CLO 2013-1, Ltd. (“Saratoga CLO”), which had a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as of February 28, 2015. The overall portfolio composition as of February 28, 2015 consisted of 7.6% of syndicated loans, 60.3% of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14.8% of second lien term loans, 1.8 % of unsecured notes, 7.1% of subordinated notes of Saratoga CLO and 8.4% of common equity.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 the weighted average yield on all of our debt investments, including our investment in the subordinated notes of Saratoga CLO,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11.8%. As of February 28, 2015, approximately 97.7% of our first lien debt investments were fully collateralized in the sense that the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 which we held such investments had an enterprise value or our investment had an asset coverage equal to or greater than the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debt investment. Our investment in the subordinated notes of Saratoga CLO represents a first loss position in a portfolio that, at February 28,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composed of $296.9 million in aggregate principal amount of predominantly senior secured first lien term loans. A first loss position means that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suffer the first economic losses if losses are incurred on loans held by the Saratoga CLO. As a result, this investment is subject to unique risks. See</w:t>
      </w:r>
    </w:p>
    <w:p>
      <w:pPr>
        <w:spacing w:after="0" w:line="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Part I, Item 1A. “Risk Factors—Our investment in Saratoga CLO constitutes a leveraged investment in a portfolio of predominantly senior secured first lien term loans and is subject to additional risks and volatility.”</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business development company (“BDC”) under the Investment Company Act of 1940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200.0% after such borrowing. Pursuant to the 200.0% asset coverage ratio limitation, we are permitted to borrow one dollar to make investments for every dollar we have in assets less all liabilities and indebtedness not represented by preferred stock or debt securities issued by us or loans obtained by us so that for every one dollar of outstanding indebtedness we have two dollars of assets.</w:t>
      </w:r>
    </w:p>
    <w:p>
      <w:pPr>
        <w:spacing w:after="0" w:line="18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have elected to be treated for U.S. federal income tax purposes as a regulated investment company (“RIC”), under Subchapter M of the Internal Revenue Code of 1986 (the “Code”). As a RIC, we generally will not have to pay corporate-level federal income taxes on any net ordinary income or capital gains that we distribute to our stockholders if we meet certain source-of-income, distribution and asset diversification requirements.</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In addition, we have a wholly-owned subsidiary that is licensed as a small business investment company (“SBIC”) and regulated by the Small Business Administration (“SBA”). See “Item 1. Business—Regulation—Small Business Investment Company Regulations.” The SBIC license allows us, through our wholly-owned subsidiary, to issue SBA-guaranteed debentures. We received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exemptive relief from the Securities and Exchange Commission (“SEC”) to permit us to exclude the debt of our SBIC subsidiary guaranteed by the SBA from the 200.0% asset coverage ratio we are required to maintain under the 1940 Act. This allows us increased flexibility under the 200.0% asset coverage test by permitting us to borrow up to $150.0 million more than we would otherwise be able to absent the receipt of this exemptive relief.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recapitalization transaction consisted of (i) the private sale of 986,842 shares of our common stock for $15.0 million in aggregate purchase price to Saratoga Investment Advisors and certain of its affiliates and (ii) the entry into a $40.0 million senior secured revolving credit facility with Madison Capital Funding LLC (the “Credit Facility”). We used the net proceeds from the private sale of shares of our common stock and a portion of the funds available to us under the Credit Facility to pay the full amount of principal and accrued interest, including default interest, outstanding under our revolving securitized credit facility with Deutsche Bank AG, New York Branch. Specifically, in July 2009, we had exceeded permissible borrowing limits under the revolving securitized credit facility with Deutsche Bank, which resulted in an event of default under the revolving securitized credit facility. As a result of the event of default, Deutsche Bank had the right to accelerate repayment of the outstanding indebtedness under the revolving securitized credit facility and to foreclose and liquidate the collateral pledged under the revolving securitized credit facility. The revolving securitized credit facility with Deutsche Bank was terminated in connection with our payment of all amounts outstanding thereunder on July 30, 2010. In January 2011, we registered for public resale by Saratoga Investment Advisors and certain of its affiliates the 986,842 shares of our common stock issued to them in the recapitalization.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28, 2012, our wholly-owned subsidiary, Saratoga Investment Corp. SBIC, LP, received an SBIC license from the SBA.</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corporate offices are located at 535 Madison Avenue, New York, New York 10022. Our telephone number is (212) 906-7800. We maintain a website on the Internet at www.saratogainvestmentcorp.com. Information contained on our website is not incorporated by reference into this Annual Report, and you should not consider that information to be part of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Saratoga Investment Advisors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investment adviser was formed in 2010 as a Delaware limited liability company and became our investment adviser in July 2010. Our investment adviser is led by four principals, Christian L. Oberbeck, Michael J. Grisius, Thomas V. Inglesby, and Charles G. Phillips, with 27, 25, 28 and 18 years of experience in leveraged finance, respectively. Our investment adviser is affiliated with Saratoga Partners, a middle market private equity investment firm. Saratoga Partners was established in 1984 to be the middle market private investment arm of Dillon Read &amp; Co. Inc. and has been independent of Dillon Read since 1998. Saratoga Partners has a 28-year history of private investments in middle market companies and focuses on public and private equity, preferred stock, and senior and mezzanine debt investments.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Relationship with Saratoga Investment Advisors</w:t>
      </w:r>
    </w:p>
    <w:p>
      <w:pPr>
        <w:spacing w:after="0" w:line="11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entered into an investment advisory and management agreement (the “Management Agreement”) with Saratoga Investment Advisors. Pursuant to the 1940 Act, the initial term of the Management Agreement was for two years from its effective date of July 30, 2010, with automatic, one-year renewals, subject to approval by our board of directors, a majority of whom must be our independent directors. On July 10, 2014, our board of directors approved the renewal of the Management Agreement for an additional one-year term at an in-person meeting.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investments, asset sales, financings and performing asset management duties.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6" w:name="page7"/>
    <w:bookmarkEnd w:id="6"/>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pay Saratoga Investment Advisors a fee for investment advisory and management services consisting of two components—a base management fee and an incentive fee. The base management fee is calculated at an annual rate of 1.75% of our gross assets which includes assets purchased with borrowed funds but excludes cash and cash equivalents. As a result, Saratoga Investment Advisors will benefit as we incur debt or use leverage to purchase assets. Our board of directors will monitor the conflicts presented by this compensation structure by approving the amount of leverage that we may incur.</w:t>
      </w:r>
    </w:p>
    <w:p>
      <w:pPr>
        <w:spacing w:after="0" w:line="180"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base management fee, we pay Saratoga Investment Advisors an incentive fee which consists of two parts. First, we pay Saratoga Investment Advisors an incentive fee with respect to our pre-incentive fee net investment income in each calendar quarter as follows:</w:t>
      </w:r>
    </w:p>
    <w:p>
      <w:pPr>
        <w:spacing w:after="0" w:line="67" w:lineRule="exact"/>
        <w:rPr>
          <w:sz w:val="20"/>
          <w:szCs w:val="20"/>
          <w:color w:val="auto"/>
        </w:rPr>
      </w:pPr>
    </w:p>
    <w:p>
      <w:pPr>
        <w:ind w:left="660" w:right="280" w:hanging="206"/>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in any calendar quarter in which our pre-incentive fee income does not exceed a fixed “hurdle rate” of 1.875% per quarter (7.5% annualized); and</w:t>
      </w:r>
    </w:p>
    <w:p>
      <w:pPr>
        <w:spacing w:after="0" w:line="67" w:lineRule="exact"/>
        <w:rPr>
          <w:rFonts w:ascii="Times New Roman" w:cs="Times New Roman" w:eastAsia="Times New Roman" w:hAnsi="Times New Roman"/>
          <w:sz w:val="18"/>
          <w:szCs w:val="18"/>
          <w:color w:val="auto"/>
        </w:rPr>
      </w:pPr>
    </w:p>
    <w:p>
      <w:pPr>
        <w:ind w:left="660" w:hanging="206"/>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of our pre-incentive fee net investment income with respect to that portion of such pre-incentive fee net investment income, if any, that exceeds the hurdle rate but is less than or equal to 2.344% in any fiscal quarter (9.376% annualized) is payable to the investment adviser. We refer to this portion of our pre-incentive fee net investment income (which exceeds the hurdle rate but is less than or equal to 2.344%) as the “catch-up.” The “catch-up” provision is intended to provide our investment adviser with an incentive fee of 20.0% on all of our pre-incentive fee net investment income as if a hurdle rate did not apply when our pre-incentive fee net investment income exceeds 2.344% in any fiscal quarter. Notwithstanding the foregoing, with respect to any period ending on or prior to December 31, 2010, our investment adviser was only entitled to 20.0% of the amount of our pre-incentive fee net investment income, if any, that exceeded 1.875% in any fiscal quarter (7.5% annualized) without any catch-up provision; and</w:t>
      </w:r>
    </w:p>
    <w:p>
      <w:pPr>
        <w:spacing w:after="0" w:line="90" w:lineRule="exact"/>
        <w:rPr>
          <w:rFonts w:ascii="Times New Roman" w:cs="Times New Roman" w:eastAsia="Times New Roman" w:hAnsi="Times New Roman"/>
          <w:sz w:val="18"/>
          <w:szCs w:val="18"/>
          <w:color w:val="auto"/>
        </w:rPr>
      </w:pPr>
    </w:p>
    <w:p>
      <w:pPr>
        <w:ind w:left="660" w:right="340" w:hanging="206"/>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amount of our pre-incentive fee net investment income, if any, that exceeds 2.344% in any fiscal quarter (9.376% annualized) is payable to the investment adviser (once the hurdle is reached and the catch-up is achieved, 20.0% of all pre-incentive fee net investment income thereafter is allocated to the investment adviser).</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Pre-incentive fee net investment income means interest income, dividend income and other income (including any other fees, such as commitment, origination, structuring, diligence, managerial and consulting fees or other fees that we receive from portfolio companies) earned during the calendar quarter, minus our operating expenses for the quarter.</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fiscal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also entered into a separate administration agreement with Saratoga Investment Advisors pursuant to which Saratoga Investment Advisors furnishes us with office facilities, equipment and clerical, bookkeeping and record keeping services. The administration agreement has an initial term of two years from its effective date of July 30, 2010, with automatic one-year renewals, subject to approval by our board of directors, a majority of whom must be our independent directors. On July 10, 2014, our board of directors approved the renewal of the Administration Agreement for an additional one-year term and determined to maintain the cap on the payment or reimbursement of expenses by us thereunder to $1.0 million for the additional one-year term. Under the administration agreement, Saratoga Investment Advisors also performs, or oversees the performance of our required administrative services, which include, among other things, being responsible for the financial records which we are required to maintain, preparing reports for our stockholders and reports required to be filed with the SEC. Payments under the administration agreement will be equal to an amount based upon the allocable portion of Saratoga Investment Advisors’ overhead in performing its obligations under the administration agreement, including rent and the allocable portion of the cost of our officers and their respective staffs relating to the performance of services under the administration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portfolio is comprised primarily of investments in leveraged loans (both first and second lien term loans) issued by middle market companies. Investments in middle market companies are generally less liquid than equivalent investments in companies with larger capitalizations. These investments are sourced in both the primary and secondary markets through a network of relationships with commercial and investment banks, commercial finance companies and financial sponsors. The leveraged loans that we purchase are generally used to finance buyouts, acquisitions, growth, recapitalizations and other types of transactions. Leveraged loans are generally senior debt instruments that rank ahead of subordinated debt of the portfolio company. Leveraged loans also have the benefit of security interests on the assets of the portfolio company, which may rank ahead of, or be junior to, other security interests. For a discussion of the risks pertaining to our secured investments, see Part I, Item 1A. “Risk Factors—Our investments may be risky, and you could lose all or part of your investment.”</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part of our long-term strategy, we also purchase mezzanine debt and make equity investments in middle market companies. Mezzanine debt is typically unsecured and subordinated to senior debt of the portfolio company. See Part I, Item 1A. “Risk Factors—If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Substantially all of the debt investments held in our portfolio hold a non-investment grade rating by one or more rating agencies or, if not rated, would be rated below investment grade if rated, which are often referred to as “junk.” As of February 28, 2015, 40.6% of our debt portfolio at fair value consisted of debt securities for which issuers were not required to make principal payments until the maturity of such debt securities, which could result in a substantial loss to us if such issuers are unable to refinance or repay their debt at maturity. In addition, 59.4% of our debt investments at February 28, 2015, had variable interest rates that reset periodically based on benchmarks such as LIBOR and the prime rate. As a result, significant increases in such benchmarks in the future may make it more difficult for these borrowers to service their obligations under the debt investments that we hold.</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a BDC, we are required to comply with certain regulatory requirements. For instance, we have to invest at least 70.0% of our total assets in assets of the type listed in section 55(a) of the 1940 Act, including securities of U.S. operating companies whose securities are not listed on a national securities exchange (i.e., New York Stock Exchange, NYSE MKT and The NASDAQ Stock Market), U.S. operating companies with listed securities that have market capitalizations of less than $250.0 million, cash, cash equivalents, U.S. government securities and high-quality debt investments that mature in one year or less, which we refer to as “qualifying assets”.</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While our primary focus is to generate current income and capital appreciation from our debt and equity investments in middle market companies, we may invest up to 30.0% of the portfolio in opportunistic investments in order to seek to enhance returns to stockholders. Such investments may include investments in distressed debt, private equity, securities of public companies that are not thinly traded and structured finance vehicles such as collateralized loan obligation funds.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Leveraged loans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leveraged loan portfolio is comprised primarily of first lien and second lien term loans. First lien term loans are secured by a first priority perfected security interest on all or substantially all of the assets of the borrower and typically include a first priority pledge of the capital stock of the borrower. First lien term loans hold a first priority with regard to right of payment. Generally, first lien term loans offer floating rate interest payments, have a stated maturity of five to seven years, and have a fixed amortization schedule. First lien term loans generally have restrictive financial and negative covenants. Second lien term loans are secured by a second priority perfected security interest on all or substantially all of the assets of the borrower and typically include a second priority pledge of the capital stock of the borrower. Second lien term loans hold a second priority with regard to right of payment. Second lien term loans offer either floating rate or fixed rate interest payments, generally have a stated maturity of five to eight years, and may or may not have a fixed amortization schedule. Second lien term loans that do not have fixed amortization schedules require payment of the principal amount of the loan upon the maturity date of the loan. Second lien term loans have less restrictive financial and negative covenants than those that govern first lien term loans.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Mezzanine debt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Mezzanine debt usually ranks subordinate in priority of payment to senior debt and is often unsecured. However, mezzanine debt ranks senior to common and preferred equity in a borrowers’ capital structure. Mezzanine debt typically has fixed rate interest payments and a stated maturity of six to eight years and does not have fixed amortization schedules.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some cases, our debt investments may provide for a portion of the interest payable to be paid-in-kind interest (“PIK”). To the extent interest is paid-in-kind, it will be payable through the increase of the principal amount of the obligation by the amount of interest due on the then-outstanding aggregate principal amount of such obligation.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Equity investments may consist of preferred equity that is expected to pay dividends on a current basis or preferred equity that does not pay current dividends. Preferred equity generally has a preference over common equity as to distributions on liquidation and dividends. In some cases, we may acquire common equity. In general, our equity investments are not control-oriented investments and we expect that in many cases we will acquire equity securities as part of a group of private equity investors in which we are not the lead investor.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Opportunistic Investments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Opportunistic investments may include investments in distressed debt, which may include securities of companies in bankruptcy, debt and equity securities of public companies that are not thinly traded, emerging market debt, structured finance vehicles such as collateralized loan obligation funds and debt of middle market companies located outside the United States.</w:t>
      </w:r>
    </w:p>
    <w:p>
      <w:pPr>
        <w:spacing w:after="0" w:line="176" w:lineRule="exact"/>
        <w:rPr>
          <w:sz w:val="20"/>
          <w:szCs w:val="20"/>
          <w:color w:val="auto"/>
        </w:rPr>
      </w:pPr>
    </w:p>
    <w:p>
      <w:pPr>
        <w:ind w:right="420" w:firstLine="456"/>
        <w:spacing w:after="0" w:line="261" w:lineRule="auto"/>
        <w:rPr>
          <w:sz w:val="20"/>
          <w:szCs w:val="20"/>
          <w:color w:val="auto"/>
        </w:rPr>
      </w:pPr>
      <w:r>
        <w:rPr>
          <w:rFonts w:ascii="Times New Roman" w:cs="Times New Roman" w:eastAsia="Times New Roman" w:hAnsi="Times New Roman"/>
          <w:sz w:val="18"/>
          <w:szCs w:val="18"/>
          <w:color w:val="auto"/>
        </w:rPr>
        <w:t>In January 2008, we purchased for $30.0 million all of the outstanding subordinated notes of Saratoga CLO, a collateralized loan obligation fund managed by us that invests primarily in leveraged loans. As of February 28, 2015, the Saratoga CLO portfolio consisted of $296.9 million in aggregate principal amount of primarily senior secured first lien term loans to 179 obligors with an average obligor exposure of $1.6 million and $5.8 million in uninvested cash. The weighted average maturity of the portfolio is 4.68 years.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Prospective portfolio company characteristics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 adviser generally selects portfolio companies with one or more of the following characteristics:</w:t>
      </w:r>
    </w:p>
    <w:p>
      <w:pPr>
        <w:spacing w:after="0" w:line="131" w:lineRule="exact"/>
        <w:rPr>
          <w:sz w:val="20"/>
          <w:szCs w:val="20"/>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generating stable earnings and strong free cash flow;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well-constructed balance sheets, supported by sustainable enterprise values;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debt-to-cash flow multiples;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with competitive advantages and sustainable market shares in attractive sectors;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structures that provide appropriate terms and reasonable covenants.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selection</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managing us, Saratoga Investment Advisors employs the same investment philosophy and portfolio management methodologies used by Saratoga Partners. Through this investment selection process, based on quantitative and qualitative analysis, Saratoga Investment Advisors seeks to identify portfolio companies with superior fundamental risk-reward profiles and strong, defensible business franchises with the goal of minimizing principal losses while maximizing risk-adjusted returns. Saratoga Investment Advisors’ investment process emphasizes the following:</w:t>
      </w:r>
    </w:p>
    <w:p>
      <w:pPr>
        <w:spacing w:after="0" w:line="86" w:lineRule="exact"/>
        <w:rPr>
          <w:sz w:val="20"/>
          <w:szCs w:val="20"/>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bottoms-up, company-specific research and analysis;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preservation, low volatility and minimization of downside risk; and</w:t>
      </w:r>
    </w:p>
    <w:p>
      <w:pPr>
        <w:spacing w:after="0" w:line="130" w:lineRule="exact"/>
        <w:rPr>
          <w:rFonts w:ascii="Times New Roman" w:cs="Times New Roman" w:eastAsia="Times New Roman" w:hAnsi="Times New Roman"/>
          <w:sz w:val="18"/>
          <w:szCs w:val="18"/>
          <w:color w:val="auto"/>
        </w:rPr>
      </w:pPr>
    </w:p>
    <w:p>
      <w:pPr>
        <w:ind w:left="5660" w:right="3040" w:hanging="5206"/>
        <w:spacing w:after="0" w:line="454" w:lineRule="auto"/>
        <w:tabs>
          <w:tab w:leader="none" w:pos="6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with experienced management teams that hold meaningful equity ownership in their businesses. 8</w:t>
      </w:r>
    </w:p>
    <w:p>
      <w:pPr>
        <w:sectPr>
          <w:pgSz w:w="11900" w:h="16838" w:orient="portrait"/>
          <w:cols w:equalWidth="0" w:num="1">
            <w:col w:w="11320"/>
          </w:cols>
          <w:pgMar w:left="240" w:top="266" w:right="33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investment adviser’s investment process generally includes the following steps:</w:t>
      </w:r>
    </w:p>
    <w:p>
      <w:pPr>
        <w:spacing w:after="0" w:line="131" w:lineRule="exact"/>
        <w:rPr>
          <w:sz w:val="20"/>
          <w:szCs w:val="20"/>
          <w:color w:val="auto"/>
        </w:rPr>
      </w:pPr>
    </w:p>
    <w:p>
      <w:pPr>
        <w:jc w:val="both"/>
        <w:ind w:left="660" w:hanging="206"/>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screening. A brief analysis identifies the investment opportunity and reviews the merits of the transaction. The initial screening memorandum provides a brief description of the company, its industry, competitive position, capital structure, financials, equity sponsor and deal economics. If the deal is determined to be attractive by the senior members of the deal team, the opportunity is fully analyzed.</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analysis. A full analysis includes:</w:t>
      </w:r>
    </w:p>
    <w:p>
      <w:pPr>
        <w:spacing w:after="0" w:line="130" w:lineRule="exact"/>
        <w:rPr>
          <w:rFonts w:ascii="Times New Roman" w:cs="Times New Roman" w:eastAsia="Times New Roman" w:hAnsi="Times New Roman"/>
          <w:sz w:val="18"/>
          <w:szCs w:val="18"/>
          <w:color w:val="auto"/>
        </w:rPr>
      </w:pPr>
    </w:p>
    <w:p>
      <w:pPr>
        <w:ind w:left="1480" w:right="40" w:hanging="446"/>
        <w:spacing w:after="0" w:line="266"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Industry analysis—a review of the company’s business position, competitive dynamics within its industry, cost and growth drivers and technological and geographic factors. Business and industry research often includes meetings with industry experts, consultants, other investors, customers and competitors.</w:t>
      </w:r>
    </w:p>
    <w:p>
      <w:pPr>
        <w:spacing w:after="0" w:line="81" w:lineRule="exact"/>
        <w:rPr>
          <w:rFonts w:ascii="Times New Roman" w:cs="Times New Roman" w:eastAsia="Times New Roman" w:hAnsi="Times New Roman"/>
          <w:sz w:val="18"/>
          <w:szCs w:val="18"/>
          <w:color w:val="auto"/>
        </w:rPr>
      </w:pPr>
    </w:p>
    <w:p>
      <w:pPr>
        <w:ind w:left="1480" w:right="60" w:hanging="446"/>
        <w:spacing w:after="0" w:line="282"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analysis—a review of the company’s historical financial performance, future projections, cash flow characteristics, balance sheet strength, liquidation value, legal, financial and accounting risks, contingent liabilities, market share analysis and growth prospects.</w:t>
      </w:r>
    </w:p>
    <w:p>
      <w:pPr>
        <w:spacing w:after="0" w:line="67" w:lineRule="exact"/>
        <w:rPr>
          <w:rFonts w:ascii="Times New Roman" w:cs="Times New Roman" w:eastAsia="Times New Roman" w:hAnsi="Times New Roman"/>
          <w:sz w:val="18"/>
          <w:szCs w:val="18"/>
          <w:color w:val="auto"/>
        </w:rPr>
      </w:pPr>
    </w:p>
    <w:p>
      <w:pPr>
        <w:ind w:left="1480" w:right="300" w:hanging="446"/>
        <w:spacing w:after="0" w:line="282"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Structural/security analysis—a thorough legal document analysis including but not limited to an assessment of financial and negative covenants, events of default, enforceability of liens and voting rights.</w:t>
      </w:r>
    </w:p>
    <w:p>
      <w:pPr>
        <w:spacing w:after="0" w:line="67" w:lineRule="exact"/>
        <w:rPr>
          <w:rFonts w:ascii="Times New Roman" w:cs="Times New Roman" w:eastAsia="Times New Roman" w:hAnsi="Times New Roman"/>
          <w:sz w:val="18"/>
          <w:szCs w:val="18"/>
          <w:color w:val="auto"/>
        </w:rPr>
      </w:pPr>
    </w:p>
    <w:p>
      <w:pPr>
        <w:ind w:left="660" w:right="20" w:hanging="206"/>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investment committee. The investment is then presented to the investment committee for approval. The investment committee must unanimously approve all investments in excess of $1 million made by us. In addition, all sales of our investments must be approved by all four of our investment committee members. The members of our investment committee are Christian L. Oberbeck, Michael J. Grisius, Thomas V. Inglesby, and Charles G. Phillips.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structure</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general, our Investment Adviser intends to select investments with financial covenants and terms that reduce leverage over time, thereby enhancing credit quality. These methods include:</w:t>
      </w:r>
    </w:p>
    <w:p>
      <w:pPr>
        <w:spacing w:after="0" w:line="67" w:lineRule="exact"/>
        <w:rPr>
          <w:sz w:val="20"/>
          <w:szCs w:val="20"/>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leverage covenants requiring a decreasing ratio of debt to cash flow;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cash flow covenants requiring an increasing ratio of cash flow to the sum of interest expense and capital expenditures;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incurrence prohibitions, limiting a company’s ability to re-lever.</w:t>
      </w:r>
    </w:p>
    <w:p>
      <w:pPr>
        <w:spacing w:after="0" w:line="22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In addition, limitations on asset sales and capital expenditures should prevent a company from changing the nature of its business or capitalization without our consent.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 adviser seeks, where appropriate, to limit the downside potential of our investments by:</w:t>
      </w:r>
    </w:p>
    <w:p>
      <w:pPr>
        <w:spacing w:after="0" w:line="131" w:lineRule="exact"/>
        <w:rPr>
          <w:sz w:val="20"/>
          <w:szCs w:val="20"/>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companies to use a portion of their excess cash flow to repay debt;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investments with covenants that incorporate call protection as part of the investment structure; and</w:t>
      </w:r>
    </w:p>
    <w:p>
      <w:pPr>
        <w:spacing w:after="0" w:line="130" w:lineRule="exact"/>
        <w:rPr>
          <w:rFonts w:ascii="Times New Roman" w:cs="Times New Roman" w:eastAsia="Times New Roman" w:hAnsi="Times New Roman"/>
          <w:sz w:val="18"/>
          <w:szCs w:val="18"/>
          <w:color w:val="auto"/>
        </w:rPr>
      </w:pPr>
    </w:p>
    <w:p>
      <w:pPr>
        <w:ind w:left="660" w:right="400" w:hanging="206"/>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investments with affirmative and negative covenants, default penalties, lien protection, change of control provisions and board rights, including either observation or participation rights.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Valuation process</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We account for our investments at fair value in accordance with the Financial Accounting Standards Board (“FASB”) Accounting Standards Codification (“ASC”) Topic 820, Fair Value Measurements and Disclosures (“ASC 820”), as approved in good faith using written policies and procedures adopted by our board of directors. Investments for which market quotations are readily available are recorded in our financial statements at such market quotations subject to any decision by our board of directors to</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0" w:right="29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and an independent valuation firm engaged by our board of directors. Determinations of fair value may involve subjective judgments and estimates. The types of factors that may be considered in determining the fair value of our investments include the nature and realizable value of any collateral, the portfolio company’s ability to make payments, the markets in which the portfolio company does business, market yield trend analysis, comparison to publicly traded companies, discounted cash flow and other relevant factors.</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investment in the subordinated notes of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similar collateralized loan obligation fund subordinated notes or equity, when available. Specifically, we use Intex cash flow models, or an appropriate substitute, to form the basis for Saratoga CLO’s valuation. The Intex cash flow models use a set of assumptions including projected default rates, recovery rates, reinvestment rate and prepayment rates in order to arrive at estimated cash flows. The assumptions are based on available market data and projections provided by third parties as well as management estimates. We use the output from the Intex models (i.e., the estimated cash flows from our investment in Saratoga CLO) to perform a discounted cash flows analysis on expected future cash flows from our investment in Saratoga CLO to determine a valuation for the subordinated notes of Saratoga CLO held by us.</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undertake a multi-step valuation process each quarter when valuing investments for which market quotations are not readily available, as described below:</w:t>
      </w:r>
    </w:p>
    <w:p>
      <w:pPr>
        <w:spacing w:after="0" w:line="67" w:lineRule="exact"/>
        <w:rPr>
          <w:sz w:val="20"/>
          <w:szCs w:val="20"/>
          <w:color w:val="auto"/>
        </w:rPr>
      </w:pPr>
    </w:p>
    <w:p>
      <w:pPr>
        <w:ind w:left="660" w:right="780" w:hanging="206"/>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67"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valuation firm engaged by our board of directors independently values at least one quarter of our investments each quarter so that the valuation of each investment for which market quotes are not readily available is independently valued by an independent valuation firm at least annually.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all our investments are subject to the following valuation process:</w:t>
      </w:r>
    </w:p>
    <w:p>
      <w:pPr>
        <w:spacing w:after="0" w:line="131" w:lineRule="exact"/>
        <w:rPr>
          <w:sz w:val="20"/>
          <w:szCs w:val="20"/>
          <w:color w:val="auto"/>
        </w:rPr>
      </w:pPr>
    </w:p>
    <w:p>
      <w:pPr>
        <w:ind w:left="660" w:right="420" w:hanging="20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each preliminary valuation and our investment adviser and independent valuation firm (if applicable) will supplement the preliminary valuation to reflect any comments provided by the audit committee; and</w:t>
      </w:r>
    </w:p>
    <w:p>
      <w:pPr>
        <w:spacing w:after="0" w:line="67" w:lineRule="exact"/>
        <w:rPr>
          <w:rFonts w:ascii="Times New Roman" w:cs="Times New Roman" w:eastAsia="Times New Roman" w:hAnsi="Times New Roman"/>
          <w:sz w:val="18"/>
          <w:szCs w:val="18"/>
          <w:color w:val="auto"/>
        </w:rPr>
      </w:pPr>
    </w:p>
    <w:p>
      <w:pPr>
        <w:ind w:left="660" w:right="360" w:hanging="206"/>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 valuations and approves the fair value of each investment in good faith based on the input of our investment adviser, independent valuation firm (to the extent applicable) and the audit committee of our board of directors.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Ongoing relationships with and monitoring of portfolio companies</w:t>
      </w:r>
    </w:p>
    <w:p>
      <w:pPr>
        <w:spacing w:after="0" w:line="121"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11" w:name="page12"/>
    <w:bookmarkEnd w:id="11"/>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24, 2014, we announced the recommencement of quarterly dividends to our stockholders, and have subsequently made two distributions under this new policy.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88"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spacing w:after="0" w:line="2" w:lineRule="exact"/>
        <w:rPr>
          <w:sz w:val="20"/>
          <w:szCs w:val="20"/>
          <w:color w:val="auto"/>
        </w:rPr>
      </w:pPr>
    </w:p>
    <w:p>
      <w:pPr>
        <w:ind w:right="80" w:firstLine="8"/>
        <w:spacing w:after="0" w:line="253"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2014 calendar year, we made distributions sufficient such that we did not incur any federal excise taxes. We may elect to withhold from distribution a portion of our ordinary income for the 2015 calendar year and/or portion of the capital gains in excess of capital losses realized during the one year period ending October 31, 2015, if any, and, if we do so, we would expect to incur federal excise taxes as a result.</w:t>
      </w:r>
    </w:p>
    <w:p>
      <w:pPr>
        <w:spacing w:after="0" w:line="187"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primary competitors in providing financing to private middle market companies include public and private investment funds (including private equity funds, mezzanine funds, BDCs and SBICs), commercial and investment banks and commercial financing companies. Many of our competitors are substantially larger and have considerably greater financial and marketing resources than us. For example, some competitors may have access to funding sources that are not available to us. In addition, some of our competitors may have higher risk tolerances or different risk assessments, which may allow them to consider a wider variety of investments. Furthermore, many of our competitors are not subject to the regulatory restrictions that the 1940 Act imposes on us as a BDC. For additional information concerning the competitive risks we face, please see Part I, Item 1A, “Risk Factors—We operate in a highly competitive market for investment opportunities.”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in the future. Services necessary for our business are provided by individuals who are employees of Saratoga Investment Advisors, pursuant to the terms of the Management Agreement and the administration agreement. For a discussion of the Management Agreement, see “Business—Investment Advisory and Management Agreement” below. We reimburse Saratoga Investment Advisors for our allocable portion of expenses incurred by it in performing its obligations under the administration agreement, including rent and our allocable portion of the cost of our officers and their respective staffs, subject to certain limitations. For a discussion of the administration agreement, see “Business—Administration Agreement” below.</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Advisory and Management Agreement</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Saratoga Investment Advisors serves as our investment adviser. Our investment adviser was formed in 2010 as a Delaware limited liability company and became our investment advisor in July 2010. Subject to the overall supervision of our board of directors, Saratoga Investment Advisors manages our day-to-day operations and provides investment advisory and management services to us. Under the terms of the Management Agreement, Saratoga Investment Advisors:</w:t>
      </w:r>
    </w:p>
    <w:p>
      <w:pPr>
        <w:spacing w:after="0" w:line="86" w:lineRule="exact"/>
        <w:rPr>
          <w:sz w:val="20"/>
          <w:szCs w:val="20"/>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130" w:lineRule="exact"/>
        <w:rPr>
          <w:rFonts w:ascii="Times New Roman" w:cs="Times New Roman" w:eastAsia="Times New Roman" w:hAnsi="Times New Roman"/>
          <w:sz w:val="18"/>
          <w:szCs w:val="18"/>
          <w:color w:val="auto"/>
        </w:rPr>
      </w:pPr>
    </w:p>
    <w:p>
      <w:pPr>
        <w:ind w:left="660" w:right="500" w:hanging="206"/>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and monitors the investments we make;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we purchase, retain or sell.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Saratoga Investment Advisors services under the Management Agreement are not exclusive, and it is free to furnish similar services to other entities.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Fee and Incentive Fee</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Pursuant to the Management Agreement with Saratoga Investment Advisors, we pay Saratoga Investment Advisors a fee for investment advisory and management services consisting of two components—a base management fee and an incentive fee.</w:t>
      </w:r>
    </w:p>
    <w:p>
      <w:pPr>
        <w:spacing w:after="0" w:line="162"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The base management fee is paid quarterly in arrears, and equals 1.75% per annum of our gross assets (other than cash or cash equivalents but including assets purchased with borrowed funds) and calculated at the end of each fiscal quarter based on the average value of our gross assets (other than cash or cash equivalents but including assets purchased with borrowed funds) as of the end of such fiscal quarter and the end of the immediate prior fiscal quarter. Base management fees for any partial month or quarter are appropriately pro-rated.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has the following two parts:</w:t>
      </w:r>
    </w:p>
    <w:p>
      <w:pPr>
        <w:spacing w:after="0" w:line="117" w:lineRule="exact"/>
        <w:rPr>
          <w:sz w:val="20"/>
          <w:szCs w:val="20"/>
          <w:color w:val="auto"/>
        </w:rPr>
      </w:pPr>
    </w:p>
    <w:p>
      <w:pPr>
        <w:ind w:left="460" w:firstLine="438"/>
        <w:spacing w:after="0" w:line="253" w:lineRule="auto"/>
        <w:rPr>
          <w:sz w:val="20"/>
          <w:szCs w:val="20"/>
          <w:color w:val="auto"/>
        </w:rPr>
      </w:pPr>
      <w:r>
        <w:rPr>
          <w:rFonts w:ascii="Times New Roman" w:cs="Times New Roman" w:eastAsia="Times New Roman" w:hAnsi="Times New Roman"/>
          <w:sz w:val="18"/>
          <w:szCs w:val="18"/>
          <w:color w:val="auto"/>
        </w:rPr>
        <w:t>The first part is calculated and payable quarterly in arrears based on our pre-incentive fee net investment income for the immediately preceding fiscal quarter. Pre-incentive fee net investment income means interest income, dividend income and any other income (including any other fees such as commitment, origination, structuring, diligence, managerial and consulting fees or other fees that we receive from portfolio companies) accrued during the fiscal quarter, minus our operating expenses for the quarter (including the base management fee, expenses payable under the administration agreement, and any interest expense and dividends paid on any issued and outstanding preferred stock or debt security, but excluding the incentive fee). Pre-incentive fee net investment income includes, in the case of investments with a deferred interest feature (such as market discount, debt instruments with payment-in-kind interest, preferred stock with payment-in-kind dividends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(defined as total assets less liabilities) at the end of the immediately preceding fiscal quarter, is compared to a “hurdle rate” of 1.875% per quarter (7.5% annualized), subject to a “catch up” provision. The base management fee is calculated prior to giving effect to the payment of any incentive fees.</w:t>
      </w:r>
    </w:p>
    <w:p>
      <w:pPr>
        <w:spacing w:after="0" w:line="85" w:lineRule="exact"/>
        <w:rPr>
          <w:sz w:val="20"/>
          <w:szCs w:val="20"/>
          <w:color w:val="auto"/>
        </w:rPr>
      </w:pPr>
    </w:p>
    <w:p>
      <w:pPr>
        <w:ind w:left="460" w:right="20" w:firstLine="438"/>
        <w:spacing w:after="0" w:line="268" w:lineRule="auto"/>
        <w:rPr>
          <w:sz w:val="20"/>
          <w:szCs w:val="20"/>
          <w:color w:val="auto"/>
        </w:rPr>
      </w:pPr>
      <w:r>
        <w:rPr>
          <w:rFonts w:ascii="Times New Roman" w:cs="Times New Roman" w:eastAsia="Times New Roman" w:hAnsi="Times New Roman"/>
          <w:sz w:val="17"/>
          <w:szCs w:val="17"/>
          <w:color w:val="auto"/>
        </w:rPr>
        <w:t>We pay Saratoga Investment Advisors an incentive fee with respect to our pre-incentive fee net investment income in each fiscal quarter as follows: (A) no incentive fee in any fiscal quarter in which our pre-incentive fee net investment income does not exceed the hurdle rate; (B) 100.0% of our pre-incentive fee net investment income with respect to that portion of such pre-incentive fee net investment income, if any, that exceeds the hurdle rate but is less than or equal to 2.344% in any fiscal quarter (9.376% annualized) is payable to Saratoga Investment Advisors; and (C) 20.0% of the amount of our pre-incentive fee net investment income, if any, that exceeds 2.344% in any fiscal quarter (9.376% annualized). We refer to the amount specified in clause (B) as the “catch-up.” The “catch-up” provision is intended to provide Saratoga Investment Advisors with an incentive fee of 20.0% on all of our pre-incentive fee net investment income as if a hurdle rate did not apply when our pre-incentive fee net investment income exceeds</w:t>
      </w:r>
    </w:p>
    <w:p>
      <w:pPr>
        <w:spacing w:after="0" w:line="3" w:lineRule="exact"/>
        <w:rPr>
          <w:sz w:val="20"/>
          <w:szCs w:val="20"/>
          <w:color w:val="auto"/>
        </w:rPr>
      </w:pPr>
    </w:p>
    <w:p>
      <w:pPr>
        <w:ind w:left="460" w:right="80"/>
        <w:spacing w:after="0" w:line="254" w:lineRule="auto"/>
        <w:rPr>
          <w:sz w:val="20"/>
          <w:szCs w:val="20"/>
          <w:color w:val="auto"/>
        </w:rPr>
      </w:pPr>
      <w:r>
        <w:rPr>
          <w:rFonts w:ascii="Times New Roman" w:cs="Times New Roman" w:eastAsia="Times New Roman" w:hAnsi="Times New Roman"/>
          <w:sz w:val="18"/>
          <w:szCs w:val="18"/>
          <w:color w:val="auto"/>
        </w:rPr>
        <w:t>2.344% in any fiscal quarter. Notwithstanding the foregoing, with respect to any period ending on or prior to December 31, 2010, Saratoga Investment Advisors was only entitled to 20.0% of the amount of our pre-incentive fee net investment income, if any, that exceeded 1.875% in any fiscal quarter (7.5% annualized) without any catch-up provision. These calculations are appropriately pro-rated when such calculations are applicable for any period of less than three months.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66" w:right="279" w:bottom="1440" w:gutter="0" w:footer="0" w:header="0"/>
        </w:sectPr>
      </w:pPr>
    </w:p>
    <w:bookmarkStart w:id="13" w:name="page14"/>
    <w:bookmarkEnd w:id="13"/>
    <w:p>
      <w:pPr>
        <w:ind w:left="460" w:right="20" w:firstLine="43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graphical representation of the calculation of the income-related portion of the incentive fee subsequent to any period ending after December 31, 2010:</w:t>
      </w:r>
    </w:p>
    <w:p>
      <w:pPr>
        <w:spacing w:after="0" w:line="266" w:lineRule="exact"/>
        <w:rPr>
          <w:sz w:val="20"/>
          <w:szCs w:val="20"/>
          <w:color w:val="auto"/>
        </w:rPr>
      </w:pPr>
    </w:p>
    <w:p>
      <w:pPr>
        <w:jc w:val="center"/>
        <w:ind w:left="420" w:right="2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Quarterly Incentive Fee Based on “Pre-Incentive Fee Net Investment Income” </w:t>
      </w:r>
      <w:r>
        <w:rPr>
          <w:rFonts w:ascii="Times New Roman" w:cs="Times New Roman" w:eastAsia="Times New Roman" w:hAnsi="Times New Roman"/>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139700</wp:posOffset>
            </wp:positionV>
            <wp:extent cx="4391025" cy="1260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910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Percentage of Pre-Incentive Fee Net Investment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Income allocated to income-related portion of incentive fee</w:t>
      </w:r>
    </w:p>
    <w:p>
      <w:pPr>
        <w:spacing w:after="0" w:line="99" w:lineRule="exact"/>
        <w:rPr>
          <w:sz w:val="20"/>
          <w:szCs w:val="20"/>
          <w:color w:val="auto"/>
        </w:rPr>
      </w:pPr>
    </w:p>
    <w:p>
      <w:pPr>
        <w:ind w:left="460" w:firstLine="438"/>
        <w:spacing w:after="0" w:line="256" w:lineRule="auto"/>
        <w:rPr>
          <w:sz w:val="20"/>
          <w:szCs w:val="20"/>
          <w:color w:val="auto"/>
        </w:rPr>
      </w:pPr>
      <w:r>
        <w:rPr>
          <w:rFonts w:ascii="Times New Roman" w:cs="Times New Roman" w:eastAsia="Times New Roman" w:hAnsi="Times New Roman"/>
          <w:sz w:val="18"/>
          <w:szCs w:val="18"/>
          <w:color w:val="auto"/>
        </w:rPr>
        <w:t>The second part of the incentive fee, the capital gains fee, is determined and payable in arrears as of the end of each fiscal year (or, upon termination of the Management Agreement), and is calculated at the end of each applicable fiscal year by subtracting (1) the sum of our cumulative aggregate realized capital losses and aggregate unrealized capital depreciation from (2) our cumulative aggregate realized capital gains, in each case calculated from May 31, 2010. If such amount is positive at the end of such year, then the capital gains fee for such year is equal to 20.0% of such amount, less the cumulative aggregate amount of capital gains fees paid in all prior years. If such amount is negative, then there is no capital gains fee for such year.</w:t>
      </w:r>
    </w:p>
    <w:p>
      <w:pPr>
        <w:spacing w:after="0" w:line="80" w:lineRule="exact"/>
        <w:rPr>
          <w:sz w:val="20"/>
          <w:szCs w:val="20"/>
          <w:color w:val="auto"/>
        </w:rPr>
      </w:pPr>
    </w:p>
    <w:p>
      <w:pPr>
        <w:ind w:left="460" w:right="160" w:firstLine="438"/>
        <w:spacing w:after="0" w:line="258" w:lineRule="auto"/>
        <w:rPr>
          <w:sz w:val="20"/>
          <w:szCs w:val="20"/>
          <w:color w:val="auto"/>
        </w:rPr>
      </w:pPr>
      <w:r>
        <w:rPr>
          <w:rFonts w:ascii="Times New Roman" w:cs="Times New Roman" w:eastAsia="Times New Roman" w:hAnsi="Times New Roman"/>
          <w:sz w:val="18"/>
          <w:szCs w:val="18"/>
          <w:color w:val="auto"/>
        </w:rPr>
        <w:t>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net capital gains that arise after May 31, 2010. In addition, the cost basis for computing our realized gains and losses on investments held by us as of May 31, 2010 equals the fair value of such investments as of such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Example 1: Income Related Portion of Incentive Fee(1):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33" w:lineRule="exact"/>
        <w:rPr>
          <w:sz w:val="20"/>
          <w:szCs w:val="20"/>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Hurdle rate(2) = 1.875%</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fee(3) = 0.4375%</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(legal, accounting, custodian, transfer agent, etc.)(4) = 0.33%</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Alternative 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Assumptions</w:t>
      </w:r>
    </w:p>
    <w:p>
      <w:pPr>
        <w:spacing w:after="0" w:line="133" w:lineRule="exact"/>
        <w:rPr>
          <w:sz w:val="20"/>
          <w:szCs w:val="20"/>
          <w:color w:val="auto"/>
        </w:rPr>
      </w:pPr>
    </w:p>
    <w:p>
      <w:pPr>
        <w:ind w:left="660" w:hanging="20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(including interest, dividends, fees, etc.) = 1.25%</w:t>
      </w:r>
    </w:p>
    <w:p>
      <w:pPr>
        <w:spacing w:after="0" w:line="130" w:lineRule="exact"/>
        <w:rPr>
          <w:rFonts w:ascii="Times New Roman" w:cs="Times New Roman" w:eastAsia="Times New Roman" w:hAnsi="Times New Roman"/>
          <w:sz w:val="18"/>
          <w:szCs w:val="18"/>
          <w:color w:val="auto"/>
        </w:rPr>
      </w:pPr>
    </w:p>
    <w:p>
      <w:pPr>
        <w:ind w:left="5620" w:right="2680" w:hanging="5166"/>
        <w:spacing w:after="0" w:line="454" w:lineRule="auto"/>
        <w:tabs>
          <w:tab w:leader="none" w:pos="6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(investment income–(management fee + other expenses)) = 0.4825% 13</w:t>
      </w:r>
    </w:p>
    <w:p>
      <w:pPr>
        <w:sectPr>
          <w:pgSz w:w="11900" w:h="16838" w:orient="portrait"/>
          <w:cols w:equalWidth="0" w:num="1">
            <w:col w:w="11260"/>
          </w:cols>
          <w:pgMar w:left="240" w:top="270" w:right="39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Pre-incentive fee net investment income does not exceed hurdle rate, therefore there is no incentive fee.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Alternative 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Assumptions</w:t>
      </w:r>
    </w:p>
    <w:p>
      <w:pPr>
        <w:spacing w:after="0" w:line="133"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(including interest, dividends, fees, etc.) = 3.0%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(investment income–(management fee + other expenses)) = 2.2325%</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hurdle rate, but does not fully satisfy the “catch-up” provision, therefore the income related portion of the incentive fee is 0.3575%.</w:t>
      </w:r>
    </w:p>
    <w:p>
      <w:pPr>
        <w:spacing w:after="0" w:line="189" w:lineRule="exact"/>
        <w:rPr>
          <w:sz w:val="20"/>
          <w:szCs w:val="20"/>
          <w:color w:val="auto"/>
        </w:rPr>
      </w:pPr>
    </w:p>
    <w:p>
      <w:pPr>
        <w:spacing w:after="0"/>
        <w:tabs>
          <w:tab w:leader="none" w:pos="1280" w:val="left"/>
          <w:tab w:leader="none" w:pos="1580" w:val="left"/>
        </w:tabs>
        <w:rPr>
          <w:sz w:val="20"/>
          <w:szCs w:val="20"/>
          <w:color w:val="auto"/>
        </w:rPr>
      </w:pPr>
      <w:r>
        <w:rPr>
          <w:rFonts w:ascii="Times New Roman" w:cs="Times New Roman" w:eastAsia="Times New Roman" w:hAnsi="Times New Roman"/>
          <w:sz w:val="18"/>
          <w:szCs w:val="18"/>
          <w:color w:val="auto"/>
        </w:rPr>
        <w:t>Incentive Fee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(100.0% × (pre-incentive fee net investment income–1.875%)</w:t>
      </w:r>
    </w:p>
    <w:p>
      <w:pPr>
        <w:spacing w:after="0" w:line="27" w:lineRule="exact"/>
        <w:rPr>
          <w:sz w:val="20"/>
          <w:szCs w:val="20"/>
          <w:color w:val="auto"/>
        </w:rPr>
      </w:pPr>
    </w:p>
    <w:p>
      <w:pPr>
        <w:ind w:left="1600" w:hanging="302"/>
        <w:spacing w:after="0"/>
        <w:tabs>
          <w:tab w:leader="none" w:pos="16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100.0%(2.2325%–1.875%)</w:t>
      </w:r>
    </w:p>
    <w:p>
      <w:pPr>
        <w:spacing w:after="0" w:line="9" w:lineRule="exact"/>
        <w:rPr>
          <w:rFonts w:ascii="Times New Roman" w:cs="Times New Roman" w:eastAsia="Times New Roman" w:hAnsi="Times New Roman"/>
          <w:sz w:val="18"/>
          <w:szCs w:val="18"/>
          <w:color w:val="auto"/>
        </w:rPr>
      </w:pPr>
    </w:p>
    <w:p>
      <w:pPr>
        <w:ind w:left="1600" w:hanging="302"/>
        <w:spacing w:after="0"/>
        <w:tabs>
          <w:tab w:leader="none" w:pos="16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100.0%(0.3575%)</w:t>
      </w:r>
    </w:p>
    <w:p>
      <w:pPr>
        <w:spacing w:after="0" w:line="9" w:lineRule="exact"/>
        <w:rPr>
          <w:rFonts w:ascii="Times New Roman" w:cs="Times New Roman" w:eastAsia="Times New Roman" w:hAnsi="Times New Roman"/>
          <w:sz w:val="18"/>
          <w:szCs w:val="18"/>
          <w:color w:val="auto"/>
        </w:rPr>
      </w:pPr>
    </w:p>
    <w:p>
      <w:pPr>
        <w:ind w:left="1600" w:hanging="302"/>
        <w:spacing w:after="0"/>
        <w:tabs>
          <w:tab w:leader="none" w:pos="16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0.3575%</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 annualized hurdle rate.</w:t>
      </w:r>
    </w:p>
    <w:p>
      <w:pPr>
        <w:spacing w:after="0" w:line="9"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1.75% annualized management fee. For the purposes of this example, we have assumed that we have not incurred any indebtedness and that we maintain no cash or cash equivalents.</w:t>
      </w:r>
    </w:p>
    <w:p>
      <w:pPr>
        <w:ind w:left="46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our investment adviser with an incentive fee of 20.0% on all pre-incentive fee net investment income as if a hurdle rate did not apply when our net investment income exceeds 2.344% in any fiscal quarter.</w:t>
      </w:r>
    </w:p>
    <w:p>
      <w:pPr>
        <w:spacing w:after="0" w:line="283" w:lineRule="exact"/>
        <w:rPr>
          <w:rFonts w:ascii="Times New Roman" w:cs="Times New Roman" w:eastAsia="Times New Roman" w:hAnsi="Times New Roman"/>
          <w:sz w:val="18"/>
          <w:szCs w:val="18"/>
          <w:color w:val="auto"/>
        </w:rPr>
      </w:pPr>
    </w:p>
    <w:p>
      <w:pPr>
        <w:ind w:left="460" w:right="9240"/>
        <w:spacing w:after="0" w:line="3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Alternative 3 </w:t>
      </w:r>
      <w:r>
        <w:rPr>
          <w:rFonts w:ascii="Times New Roman" w:cs="Times New Roman" w:eastAsia="Times New Roman" w:hAnsi="Times New Roman"/>
          <w:sz w:val="18"/>
          <w:szCs w:val="18"/>
          <w:i w:val="1"/>
          <w:iCs w:val="1"/>
          <w:color w:val="auto"/>
        </w:rPr>
        <w:t>Additional Assumptions</w:t>
      </w:r>
    </w:p>
    <w:p>
      <w:pPr>
        <w:spacing w:after="0" w:line="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(including interest, dividends, fees, etc.) = 3.5%</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(investment income–(management fee + other expenses) = 2.7325%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-1817370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Pre-incentive fee net investment income exceeds the hurdle rate, and fully satisfies the “catch-up” provision, therefore the income related portion of the incentive fee is 0.5467%.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pre-incentive fee net investment income (subject to “catch-up”)(4)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“catch-up” + (20.0% × (Pre-incentive fee net investment income–2.344%))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Catch up</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2.344%–1.875%</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0.469%</w:t>
            </w:r>
          </w:p>
        </w:tc>
        <w:tc>
          <w:tcPr>
            <w:tcW w:w="55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(100.0% × 0.469%) +(20.0% ×(2.7325%–2.344%))</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0.469%</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 0.3885%)</w:t>
            </w:r>
          </w:p>
        </w:tc>
      </w:tr>
      <w:tr>
        <w:trPr>
          <w:trHeight w:val="216"/>
        </w:trPr>
        <w:tc>
          <w:tcPr>
            <w:tcW w:w="112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0.469%</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+ 0.0777%</w:t>
            </w:r>
          </w:p>
        </w:tc>
      </w:tr>
      <w:tr>
        <w:trPr>
          <w:trHeight w:val="234"/>
        </w:trPr>
        <w:tc>
          <w:tcPr>
            <w:tcW w:w="112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0.5467%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Alternative 1</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Assumptions(1)</w:t>
      </w:r>
    </w:p>
    <w:p>
      <w:pPr>
        <w:spacing w:after="0" w:line="133" w:lineRule="exact"/>
        <w:rPr>
          <w:sz w:val="20"/>
          <w:szCs w:val="20"/>
          <w:color w:val="auto"/>
        </w:rPr>
      </w:pPr>
    </w:p>
    <w:p>
      <w:pPr>
        <w:ind w:left="660" w:hanging="20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$20.0 million investment made in Company A (“Investment A”), and $30.0 million investment made in Company B (“Investment B”)</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15" w:name="page16"/>
    <w:bookmarkEnd w:id="15"/>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 Investment A is sold for $50.0 million and fair market value (“FMV”) of Investment B determined to be $32.0 million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FMV of Investment B determined to be $25.0 million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Investment B sold for $31.0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$6 million (20.0% multiplied by $30.0 million realized capital gains on sale of Investment A)</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None; $5 million (20.0% multiplied by ($30.0 million realized cumulative capital gains less $5.0 million cumulative capital depreciation)) less $6.0 million (capital gains incentive fee paid in Year 2)</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$200,000; $6.2 million (20.0% multiplied by $31.0 million cumulative realized capital gains) less $6.0 million (capital gains incentive fee paid in Year 2)</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Alternative 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Assumptions(1)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0" w:lineRule="exact"/>
        <w:rPr>
          <w:sz w:val="20"/>
          <w:szCs w:val="20"/>
          <w:color w:val="auto"/>
        </w:rPr>
      </w:pPr>
    </w:p>
    <w:p>
      <w:pPr>
        <w:ind w:left="4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examples assume that Investment A and Investment B were acquired by us subsequent to May 31, 2010. If Investment A and B were acquired by us prior to May 31, 2010, then the cost basis for computing our realized gains and losses on such investments would equal the fair value of such investments as of May 31, 2010.</w:t>
      </w:r>
    </w:p>
    <w:p>
      <w:pPr>
        <w:spacing w:after="0" w:line="81"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$20.0 million investment made in Company A (“Investment A”), $30.0 million investment made in Company B (“Investment B”) and $25.0 million investment made in Company C (“Investment C”)</w:t>
      </w:r>
    </w:p>
    <w:p>
      <w:pPr>
        <w:spacing w:after="0" w:line="67"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$50.0 million, FMV of Investment B determined to be $25.0 million and FMV of Investment C determined to be $25.0 million</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FMV of Investment B determined to be $27.0 million and Investment C sold for $30.0 million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FMV of Investment B determined to be $35.0 million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B sold for $20.0 million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capital gains portion of the incentive fee, if any, calculated under the cumulative method would be:</w:t>
      </w:r>
    </w:p>
    <w:p>
      <w:pPr>
        <w:spacing w:after="0" w:line="131" w:lineRule="exact"/>
        <w:rPr>
          <w:sz w:val="20"/>
          <w:szCs w:val="20"/>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30"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$5.0 million (20.0% multiplied by $25.0 million ($30.0 million realized capital gains on Investment A less $5.0 million unrealized capital depreciation on Investment B))</w:t>
      </w:r>
    </w:p>
    <w:p>
      <w:pPr>
        <w:spacing w:after="0" w:line="67" w:lineRule="exact"/>
        <w:rPr>
          <w:rFonts w:ascii="Times New Roman" w:cs="Times New Roman" w:eastAsia="Times New Roman" w:hAnsi="Times New Roman"/>
          <w:sz w:val="18"/>
          <w:szCs w:val="18"/>
          <w:color w:val="auto"/>
        </w:rPr>
      </w:pPr>
    </w:p>
    <w:p>
      <w:pPr>
        <w:ind w:left="660" w:right="4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$1.4 million ($6.4 million (20.0% multiplied by $32.0 million ($35.0 million cumulative realized capital gains less $3.0 million unrealized capital depreciation)) less $5.0 million (capital gains incentive fee paid in Year 2))</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None</w:t>
      </w:r>
    </w:p>
    <w:p>
      <w:pPr>
        <w:spacing w:after="0" w:line="130" w:lineRule="exact"/>
        <w:rPr>
          <w:rFonts w:ascii="Times New Roman" w:cs="Times New Roman" w:eastAsia="Times New Roman" w:hAnsi="Times New Roman"/>
          <w:sz w:val="18"/>
          <w:szCs w:val="18"/>
          <w:color w:val="auto"/>
        </w:rPr>
      </w:pPr>
    </w:p>
    <w:p>
      <w:pPr>
        <w:ind w:left="660" w:right="24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None ($5.0 million (20.0% multiplied by $25.0 million (cumulative realized capital gains of $35.0 million less realized capital losses of $10.0 million)) less $6.4 million (cumulative capital gains incentive fee paid in Year 2 and Year 3))</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Management Agreement with Saratoga Investment Advisors was approved by our board of directors at an in-person meeting of the directors, including a majority of our independent directors, and was approved by our stockholders at the special meeting of stockholders held on July 30, 2010. On July 10, 2014, our board of directors approved the renewal of the Management Agreement for an additional one-year term at an in-person meeting.</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270" w:right="419" w:bottom="1440" w:gutter="0" w:footer="0" w:header="0"/>
        </w:sectPr>
      </w:pPr>
    </w:p>
    <w:bookmarkStart w:id="16" w:name="page17"/>
    <w:bookmarkEnd w:id="16"/>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approving this Management Agreement, the directors considered, among other things, (i) the nature, extent and quality of the advisory and other services to be provided to us by Saratoga Investment Advisors; (ii) our investment performance and the investment performance of Saratoga Investment Advisors; (iii) the expected costs of the services to be provided by Saratoga Investment Advisors (including management fees, advisory fees and expense ratios) and the profits expected to be realized by Saratoga Investment Advisors; (iv) the limited potential for economies of scale in investment management associated with managing us; and (v) Saratoga Investment Advisors estimated pro forma profitability with respect to managing us.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Management Agreement provides that all investment professionals of Saratoga Investment Advisors and its staff, when and to the extent engaged in providing investment advisory services required to be provided by Saratoga Investment Advisors, and the compensation and routine overhead expenses of such personnel allocable to such services, will be provided and paid for by Saratoga Investment Advisors and not by 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bear all costs and expenses of our operations and transactions, including those relating to:</w:t>
      </w:r>
    </w:p>
    <w:p>
      <w:pPr>
        <w:spacing w:after="0" w:line="131" w:lineRule="exact"/>
        <w:rPr>
          <w:sz w:val="20"/>
          <w:szCs w:val="20"/>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30"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Saratoga Investment Advisors payable to third parties, including agents, consultants or other advisors, in monitoring financial and legal affairs for us and in monitoring our investments and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including agents, consultants or other advisors, relating to, or associated with, evaluating and making investments;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common stock on any securities exchange;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governmental bodies (including the SEC and the SBA);</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common stockholders including printing costs;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 directors and officers 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67" w:lineRule="exact"/>
        <w:rPr>
          <w:rFonts w:ascii="Times New Roman" w:cs="Times New Roman" w:eastAsia="Times New Roman" w:hAnsi="Times New Roman"/>
          <w:sz w:val="18"/>
          <w:szCs w:val="18"/>
          <w:color w:val="auto"/>
        </w:rPr>
      </w:pPr>
    </w:p>
    <w:p>
      <w:pPr>
        <w:ind w:left="660" w:hanging="206"/>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the administration agreement, including rent and the allocable portion of the cost of our officers and their respective staffs (including travel expenses).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0" w:right="27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Duration and Termination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Management Agreement will remain in effect continuously, unless terminated under the termination provisions of the agreement. The Management Agreement provides that it may be terminated at any time, without the payment of any penalty, upon 60 days written notice, by the vote of stockholders holding a majority of our outstanding voting securities, or by the vote of our directors or by Saratoga Investment Advisors.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Management Agreement will, unless terminated as described above, continue in effect until July 30, 2014 and will continue in effect from year to year thereafter so long as it is approved at least annually by (i) the vote of the board of directors, or by the vote of stockholders holding a majority of our outstanding voting securities, and (ii) the vote of a majority of our directors who are not parties to the Management Agreement or “interested persons” (as such term is defined in Section 2(a)(19) of the 1940 Act) of any party to such agreement, in accordance with the requirements of the 1940 Act.</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Under the Management Agreement, Saratoga Investment Advisors and certain of its affiliates are not liable to us for any action taken or omitted to be taken by Saratoga Investment Advisors in connection with the performance of any of its duties or obligations under the agreement or otherwise as an investment adviser to us, except to the extent specified in Section 36(b) of the 1940 Act concerning loss resulting from a breach of fiduciary duty (as the same is finally determined by judicial proceedings) with respect to the receipt of compensation for services and except to the extent such action or omission constitutes gross negligence, willful misfeasance, bad faith or reckless disregard of its duties and obligations under the agreement.</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investment adviser to us. However, we would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Organization of the Investment Adviser</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Saratoga Investment Advisors is registered as an investment adviser under the Investment Advisers Act of 1940. The principal executive offices of Saratoga Investment Advisors are located at 535 Madison Avenue, New York, New York 10022.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Pursuant to a separate administration agreement, Saratoga Investment Advisors, who also serves as our administrator, furnishes us with office facilities, equipment and clerical, book-keeping and record keeping services. Under the administration agreement, our administrator also performs, or oversees the performance of, our required administrative services, which include, among other things, being responsible for the financial records which we are required to maintain, preparing reports for our stockholders and reports required to be filed with the SEC.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equal an amount based upon our allocable portion of our administrator’s overhead in performing its obligations under the administration agreement, including rent and our allocable portion of the cost of our officers and their respective staffs relating to the performance of services under this agreement (including travel expenses). Our allocable portion is based on the proportion that our total assets bears to the total assets administered or managed by our administrator. Under the administration agreement, our administrator also provides managerial assistance, on our behalf, to those portfolio companies who accept our offer of assistance. The administration agreement may be terminated by either party without penalty upon 60 days written notice to the other party. The amount payable by us under the administration agreement was initially capped at $1.0 million for each annual term of the agreement. On July 10, 2014, our board of directors approved the renewal of the administration agreement for an additional one-year term and determined to maintain the cap on the payment or reimbursement of expenses by us thereunder to $1.0 million for the additional one-year term.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66" w:right="25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Under the administration agreement, Saratoga Investment Advisors and certain of its affiliates are not liable to us for any action taken or omitted to be taken by Saratoga Investment Advisors in connection with the performance of any of its duties or obligations under the agreement.</w:t>
      </w:r>
    </w:p>
    <w:p>
      <w:pPr>
        <w:spacing w:after="0" w:line="16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also provide indemnification to Saratoga Investment Advisors and certain of its affiliates for damages, liabilities, costs and expenses incurred by them in or by reason of any pending, threatened or completed action, suit, investigation or other proceeding arising out of or otherwise based upon the performance of any of its duties or obligations under the agreement or otherwise as an administrator to us. However, we do not provide indemnification against any liability to us or our security holders to which Saratoga Investment Advisors or such affiliates would otherwise be subject by reason of willful misfeasance, bad faith or gross negligence in the performance of any such person’s duties or by reason of the reckless disregard of its duties and obligations under the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entered into a trademark license agreement with Saratoga Investment Advisors, pursuant to which Saratoga Investment Advisors grants us a non-exclusive, royalty-free license to use the name “Saratoga.” Under this agreement, we have a right to use the “Saratoga” name, for so long as Saratoga Investment Advisors or one of its affiliates remains our investment adviser. Other than with respect to this limited license, we have no legal right to the “Saratoga” name. Saratoga Investment Advisors has the right to terminate the license agreement if it is no longer acting as our investment adviser. In the event the Management Agreement is terminated, we would be required to change our name to eliminate the use of the name “Saratoga.”</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 Company Regulations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BDC under the 1940 Act.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67.0% or more of such company’s stock present at a meeting if more than 50.0% of the outstanding stock of such company is present and represented by proxy or (ii) more than 50.0% of the outstanding stock of such company.</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Qualifying assets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A BDC must have been organized and have its principal place of business in the United States and must be operated for the purpose of making investments in the types of securities described in (1), (2) or (3) below. Under the 1940 Act, a BDC may not acquire any asset other than assets of the type listed in Section 55(a) of the 1940 Act, which are referred to as qualifying assets, unless, at the time the acquisition is made, qualifying assets represent at least 70.0% of the company’s total assets. The principal categories of qualifying assets relevant to our business are the following:</w:t>
      </w:r>
    </w:p>
    <w:p>
      <w:pPr>
        <w:spacing w:after="0" w:line="86" w:lineRule="exact"/>
        <w:rPr>
          <w:sz w:val="20"/>
          <w:szCs w:val="20"/>
          <w:color w:val="auto"/>
        </w:rPr>
      </w:pPr>
    </w:p>
    <w:p>
      <w:pPr>
        <w:ind w:left="900" w:right="140" w:hanging="446"/>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1480" w:right="40" w:hanging="567"/>
        <w:spacing w:after="0" w:line="282" w:lineRule="auto"/>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either of the following:</w:t>
      </w:r>
    </w:p>
    <w:p>
      <w:pPr>
        <w:spacing w:after="0" w:line="13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listed on a national securities exchange;</w:t>
      </w:r>
    </w:p>
    <w:p>
      <w:pPr>
        <w:spacing w:after="0" w:line="130" w:lineRule="exact"/>
        <w:rPr>
          <w:rFonts w:ascii="Times New Roman" w:cs="Times New Roman" w:eastAsia="Times New Roman" w:hAnsi="Times New Roman"/>
          <w:sz w:val="18"/>
          <w:szCs w:val="18"/>
          <w:color w:val="auto"/>
        </w:rPr>
      </w:pPr>
    </w:p>
    <w:p>
      <w:pPr>
        <w:ind w:left="1920" w:right="120" w:hanging="440"/>
        <w:spacing w:after="0" w:line="282" w:lineRule="auto"/>
        <w:tabs>
          <w:tab w:leader="none" w:pos="19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$250.0 million;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266" w:right="319" w:bottom="1440" w:gutter="0" w:footer="0" w:header="0"/>
        </w:sectPr>
      </w:pPr>
    </w:p>
    <w:bookmarkStart w:id="19" w:name="page20"/>
    <w:bookmarkEnd w:id="19"/>
    <w:p>
      <w:pPr>
        <w:ind w:left="1920" w:right="320" w:hanging="440"/>
        <w:spacing w:after="0" w:line="282" w:lineRule="auto"/>
        <w:tabs>
          <w:tab w:leader="none" w:pos="1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controlled by a BDC or a group of companies including a BDC and the BDC has an affiliated person who is a director of the eligible portfolio company;</w:t>
      </w:r>
    </w:p>
    <w:p>
      <w:pPr>
        <w:spacing w:after="0" w:line="67" w:lineRule="exact"/>
        <w:rPr>
          <w:rFonts w:ascii="Times New Roman" w:cs="Times New Roman" w:eastAsia="Times New Roman" w:hAnsi="Times New Roman"/>
          <w:sz w:val="18"/>
          <w:szCs w:val="18"/>
          <w:color w:val="auto"/>
        </w:rPr>
      </w:pPr>
    </w:p>
    <w:p>
      <w:pPr>
        <w:ind w:left="1920" w:right="840" w:hanging="440"/>
        <w:spacing w:after="0" w:line="282" w:lineRule="auto"/>
        <w:tabs>
          <w:tab w:leader="none" w:pos="1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$4.0 million and capital and surplus of not less than $2.0 million; or</w:t>
      </w:r>
    </w:p>
    <w:p>
      <w:pPr>
        <w:spacing w:after="0" w:line="67"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such other criteria as may established by the SEC.</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130"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at least 60.0%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Managerial assistance to portfolio companies</w:t>
      </w:r>
    </w:p>
    <w:p>
      <w:pPr>
        <w:spacing w:after="0" w:line="12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Business development companies generally must offer to make available to the issuer of the securities in which we invest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As a BDC we offer, and must provide upon request, managerial assistance to our portfolio companies. Making available significant managerial assistance means, among other things, any arrangement whereby the BDC, through its directors, officers or employees or those of its investment adviser, offers to provide, and, if accepted, does so provide, significant guidance and counsel concerning the management, operations or business objectives and policies of a portfolio company. This assistance could involve, among other things, monitoring the operations of our portfolio companies, participating in board and management meetings, consulting with and advising officers of portfolio companies and providing other organizational and financial guidance. Pursuant to a separate administration agreement, our investment adviser provides such managerial assistance on our behalf to portfolio companies that request this assistance, recognizing that our involvement with each investment will vary based on factors including the size of the company, the nature of our investment, the company’s overall stage of development and our relative position in the capital structure. We may receive fees for these services.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BDC, 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25.0% of our total assets constitute repurchase agreements from a single counterparty, we would not meet the asset diversification requirements in order to qualify as a RIC for U.S.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270" w:right="27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and senior securities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of stock senior to our common stock if our asset coverage, as defined in the 1940 Act, is at least equal to 200.0% immediately after each such issuance. In addition, while any indebtedness and senior securities remain outstanding, we must generally make provisions to prohibit any distribution to our stockholders or the repurchase of such securities or stock unless we meet the applicable asset coverage ratios at the time of the distribution or repurchase. We may also borrow amounts up to 5.0% of the value of our total assets for temporary or emergency purposes without regard to asset coverage.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a BDC, we and Saratoga Investment Advisors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SEC registered investment advisers that have the authority to vote (client) proxies (which authority may be implied from a general grant of investment discretion) are required to adopt policies and procedures reasonably designed to ensure that the adviser votes proxies in the best interests of its clients. Registered investment advisers also must maintain certain records on proxy voting. In most cases, we will invest in securities that do not generally entitle us to voting rights in our portfolio companies. When we do have voting rights, we will delegate the exercise of such rights to our investment adviser.</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Saratoga Investment Advisors has particular proxy voting policies and procedures in place. In determining how to vote, officers of Saratoga Investment Advisors will consult with each other, taking into account our interests and the interests of our investors, as well as any potential conflicts of interest. Saratoga Investment Advisors will consult with legal counsel to identify potential conflicts of interest. Where a potential conflict of interest exists, Saratoga Investment Advisors may, if it so elects, resolve it by following the recommendation of a disinterested third party, by seeking the direction of our independent directors or, in extreme cases, by abstaining from voting. While Saratoga Investment Advisors may retain an outside service to provide voting recommendations and to assist in analyzing votes, it will not delegate its voting authority to any third party.</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 officer of Saratoga Investment Advisors will keep a written record of how all such proxies are voted. It will retain records of (1) proxy voting policies and procedures, (2) all proxy statements received (or it may rely on proxy statements filed on the SEC’s EDGAR system in lieu thereof), (3) all votes cast, (4) investor requests for voting information, and (5) any specific documents prepared or received in connection with a decision on a proxy vote. If it uses an outside service, Saratoga Investment Advisors may rely on such service to maintain copies of proxy statements and records, so long as such service will provide a copy of such documents promptly upon request.</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Saratoga Investment Advisors’ proxy voting policies are not exhaustive and are designed to be responsive to the wide range of issues that may be subject to a proxy vote. In general, Saratoga Investment Advisors will vote our proxies in accordance with these guidelines unless: (1) it has determined otherwise due to the specific and unusual facts and circumstances with respect to a particular vote, (2) the subject matter of the vote is not covered by these guidelines, (3) a material conflict of interest is present, or (4) it finds it necessary to vote contrary to its general guidelines to maximize stockholder value or our best interests.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reviewing proxy issues, Saratoga Investment Advisors generally will use the following guidelines:</w:t>
      </w:r>
    </w:p>
    <w:p>
      <w:pPr>
        <w:spacing w:after="0" w:line="115"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Elections of Directors: </w:t>
      </w:r>
      <w:r>
        <w:rPr>
          <w:rFonts w:ascii="Times New Roman" w:cs="Times New Roman" w:eastAsia="Times New Roman" w:hAnsi="Times New Roman"/>
          <w:sz w:val="18"/>
          <w:szCs w:val="18"/>
          <w:color w:val="auto"/>
        </w:rPr>
        <w:t>In general, Saratoga Investment Advisors will vote in favor of the management-proposed slate of directors. If there is a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fight for seats on a portfolio company’s board of directors, or Saratoga Investment Advisors determines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66" w:right="259" w:bottom="1440" w:gutter="0" w:footer="0" w:header="0"/>
        </w:sectPr>
      </w:pPr>
    </w:p>
    <w:bookmarkStart w:id="21" w:name="page22"/>
    <w:bookmarkEnd w:id="2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there are other compelling reasons for withholding our vote, it will determine the appropriate vote on the matter. It may withhold votes for directors that fail to act on key issues, such as failure to: (1) implement proposals to declassify a board, (2) implement a majority vote requirement, (3) submit a rights plan to a stockholder vote or (4) act on tender offers where a majority of stockholders have tendered their shares. Finally, Saratoga Investment Advisors may withhold votes for directors of non-U.S. issuers where there is insufficient information about the nominees disclosed in the proxy statement.</w:t>
      </w:r>
    </w:p>
    <w:p>
      <w:pPr>
        <w:spacing w:after="0" w:line="178"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Appointment of Auditors: </w:t>
      </w:r>
      <w:r>
        <w:rPr>
          <w:rFonts w:ascii="Times New Roman" w:cs="Times New Roman" w:eastAsia="Times New Roman" w:hAnsi="Times New Roman"/>
          <w:sz w:val="18"/>
          <w:szCs w:val="18"/>
          <w:color w:val="auto"/>
        </w:rPr>
        <w:t>We believe that a portfolio company remains in the best position to choose its independent auditors and Saratoga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will generally support management’s recommendation in this regard.</w:t>
      </w:r>
    </w:p>
    <w:p>
      <w:pPr>
        <w:spacing w:after="0" w:line="158"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Capital Structure: </w:t>
      </w:r>
      <w:r>
        <w:rPr>
          <w:rFonts w:ascii="Times New Roman" w:cs="Times New Roman" w:eastAsia="Times New Roman" w:hAnsi="Times New Roman"/>
          <w:sz w:val="18"/>
          <w:szCs w:val="18"/>
          <w:color w:val="auto"/>
        </w:rPr>
        <w:t>Changes in a portfolio company’s organizational documents may be required by state or federal regulation.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Saratoga Investment Advisors will cast our votes in accordance with the management on such proposals. However, Saratoga Investment Advisors will consider carefully any proposal regarding a change in corporate structure that is not required by state or federal regulation.</w:t>
      </w:r>
    </w:p>
    <w:p>
      <w:pPr>
        <w:spacing w:after="0" w:line="174"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Restructurings, Mergers and Acquisitions: </w:t>
      </w:r>
      <w:r>
        <w:rPr>
          <w:rFonts w:ascii="Times New Roman" w:cs="Times New Roman" w:eastAsia="Times New Roman" w:hAnsi="Times New Roman"/>
          <w:sz w:val="18"/>
          <w:szCs w:val="18"/>
          <w:color w:val="auto"/>
        </w:rPr>
        <w:t>We believe proxy votes dealing with corporate reorganizations are an extension of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Accordingly, Saratoga Investment Advisors will analyze such proposals on a case-by-case basis and vote in accordance with its perception of our interests.</w:t>
      </w:r>
    </w:p>
    <w:p>
      <w:pPr>
        <w:spacing w:after="0" w:line="174" w:lineRule="exact"/>
        <w:rPr>
          <w:sz w:val="20"/>
          <w:szCs w:val="20"/>
          <w:color w:val="auto"/>
        </w:rPr>
      </w:pPr>
    </w:p>
    <w:p>
      <w:pPr>
        <w:jc w:val="both"/>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Proposals Affecting Stockholder Rights: </w:t>
      </w:r>
      <w:r>
        <w:rPr>
          <w:rFonts w:ascii="Times New Roman" w:cs="Times New Roman" w:eastAsia="Times New Roman" w:hAnsi="Times New Roman"/>
          <w:sz w:val="18"/>
          <w:szCs w:val="18"/>
          <w:color w:val="auto"/>
        </w:rPr>
        <w:t>We will generally vote in favor of proposals that give stockholders a greater voice in the affairs of a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oppose any measure that seeks to limit such rights. However, when analyzing such proposals, Saratoga Investment Advisors will balance the financial impact of the proposal against any impairment of stockholder rights as well as of our investment in the portfolio company.</w:t>
      </w:r>
    </w:p>
    <w:p>
      <w:pPr>
        <w:spacing w:after="0" w:line="174" w:lineRule="exact"/>
        <w:rPr>
          <w:sz w:val="20"/>
          <w:szCs w:val="20"/>
          <w:color w:val="auto"/>
        </w:rPr>
      </w:pPr>
    </w:p>
    <w:p>
      <w:pPr>
        <w:jc w:val="both"/>
        <w:ind w:right="1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We recognize the importance of good corporate governance. Accordingly, Saratoga Investment Advisors will generally favor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that promote transparency and accountability within a portfolio company.</w:t>
      </w:r>
    </w:p>
    <w:p>
      <w:pPr>
        <w:spacing w:after="0" w:line="158" w:lineRule="exact"/>
        <w:rPr>
          <w:sz w:val="20"/>
          <w:szCs w:val="20"/>
          <w:color w:val="auto"/>
        </w:rPr>
      </w:pPr>
    </w:p>
    <w:p>
      <w:pPr>
        <w:ind w:right="4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Measures: </w:t>
      </w:r>
      <w:r>
        <w:rPr>
          <w:rFonts w:ascii="Times New Roman" w:cs="Times New Roman" w:eastAsia="Times New Roman" w:hAnsi="Times New Roman"/>
          <w:sz w:val="18"/>
          <w:szCs w:val="18"/>
          <w:color w:val="auto"/>
        </w:rPr>
        <w:t>Saratoga Investment Advisors will evaluate, on a case-by-case basis, any proposals regarding anti-takeover measures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likely effect on stockholder value dilution.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Share Splits: </w:t>
      </w:r>
      <w:r>
        <w:rPr>
          <w:rFonts w:ascii="Times New Roman" w:cs="Times New Roman" w:eastAsia="Times New Roman" w:hAnsi="Times New Roman"/>
          <w:sz w:val="18"/>
          <w:szCs w:val="18"/>
          <w:color w:val="auto"/>
        </w:rPr>
        <w:t>Saratoga Investment Advisors will generally vote with management on share split matters.</w:t>
      </w:r>
    </w:p>
    <w:p>
      <w:pPr>
        <w:spacing w:after="0" w:line="225" w:lineRule="exact"/>
        <w:rPr>
          <w:sz w:val="20"/>
          <w:szCs w:val="20"/>
          <w:color w:val="auto"/>
        </w:rPr>
      </w:pPr>
    </w:p>
    <w:p>
      <w:pPr>
        <w:ind w:right="2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Liability of Directors: </w:t>
      </w:r>
      <w:r>
        <w:rPr>
          <w:rFonts w:ascii="Times New Roman" w:cs="Times New Roman" w:eastAsia="Times New Roman" w:hAnsi="Times New Roman"/>
          <w:sz w:val="18"/>
          <w:szCs w:val="18"/>
          <w:color w:val="auto"/>
        </w:rPr>
        <w:t>Saratoga Investment Advisors will generally vote with management on matters that could adversely affect the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directors.</w:t>
      </w:r>
    </w:p>
    <w:p>
      <w:pPr>
        <w:spacing w:after="0" w:line="158"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Social and Corporate Responsibility: </w:t>
      </w:r>
      <w:r>
        <w:rPr>
          <w:rFonts w:ascii="Times New Roman" w:cs="Times New Roman" w:eastAsia="Times New Roman" w:hAnsi="Times New Roman"/>
          <w:sz w:val="18"/>
          <w:szCs w:val="18"/>
          <w:color w:val="auto"/>
        </w:rPr>
        <w:t>Saratoga Investment Advisors will review proposals related to social, political and environmental issues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they may adversely affect stockholder value. It may abstain from voting on such proposals where they do not have a readily determinable financial impact on stockholder value.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Privacy principles</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are committed to protecting the privacy of our stockholders. The following explains the privacy policies of Saratoga Investment Corp., Saratoga Investment Advisors and their affiliated companies.</w:t>
      </w:r>
    </w:p>
    <w:p>
      <w:pPr>
        <w:spacing w:after="0" w:line="16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We will safeguard, according to strict standards of security and confidentiality, all information we receive about our stockholders. The only information we collect from stockholders is the holder’s name, address, number of shares and social security number. This information is used only so that we can send annual reports and other information about us to the stockholder, and send the stockholder proxy statements or other information required by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share this information with any non-affiliated third party except as described below.</w:t>
      </w:r>
    </w:p>
    <w:p>
      <w:pPr>
        <w:spacing w:after="0" w:line="129" w:lineRule="exact"/>
        <w:rPr>
          <w:sz w:val="20"/>
          <w:szCs w:val="20"/>
          <w:color w:val="auto"/>
        </w:rPr>
      </w:pPr>
    </w:p>
    <w:p>
      <w:pPr>
        <w:ind w:left="660" w:right="140" w:hanging="206"/>
        <w:spacing w:after="0" w:line="28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Employees of Saratoga Investment Advisors. </w:t>
      </w:r>
      <w:r>
        <w:rPr>
          <w:rFonts w:ascii="Times New Roman" w:cs="Times New Roman" w:eastAsia="Times New Roman" w:hAnsi="Times New Roman"/>
          <w:sz w:val="18"/>
          <w:szCs w:val="18"/>
          <w:color w:val="auto"/>
        </w:rPr>
        <w:t>It is our policy that only authorized employees of Saratoga Investment Advisors who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know a stockholder’s personal information will have access to it.</w:t>
      </w:r>
    </w:p>
    <w:p>
      <w:pPr>
        <w:spacing w:after="0" w:line="63" w:lineRule="exact"/>
        <w:rPr>
          <w:rFonts w:ascii="Times New Roman" w:cs="Times New Roman" w:eastAsia="Times New Roman" w:hAnsi="Times New Roman"/>
          <w:sz w:val="18"/>
          <w:szCs w:val="18"/>
          <w:color w:val="auto"/>
        </w:rPr>
      </w:pPr>
    </w:p>
    <w:p>
      <w:pPr>
        <w:ind w:left="660" w:hanging="206"/>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Providers. </w:t>
      </w:r>
      <w:r>
        <w:rPr>
          <w:rFonts w:ascii="Times New Roman" w:cs="Times New Roman" w:eastAsia="Times New Roman" w:hAnsi="Times New Roman"/>
          <w:sz w:val="18"/>
          <w:szCs w:val="18"/>
          <w:color w:val="auto"/>
        </w:rPr>
        <w:t>We may disclose your personal information to companies that provide services on our behalf, such as recordkeeping, processing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trades, and mailing stockholder information. These companies are required to protect our stockholders’ information and use it solely for the purpose for which they received it.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0" w:right="259" w:bottom="1440" w:gutter="0" w:footer="0" w:header="0"/>
        </w:sectPr>
      </w:pPr>
    </w:p>
    <w:bookmarkStart w:id="22" w:name="page23"/>
    <w:bookmarkEnd w:id="22"/>
    <w:p>
      <w:pPr>
        <w:ind w:left="660" w:hanging="206"/>
        <w:spacing w:after="0" w:line="28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Courts and Government Officials. </w:t>
      </w:r>
      <w:r>
        <w:rPr>
          <w:rFonts w:ascii="Times New Roman" w:cs="Times New Roman" w:eastAsia="Times New Roman" w:hAnsi="Times New Roman"/>
          <w:sz w:val="18"/>
          <w:szCs w:val="18"/>
          <w:color w:val="auto"/>
        </w:rPr>
        <w:t>If required by law, we may disclose a stockholder’s personal information in accordance with a court order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of government regulators. Only that information required by law, subpoena, or court order will be disclosed.</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applicable laws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are periodically examined by the SEC for compliance with the 1940 Act.</w:t>
      </w:r>
    </w:p>
    <w:p>
      <w:pPr>
        <w:spacing w:after="0" w:line="225"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We and Saratoga Investment Advisors are each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Co-investment</w:t>
      </w:r>
    </w:p>
    <w:p>
      <w:pPr>
        <w:spacing w:after="0" w:line="121"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We may be prohibited under the 1940 Act from knowingly participating in certain transactions with our affiliates without the prior approval of our board of directors who are not interested persons and, in some cases, prior approval by the SEC. Thus, based on current SEC interpretations, co-investment transactions involving a BDC like us and an entity that is advised by Saratoga Investment Advisors or an affiliated adviser generally could not be effected without SEC relief. The staff of the SEC has, however, granted no-action relief permitting for purchases of a single class of privately-placed securities provided that the adviser negotiates no term other than price and certain other conditions are met. As a result, currently we only expect to co-invest on a concurrent basis with affiliates of Saratoga Investment Advisors when each of us will own the same securities of the issuer and when no term is negotiated other than price. Any such investment would be made, subject to compliance with existing regulatory guidance, applicable regulations and our allocation procedures.</w:t>
      </w:r>
    </w:p>
    <w:p>
      <w:pPr>
        <w:spacing w:after="0" w:line="185"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We may in the future submit an exemptive application to the SEC to permit greater flexibility to negotiate the terms of co-investments because we believe that it will be advantageous for us to co-invest with affiliates of Saratoga Investment Advisors where such investment is consistent with the investment objective, investment positions, investment policies, investment strategies, investment restrictions, regulatory requirements and other pertinent factors applicable to us. However, there is no assurance that any application for exemptive relief, if made, would be granted by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Business Investment Company Regulations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28, 2012, our wholly-owned subsidiary, Saratoga Investment Corp. SBIC, LP, received an SBIC license from the SBA.</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SBIC license allows our SBIC subsidiary to obtain leverage by issuing SBA-guaranteed debentures, subject to the satisfaction of certain customary procedures.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68" w:right="239" w:bottom="1440" w:gutter="0" w:footer="0" w:header="0"/>
        </w:sectPr>
      </w:pPr>
    </w:p>
    <w:bookmarkStart w:id="23" w:name="page24"/>
    <w:bookmarkEnd w:id="23"/>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SBA regulations currently limit the amount of SBA-guaranteed debentures that an SBIC may issue to $150.0 million when it has at least $75.0 million in regulatory capital. Affiliated SBICs are permitted to issue up to a combined maximum amount of $225.0 million in SBA-guaranteed debentures when they have at least $112.5 million in combined regulatory capital.</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April 2, 2015, the SBA issued a “green light” or “go forth” letter inviting us to continue our application process to obtain a license to form and operate our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February 28, 2015, our SBIC subsidiary had $59.3 million in regulatory capital and $79.0 million of SBA-guaranteed debentures outstanding. The SBA restricts the ability of SBICs to repurchase their capital stock. SBA regulations also include restrictions on a “change of control” or transfer of an SBIC and require that SBICs invest idle funds in accordance with SBA regulations. In addition, our SBIC subsidiary may also be limited in its ability to make distributions to us if it does not have sufficient capital, in accordance with SBA regulations.</w:t>
      </w:r>
    </w:p>
    <w:p>
      <w:pPr>
        <w:spacing w:after="0" w:line="180" w:lineRule="exact"/>
        <w:rPr>
          <w:sz w:val="20"/>
          <w:szCs w:val="20"/>
          <w:color w:val="auto"/>
        </w:rPr>
      </w:pPr>
    </w:p>
    <w:p>
      <w:pPr>
        <w:jc w:val="both"/>
        <w:ind w:right="120" w:firstLine="456"/>
        <w:spacing w:after="0" w:line="289" w:lineRule="auto"/>
        <w:rPr>
          <w:sz w:val="20"/>
          <w:szCs w:val="20"/>
          <w:color w:val="auto"/>
        </w:rPr>
      </w:pPr>
      <w:r>
        <w:rPr>
          <w:rFonts w:ascii="Times New Roman" w:cs="Times New Roman" w:eastAsia="Times New Roman" w:hAnsi="Times New Roman"/>
          <w:sz w:val="17"/>
          <w:szCs w:val="17"/>
          <w:color w:val="auto"/>
        </w:rPr>
        <w:t>Our SBIC subsidiary is subject to regulation and oversight by the SBA, including requirements with respect to maintaining certain minimum financial ratios and other covenants. The SBA, as a creditor, will have a superior claim to our SBIC subsidiary’s assets over our stockholders in the event we liquidate our SBIC subsidiary or the SBA exercises its remedies under the SBA-guaranteed debentures issued by our SBIC subsidiary upon an event of default.</w:t>
      </w:r>
    </w:p>
    <w:p>
      <w:pPr>
        <w:spacing w:after="0" w:line="158"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We received exemptive relief from the SEC to permit us to exclude the debt of our SBIC guaranteed by the SBA from the definition of senior securities in the 200.0% asset coverage test under the 1940 Act. This allows us increased flexibility under the 200.0% asset coverage test by permitting us to borrow up to $150.0 million more than we would otherwise be able to absent the receipt of this exemptive relief.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file with or submit to the SEC annual, quarterly and current periodic reports, proxy statements and other information meeting the informational requirements of the Securities Exchange of 1934, as amended (the “Exchange Act”). You may inspect and copy these reports, proxy statements and other information at the Public Reference Room of the SEC at 100 F Street, N.E., Washington, D.C. 20549. You may obtain information on the operation of the Public Reference Room by calling the SEC at 1-800-SEC-0330. Copies of these reports, proxy and information statements and other information may be obtained, after paying a duplicating fee, by electronic request at the following e-mail address: publicinfo@sec.gov, or by writing the SEC’s Public Reference Section, Washington, D.C. 20549-0102. In addition, the SEC maintains an Internet website that contains reports, proxy and information statements and other information filed electronically by us with the SEC at http://www.sec.gov. Our Internet address is http://www.saratogainvestmentcorp.com. We make available free of charge on our Internet website our annual report on Form 10-K, quarterly reports on Form 10-Q, current reports on Form 8-K, and amendments to those reports as soon as reasonably practicable after we electronically file such material with, or furnish it to, the SEC. Information contained on our website is not incorporated by reference into this Annual Report, and you should not consider that information to be part of this Annual Report.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risks set forth below are the principal risks with respect to the Company generally and with respect to business development companies, they may not be the only risks we face. If any of the following risks occur, our business and financial condition could be materially and adversely affected. If any of the risks occur, our business, financial condition and results of operations could be materially adversely affected. In such case, our net asset value and the trading price of our securities could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broader economic fundamentals of the United States economy remain uncertain. Unemployment levels remain elevated and other economic fundamentals remain depressed. In the event that the United States economic performance contracts, it is likely that the financial results of middle market companies, like those in which we invest, could experience deterioration or limited growth, which could ultimately lead to difficulty in meeting their debt service requirements and an increase in defaults. Consequently, we can provide no assurance that the performance of certain of our portfolio companies will not be negatively impacted by economic or other conditions, which could also have a negative impact on our future results.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24" w:name="page25"/>
    <w:bookmarkEnd w:id="24"/>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 worldwide financial market situation, as well as various social and political tensions in the United States and around the world, may continue to contribute to increased market volatility, may have long-term effects on the United States and worldwide financial markets, and may cause further economic uncertainties or deterioration in the United States and worldwide. Since 2010, several European Union (“EU”) countries, including</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Greece, Ireland, Italy, Spain, and Portugal, have faced budget issues, some of which may have negative long-term effects for the economies of those countries and other EU countries. There is continued concern about national-level support for the Euro and the accompanying coordination of fiscal and wage policy among European Economic and Monetary Union member countries. In addition, the fiscal policy of foreign nations, such as China, may have a severe impact on the worldwide and United States financial markets. Moreover, there are concerns that the recent economic slowdown in China could have a negative impact on markets throughout the world. We do not know how long the financial markets will continue to be affected by these events and cannot predict the effects of these or similar events in the future on the United States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Although we have been able to secure access to additional liquidity, the potential for volatility in the debt and in the equity capital markets provides no assurance that debt or equity capital will be available to us in the future on favorable terms, or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obligated to pay Saratoga Investment Advisors incentive fees even if we incur a net loss, or there is a decline in the value of our portfolio.</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Saratoga Investment Advisors is entitled to incentive fees for each fiscal quarter in an amount equal to a percentage of the excess of our investment income for that quarter (before deducting incentive compensation, but net of operating expenses and certain other items) above a threshold return for that quarter. Our pre-incentive fee net investment income, for incentive compensation purposes, excludes realized and unrealized capital gains or losses that we may incur in the fiscal quarter, even if such capital gains or losses result in a net gain or loss on our statement of operations for that quarter. Thus, we may be required to pay Saratoga Investment Advisors incentive fees for a fiscal quarter even if there is a decline in the value of our portfolio or we incur a net loss for that quarter.</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terms of the Management Agreement, we may have to pay incentive fees to Saratoga Investment Advisors in connection with the sale of an investment that is sold at a price higher than the fair value of such investment on May 31, 2010, even if we incur a loss on the sale of such investment.</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Incentive fees on capital gains paid to Saratoga Investment Advisors under the Management Agreement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20.0% of the incentive fee capital gains that arise after May 31, 2010. In addition, the cost basis for computing realized gains and losses on investments held by us as of May 31, 2010 will equal the fair value of such investments as of such date. See our Form 10-Q for the quarter ended May 31, 2010 that was filed with the SEC on July 15, 2010 for the fair value and other information related to our investments as of such date. As a result, we may be required to pay incentive fees to Saratoga Investment Advisors on the sale of an investment even if we incur a realized loss on such investment, so long as the investment is sold for an amount greater than its fair value as of May 31, 2010.</w:t>
      </w:r>
    </w:p>
    <w:p>
      <w:pPr>
        <w:spacing w:after="0" w:line="29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way in which the base management and incentive fees under the Management Agreement is determined may encourage Saratoga Investment Advisors to take actions that may not be in our best interests.</w:t>
      </w:r>
    </w:p>
    <w:p>
      <w:pPr>
        <w:spacing w:after="0" w:line="5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incentive fee payable by us to our investment adviser may create an incentive for it to make investments on our behalf that are risky or more speculative than would be the case in the absence of such compensation arrangement, which could result in higher investment losses, particularly during cyclical economic downturns. The way in which the incentive fee payable to our investment adviser is determined, which is calculated separately in two components as a percentage of the income (subject to a hurdle rate) and as a percentage of the realized gain on invested capital, may encourage our investment adviser to use leverage to increase the return on our investments or otherwise manipulate our income so as to recognize income in quarters where the hurdle rate is exceeded. Moreover, we pay Saratoga Investment Advisors a base management fee based on our total assets, including any investments made with borrowings, which may create an incentive for it to cause us to incur more leverage than is prudent, or not to repay our outstanding indebtedness when it may be advantageous for us to do so, in order to maximize its compensation. Under certain circumstances, the use of leverage may increase the likelihood of default, which would disfavor the holders of our securities.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0" w:right="259" w:bottom="1440" w:gutter="0" w:footer="0" w:header="0"/>
        </w:sectPr>
      </w:pPr>
    </w:p>
    <w:bookmarkStart w:id="25" w:name="page26"/>
    <w:bookmarkEnd w:id="25"/>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incentive fee payable by us to our investment adviser also may create an incentive for our investment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income portion of our incentive fee, however, includes accrued interest. Thus, a portion of the incentive fee would be based on income that we have not yet received in cash and may never receive in cash if the portfolio company is unable to satisfy such interest payment obligation to us. Consequently, while we may make incentive fee payments on income accruals that we may not collect in the future and with respect to which we do not have a “claw back” right against our investment adviser per se, the amount of accrued income written off in any period will reduce the income in the period in which such write-off was taken and may thereby reduce such period’s incentive fee payment.</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Saratoga Investment Advisors receives a quarterly income incentive fee based, in part, on our pre-incentive fee net investment income, if any, for the immediately preceding calendar quarter. This income incentive fee is subject to a fixed quarterly hurdle rate before providing an income incentive fee return to Saratoga Investment Advisors. This fixed hurdle rate was determined when then current interest rates were relatively low on a historical basis. Thus, if interest rates rise, it would become easier for our investment income to exceed the hurdle rate and, as a result, more likely that Saratoga Investment Advisors will receive an income incentive fee than if interest rates on our investments remained constant or decreased. In addition, if we repurchase our outstanding debt securities, including our 7.50% Notes due 2020 (the “Notes”) and such repurchase results in our recording a net gain on the extinguishment of debt for financial reporting and tax purposes, such net gain will be included in our pre-incentive fee net investment income for purposes of determining the income incentive fee payable to our investment adviser under the Management Agreement.</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Moreover, our investment adviser receives the incentive fee based, in part, upon net capital gains realized on our investments. Unlike the portion of the incentive fee based on income, there is no performance threshold applicable to the portion of the incentive fee based on net capital gains. As a result, our investment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will seek to ensure that Saratoga Investment Advisors is acting in our best interests and that any conflict of interest faced by Saratoga Investment Advisors in its capacity as our investment adviser does not negatively impact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base management fee we pay to Saratoga Investment Advisors may cause it to increase our leverage contrary to our interest.</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pay Saratoga Investment Advisors a quarterly base management fee based on the value of our total assets (including any assets acquired with leverage). Accordingly, Saratoga Investment Advisors has an economic incentive to increase our leverage. Our board of directors monitors the conflicts presented by this compensation structure by approving the amount of leverage that we incur. If our leverage is increased, we will be exposed to increased risk of loss, bear the increase cost of issuing and servicing such senior indebtedness, and will be subject to any additional covenant restrictions imposed on us in an indenture or other instrument or by the applicable lender.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employ leverage, which magnifies the potential for gain or loss on amounts invested and may increase the risk of investing in us.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us. We borrow from and issue senior debt securities to banks and other lenders that is secured by a lien on our assets. Holders of these senior securities have fixed dollar claims on our assets that are superior to the claims of the holders of our securities.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common stock distributions or scheduled debt payments, including with respect to the Notes. There can be no assurance that our leveraging strategy will be successful.</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of February 28, 2015, there was a $9.6 million outstanding balance under the Credit Facility. As of February 28, 2015, we had issued $79.0 million SBA-guaranteed debentures and $48.3 million of the Notes. We may incur additional indebtedness in the future, including, but not limited to, up to an additional $35.4 million under the Credit Facility or the issuance of additional debt securities in one or more public or private offerings, although there can be no assurance that we will be successful in doing so. Our ability to service our debt depends largely on our financial performance and is subject to prevailing economic conditions and competitive pressures. The amount of leverage that we employ at any particular time will depend on our management’s and our Board of Directors’ assessment of market and other factors at the time of any proposed borrowing.</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0" w:right="279" w:bottom="1440" w:gutter="0" w:footer="0" w:header="0"/>
        </w:sectPr>
      </w:pPr>
    </w:p>
    <w:bookmarkStart w:id="26" w:name="page27"/>
    <w:bookmarkEnd w:id="26"/>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Saratoga Investment Advisors’ liability is limited under the Management Agreement and we will indemnify Saratoga Investments Advisors against certain liabilities, which may lead it to act in a riskier manner on our behalf than it would when acting for its own account.</w:t>
      </w:r>
    </w:p>
    <w:p>
      <w:pPr>
        <w:spacing w:after="0" w:line="51"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Saratoga Investment Advisors has not assumed any responsibility to us other than to render the services described in the Management Agreement. Pursuant to the Management Agreement, Saratoga Investment Advisors and its officers and employees are not liable to us for their acts under the Management Agreement absent willful misfeasance, bad faith, gross negligence or reckless disregard in the performance of their duties. We have agreed to indemnify, defend and protect Saratoga Investment Advisors and its officers and employees with respect to all damages, liabilities, costs and expenses resulting from acts of Saratoga Investment Advisors not arising out of willful misfeasance, bad faith, gross negligence or reckless disregard in the performance of their duties under the Management Agreement. These protections may lead Saratoga Investment Advisors to act in a riskier manner when acting on our behalf than it would when acting for its own account.</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assets are subject to security interests under our Credit Facility or claims of the SBA with respect to SBA-guaranteed debentures we may issue and if we default on our obligations thereunder, we may suffer adverse consequences, including the foreclosure on our assets.</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Substantially all of our assets are pledged as collateral under the Credit Facility or are subject to a superior claim over the holders of our common stock or the Notes by the SBA pursuant to the SBA-guaranteed debentures. If we default on our obligations under the Credit Facility or the SBA-guaranteed debentures, Madison Capital Funding and/or the SBA may have the right to foreclose upon and sell, or otherwise transfer, the collateral subject to their security interests or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have historically operated.</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addition, if Madison Capital Funding exercises its right to sell the assets pledged under the Credit Facility, such sales may be completed at distressed sale prices, thereby diminishing or potentially eliminating the amount of cash available to us after repayment of the amounts outstanding under the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 including potential effects on our cost of capital and net investment income.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In addition, an increase in interest rates would make it more expensive to use debt to finance our investments. Decreases in credit spreads on debt that pays a floating rate of return would have an impact on the income generation of our floating rate assets. Trading prices for debt that pays a fixed rate of return tend to fall as interest rates rise. Trading prices tend to fluctuate more for fixed rate securities that have longer maturities. Although we have no policy governing the maturities of our investments, under current market conditions we expect that we will invest in a portfolio of debt generally having maturities of up to ten years. This means that we will be subject to greater risk (other things being equal) than an entity investing solely in shorter-term securities.</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Because we may borrow to fund our investments, a portion of our net investment income may be dependent upon the difference between the interest rate at which we borrow funds and the interest rate at which we invest these funds. A portion of our investments will have fixed interest rates, while a portion of our borrowings will likely have floating interest rates. As a result, a significant change in market interest rates could have a material adverse effect on our net investment income. In periods of rising interest rates, our cost of funds could increase, which would reduce our net investment income. We may hedge against such interest rate fluctuations by using standard hedging instruments such as futures, options and forward contracts, subject to applicable legal requirements, including without limitation, all necessary registrations (or exemptions from registration) with the Commodity Futures Trading Commission. These activities may limit our ability to participate in the benefits of lower interest rates with respect to the hedged borrowings. Adverse developments resulting from changes in interest rates or hedging transactions could have a material adverse effect on our business, financial condition and results of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significant potential conflicts of interest which could adversely impact our investment returns.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executive officers and directors, and the members of our investment adviser, serve or may serve as officers, directors or principals of entities that operate in the same or a related line of business as we do or of investment funds managed by our affiliates. Accordingly, they may have obligations to investors in those entities, the fulfillment of which might not be in the best interests of us or our stockholders. For example, Christian L. Oberbeck, our chief executive officer and managing member of our investment adviser, is the managing partner of Saratoga Partners, a middle market private equity investment firm. In addition, the principals of our investment adviser may manage other funds which may from time to time have overlapping investment objectives with those of us and accordingly invest in, whether principally or secondarily, asset classes similar to those targeted by us. If this should occur, the principals of our investment adviser will face conflicts of interest in the allocation of investment opportunities to us and such other funds. Although our investment professionals will endeavor to allocate investment opportunities in a fair and equitable manner, we and our common stockholders could be adversely affected in the event investment opportunities are allocated among us and other investment vehicles managed or sponsored by, or affiliated with, our executive officers, directors and investment adviser, and the members of our investment adviser.</w:t>
      </w:r>
    </w:p>
    <w:p>
      <w:pPr>
        <w:spacing w:after="0" w:line="29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or changes in the interpretation thereof, and any failure by us to comply with laws or regulations governing our operations may adversely affect our business.</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are subject to regulation at the local, state and federal levels. These laws and regulations, as well as their interpretation, may be changed from time to time. Any change in these laws or regulations, or their interpretation, or any failure by us to comply with these laws or regulations may adversely affect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cyber-security risks.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the availability of our electronic data systems and safeguard the security of our data, our ability to conduct business may be compromised, which could impair our liquidity, disrupt our business, damage our reputation and cause losses.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Cybersecurity refers to the combination of technologies, processes, and procedures established to protect information technology systems and data from unauthorized access, attack, or damage. We are subject to cybersecurity risks. Information cyber security risks have significantly increased in recent years and, while we have not experienced any material losses relating to cyber attacks or other information security breaches, we could suffer such losses in the future. Our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our computer systems and networks, or otherwise cause interruptions or malfunctions in our operations or the operations of our customers or counterparties, which could result in significant losses or reputational damage. This could result in significant losses, reputational damage, litigation, regulatory fines or penalties, or otherwise adversely affect our business, financial condition or results of operations. Privacy and information security laws and regulation changes,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We currently do not maintain insurance coverage relating to cybersecurity risks, and we may be required to expend significant additional resources to modify our protective measures or to investigate and remediate vulnerabilities or other exposures, and we may be subject to litigation and financial losses that are not fully insured.</w:t>
      </w:r>
    </w:p>
    <w:p>
      <w:pPr>
        <w:spacing w:after="0" w:line="19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Third parties with which we do business may also be sources of cybersecurity or other technological risks. We outsource certain functions and these relationships allow for the storage and processing of our information, as well as customer,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governing our operation as a BDC will affect our ability to raise additional capital.</w:t>
      </w:r>
    </w:p>
    <w:p>
      <w:pPr>
        <w:spacing w:after="0" w:line="121"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Our business requires a substantial amount of additional capital. We may acquire additional capital from the issuance of senior securities or other indebtedness or the issuance of additional shares of our common stock.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the provisions of the 1940 Act, we are permitted, as a BDC, to incur indebtedness or issue senior securities only in amounts such that our asset coverage, as defined in the 1940 Act, equals at least 200.0% after such incurrence or issuance. Our ability to issue different types of securities is also limited. Compliance with these requirements may unfavorably limit our investment opportunities and reduce our ability in comparison to other companies to profit from favorable spreads between the rates at which we can borrow and the rates at which we can lend. As a business development company, therefore, we may need to issue equity more frequently than our privately owned competitors, which may lead to greater stockholder dilution.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If that happens, we may be required to liquidate a portion of our investments and repay a portion of our indebtedness at a time when such sales may be disadvantageous in order to make dividend distributions or repurchase certain of our securities.</w:t>
      </w:r>
    </w:p>
    <w:p>
      <w:pPr>
        <w:spacing w:after="0" w:line="18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or warrants, options or rights to acquire our common stock, at a price below the current net asset value of the common stock if our board of directors determines that such sale is in our best interests and the best interests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commission or discount). If our common stock trades at a discount to net asset value, this restriction could adversely affect our ability to raise capital. At our 2014 annual meeting of stockholders, our stockholders approved a proposal that authorizes us to sell shares of our common stock below the then current net asset value per share of our common stock at an offering price per share that is not less than 85% of the then current net asset value per share in one or more offerings for a period of one year ending on the earlier of September 30, 2015 or the date of our 2015 annual meeting of stockholders. Continued access to this exception will require approval of similar proposals at future stockholder meetings. If our common stock trades at a discount to net asset value, this restriction could adversely affect our ability to raise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legislation may allow us to incur additional leverage.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business development company, we are generally not permitted to incur indebtedness unless immediately after such borrowing we have an asset coverage for total borrowings of at least 200% (i.e., the amount of debt may not exceed 50% of the value of our assets). We have agreed in the covenant in the indenture governing the Notes not to violate this section of the 1940 Act, whether or not we continue to be subject to such provision, but giving effect, in either case, to any exemptive relief granted to us by the SEC. Recent legislation, if passed, would modify this section of the 1940 Act and increase the amount of debt that business development companies may incur by modifying the percentage from 200% to 150%. As a result, we may be able to incur additional indebtedness in the future and therefore your risk of an investment in our securities may increase.</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governing our Credit Facility contains various covenants that, among other things, limits our discretion in operating our business and provides for certain minimum financial covenants.</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agreement governing the Credit Facility contains customary default provisions such as the termination or departure of certain “key persons” of Saratoga Investment Advisors, a material adverse change in our business and the failure to maintain certain minimum loan quality and performance standards. An event of default under the facility would result, among other things, in termination of the availability of further funds under the facility and an accelerated maturity date for all amounts outstanding under the facility, which would likely disrupt our business and, potentially, the portfolio companies whose loans we financed through the facility. This could reduce our revenues and, by delaying any cash payment allowed to us under the facility until the lender has been paid in full, reduce our liquidity and cash flow and impair our ability to grow our business and maintain our status as a RIC.</w:t>
      </w:r>
    </w:p>
    <w:p>
      <w:pPr>
        <w:spacing w:after="0" w:line="18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Each loan origination under the facility is subject to the satisfaction of certain conditions. We cannot assure you that we will be able to borrow funds under the facility at any particular time or at all.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66"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be subject to corporate-level income tax if we fail to qualify as a RIC.</w:t>
      </w:r>
    </w:p>
    <w:p>
      <w:pPr>
        <w:spacing w:after="0" w:line="121" w:lineRule="exact"/>
        <w:rPr>
          <w:sz w:val="20"/>
          <w:szCs w:val="20"/>
          <w:color w:val="auto"/>
        </w:rPr>
      </w:pPr>
    </w:p>
    <w:p>
      <w:pPr>
        <w:jc w:val="both"/>
        <w:ind w:right="80" w:firstLine="456"/>
        <w:spacing w:after="0" w:line="282" w:lineRule="auto"/>
        <w:rPr>
          <w:sz w:val="20"/>
          <w:szCs w:val="20"/>
          <w:color w:val="auto"/>
        </w:rPr>
      </w:pPr>
      <w:r>
        <w:rPr>
          <w:rFonts w:ascii="Times New Roman" w:cs="Times New Roman" w:eastAsia="Times New Roman" w:hAnsi="Times New Roman"/>
          <w:sz w:val="18"/>
          <w:szCs w:val="18"/>
          <w:color w:val="auto"/>
        </w:rPr>
        <w:t>We seek to maintain our qualification as a RIC under the Code, which requires us to qualify continuously as a BDC and meet certain source of income, distribution and asset diversification requirements.</w:t>
      </w:r>
    </w:p>
    <w:p>
      <w:pPr>
        <w:spacing w:after="0" w:line="162"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source of income requirement is satisfied if we derive at least 90.0% of our annual gross income from interest, dividends, payments with respect to certain securities loans, gains from the sale or other disposition of securities or options thereon or foreign currencies, or other income derived with respect to our business of investing in such securities or currencies, and net income from interests in “qualified publicly traded partnerships,” as defined in the Code.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annual distribution requirement is satisfied if we distribute to our stockholders on an annual basis an amount equal to at least 90.0% of our ordinary net taxable income and realized net short-term capital gains in excess of realized net long-term capital losses, if any, reduced by deductible expenses. We are subject to certain asset coverage ratio requirements under the 1940 Act and covenants under our borrowing agreements that could, under certain circumstances, restrict us from making distributions necessary to qualify as a RIC. In such case, if we are unable to obtain cash from other sources, we may fail to qualify as a RIC and, thus, may be subject to corporate-level income tax.</w:t>
      </w:r>
    </w:p>
    <w:p>
      <w:pPr>
        <w:spacing w:after="0" w:line="18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diversification requirements will be satisfied if we diversify our holdings so that at the end of each quarter of the taxable year: (i) at least 50.0% of the value of our assets consists of cash, cash equivalents, U.S. government securities, securities of other regulated investment companies, and other securities if such other securities of any one issuer do not represent more than 5.0% of the value of our assets or more than 10% of the outstanding voting securities of the issuer; and (ii) no more than 25.0% of the value of our assets is invested in the securities, other than U.S. government securities or securities of other regulated investment companies, of one issuer or of two or more issuers that are controlled, as determined under applicable tax rules, by us and that are engaged in the same or similar or related trades or businesses or in certain publicly traded partnerships.</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Failure to meet these tests may result in our having to (i) dispose of certain investments quickly or (ii) raise additional capital to prevent the loss of our RIC qualification. Because most of our investments will be in private companies, any such dispositions could be made at disadvantageous prices and may result in substantial losses. If we raise additional capital to satisfy the asset diversification requirements, it could take us time to invest such capital. During this period, we will invest the additional capital in temporary investments, such as cash and cash equivalents, which we expect will earn yields substantially lower than the interest income that we anticipate receiving in respect of investments in leveraged loans and mezzanine debt.</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we fail to qualify as a RIC for any reason, all of our taxable income will be subject to U.S. federal income tax at regular corporate rates. The resulting corporate taxes could substantially reduce our net assets, the amount of income available for distribution to our common stockholders or payment of our outstanding indebtedness including the Notes. Such a failure would have a material adverse effect on us and the holders of our securities.</w:t>
      </w:r>
    </w:p>
    <w:p>
      <w:pPr>
        <w:spacing w:after="0" w:line="2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intend to distribute between 90% and 100% of our income to our stockholders in connection with our election to be treated as a RIC, we will continue to need additional capital to finance our growth. If additional funds are unavailable or not available on favorable terms, our ability to grow will be impaired.</w:t>
      </w:r>
    </w:p>
    <w:p>
      <w:pPr>
        <w:spacing w:after="0" w:line="6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order to qualify for the tax benefits available to RICs and to minimize corporate-level taxes, we intend to distribute to our stockholders between 90% and 100% of our annual taxable income, except that we may retain certain net capital gains for investment, and treat such amounts as deemed distributions to our stockholders. If we elect to treat any amounts as deemed distributions, we must pay income taxes at the corporate rate on such deemed distributions on behalf of our stockholders. As a result of these requirements, we will likely need to raise capital from other sources to grow our business. As a BDC, we generally are required to meet a coverage ratio of total assets, less liabilities and indebtedness not represented by senior securities, to total senior securities, which includes all of our borrowings and any outstanding preferred stock, of at least 200%. These requirements limit the amount that we may borrow. Because we will continue to need capital to grow our investment portfolio, these limitations may prevent us from incurring debt and require us to raise additional equity at a time when it may be disadvantageous to do so.</w:t>
      </w:r>
    </w:p>
    <w:p>
      <w:pPr>
        <w:spacing w:after="0" w:line="18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While we expect to be able to borrow and to issue additional debt and equity securities, we cannot assure you that debt and equity financing will be available to us on favorable terms, or at all. Also, as a BDC, we generally are not permitted to issue equity securities priced below net asset value without stockholder approval. If additional funds are not available to us, we could be forced to curtail or cease new investment activities, and our net asset value and share price could decline.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6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have difficulty paying our required distributions if we recognize income before or without receiving cash in respect of such income.</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we may on occasion hold debt obligations that are treated under applicable tax rules as having original issue discount (such as debt instruments with PIK or, in certain cases, increasing interest rates or issued with warrants) and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In addition, we may be required to accrue for federal income tax purposes amounts attributable to our investment in Saratoga CLO, a collateralized loan obligation fund, that may differ from the distributions paid in respect of our investment in the subordinated notes of such collateralized loan obligation fund because of the factors set forth above or because distributions on the subordinated notes are contractually required to be diverted for reinvestment or to pay down outstanding indebtedness.</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the members of our independent directors and, in some cases, the SEC. Any person that owns, directly or indirectly, 5.0%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without prior approval of our independent directors and, in some cases, the SEC. If a person acquires more than 25.0% of our voting securities, we are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directors or investment adviser or their affiliates. As a result of these restrictions, we may be prohibited from buying or selling any security (other than any security of which we are the issuer) from or to any portfolio company of a private equity fund managed by our investment adviser without the prior approval of the SEC, which may limit the scope of investment opportunities that would otherwise be available to us.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 number of entities compete with us to make the types of investments that we make in private middle market companies. We compete with other BDCs, public and private funds (including SBICs), commercial and investment banks, commercial financing companies, insurance companies, high-yield investors, hedge funds, and, to the extent they provide an alternative form of financing, private equity funds. Many of our competitors are substantially larger and have considerably greater financial, technical and marketing resources than us. Some competitors may have a lower cost of funds and access to funding sources that are not available to us. In addition, some of our competitors may have higher risk tolerances or different risk assessments that could allow them to consider a wider variety of investments and establish more relationships than us. Furthermore, many of our competitors are not subject to the regulatory restrictions that the 1940 Act imposes on us as a BDC. As a result of this competition, we may not be able to take advantage of attractive investment opportunities from time to time, and we cannot assure you that we will be able to identify and make investments that meet our investment objective.</w:t>
      </w:r>
    </w:p>
    <w:p>
      <w:pPr>
        <w:spacing w:after="0" w:line="18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do not seek to compete primarily based on the interest rates we offer and we believe that some of our competitors may make loans with interest rates that are comparable to or lower than the rates we offer.</w:t>
      </w:r>
    </w:p>
    <w:p>
      <w:pPr>
        <w:spacing w:after="0" w:line="16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7"/>
          <w:szCs w:val="17"/>
          <w:color w:val="auto"/>
        </w:rPr>
        <w:t>We may lose investment opportunities if we do not match our competitors’ pricing, terms and structure. If we match our competitors’ pricing, terms and structure, we may experience decreased net interest income and increased risk of credit loss. As a result of operating in such a competitive environment, we may make investments that are on better terms to our portfolio companies than we originally anticipated, which may impact our return on these investments.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66"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recessions or downturns could impair our portfolio companies and harm our operating results.</w:t>
      </w:r>
    </w:p>
    <w:p>
      <w:pPr>
        <w:spacing w:after="0" w:line="12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Many of our portfolio companies may be susceptible to economic slowdowns or recessions and may be unable to repay our debt investments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5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Although we seek to maintain a diversified portfolio in accordance with our business strategies,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RIC asset diversification requirements, we do not have fixed guidelines for diversification, and our investments could be concentrated in relatively few portfolio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 depend on our ability to manage future investments effectively.</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acquire suitable investments and monitor and administer those investments, which depends, in turn, on Saratoga Investment Advisors’ ability to identify, invest in and monitor companies that meet our investment criteria.</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Accomplishing this result on a cost-effective basis is largely a function of Saratoga Investment Advisors’ structuring of the investment process and its ability to provide competent, attentive and efficient service to us. Our executive officers and the officers and employees of Saratoga Investment Advisors have substantial responsibilities in connection with their roles at Saratoga Partners as well as responsibilities under the Management Agreement. They may also be called upon to provide managerial assistance to our portfolio companies. These demands on their time, which will increase as the number of investments grow, may distract them or slow the rate of investment. In order to grow, Saratoga Investment Advisors may need to hire, train, supervise and manage new employees. However, we cannot assure you that any such employees will contribute to the work of Saratoga Investment Advisors. Any failure to manage our future growth effectively could have a material adverse effect on our business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could experience fluctuations in our quarterly operating results due to a number of factors, including the interest rate payable on the debt investments we make, the default rate on such investments,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portfolio investments are recorded at fair value as approved in good faith by our board of directors; such valuations are inherently uncertain and may be materially higher or lower than the values that we ultimately realize upon the disposal of such investments.</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Substantially all of our portfolio is, and we expect will continue to be, comprised of investments that are not publicly traded. The value of investments that are not publicly traded may not be readily determinable. We value these investments quarterly at fair value as approved in good faith by our board of directors. Where appropriate, Saratoga Investment Advisers may utilize the services of an independent valuation firm to aid it in determining fair value. The types of factors that may be considered in valuing our investments include the nature and realizable value of any collateral, the portfolio company’s ability to make payments and its earnings, the markets in which the portfolio company does business, market yield trend analysis, comparison to publicly traded companies, discounted cash flow and other relevant factors. Because such valuations, and particularly valuations of private investments and private companies, are inherently uncertain, may fluctuate over short periods of time and may be based on estimates, our determinations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66" w:right="239" w:bottom="1440" w:gutter="0" w:footer="0" w:header="0"/>
        </w:sectPr>
      </w:pPr>
    </w:p>
    <w:bookmarkStart w:id="32" w:name="page33"/>
    <w:bookmarkEnd w:id="32"/>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we make unsecured debt investments, we may lack adequate protection in the event our portfolio companies become distressed or insolvent and will likely experience a lower recovery than more senior debtholders in the event our portfolio companies defaults on their indebtedness.</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spacing w:after="0" w:line="28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invest in the securities and other obligations of distressed or bankrupt companies, such investments may be subject to significant risks, including lack of income, extraordinary expenses, uncertainty with respect to satisfaction of debt, lower-than expected investment values or income potentials and resale restrictions.</w:t>
      </w:r>
    </w:p>
    <w:p>
      <w:pPr>
        <w:spacing w:after="0" w:line="6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are authorized to invest in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may be diminished which may affect our ability to make distributions on our common stock or make interest and principal payments of the Notes.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also will be subject to significant uncertainty as to when and in what manner and for what value the distressed debt we invest in will eventually be satisfied (e.g., through a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 if we are in possession of material non-public information relating to the issuer.</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Certain loans that we make to portfolio companies will be secured on a second priority basis by the same collateral securing senior secured debt of such companies. The first priority liens on the collateral will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the loans we make to our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with respect to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6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lack of liquidity in our investments may adversely affect our business.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primarily make investments in private companies. A portion of these securities may be subject to legal and other restrictions on resale, transfer, pledge or other disposition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business entity to the extent that we or our investment adviser has or could be deemed to have material non-public information regarding such business entity.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securities in which we invest are subject to credit risk and prepayment risk.</w:t>
      </w:r>
    </w:p>
    <w:p>
      <w:pPr>
        <w:spacing w:after="0" w:line="12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An issuer of a debt security may be unable to make interest payments and repay principal. We could lose money if the issuer of a debt obligation is, or is perceived to be, unable or unwilling to make timely principal and/or interest payments, or to otherwise honor its obligations. The downgrade of a security by rating agencies may further decrease its value.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Certain debt instruments may contain call or redemption provisions which would allow the issuer thereof to prepay principal prior to the debt instrument’s stated maturity. This is known as prepayment risk. Prepayment risk is greater during a falling interest rate environment as issuers can reduce their cost of capital by refinancing higher interest debt instruments with lower interest debt instruments. An issuer may also elect to refinance their debt instruments with lower interest debt instruments if the credit standing of the issuer improves. To the extent debt securities in our portfolio are called or redeemed, we may receive less than we paid for such security and we may be forced to reinvest in lower yielding securities or debt securities of issuers of lower credit quality.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relating to the LIBOR calculation process may adversely affect the value of our portfolio of the LIBOR-indexed, floating-rate debt securities.</w:t>
      </w:r>
    </w:p>
    <w:p>
      <w:pPr>
        <w:spacing w:after="0" w:line="121"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derivatives positions or to avoid an appearance of capital insufficiency or adverse reputational or other consequences that may have resulted from reporting inter-bank lending rates higher than those they actually submitted. A number of BBA member banks have entered into settlements with their regulators and law enforcement agencies with respect to alleged manipulation of LIBOR, and investigations by regulators and governmental authorities in various jurisdictions are ongoing.</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Actions by the BBA, regulators or law enforcement agencies may result in changes to the manner in which LIBOR is determined. Uncertainty as to the nature of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in Saratoga CLO constitutes a leveraged investment in a portfolio of predominantly senior secured first lien term loans and is subject to additional risks and volatility.</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At February 28, 2015, our investment in the subordinated notes of Saratoga CLO, a collateralized loan obligation fund, had a fair value of $17.0 million and constituted 7.1% of our portfolio. This investment constitutes a first loss position in a portfolio that, as of February 28, 2015, was composed of</w:t>
      </w:r>
    </w:p>
    <w:p>
      <w:pPr>
        <w:ind w:right="100"/>
        <w:spacing w:after="0" w:line="251" w:lineRule="auto"/>
        <w:rPr>
          <w:sz w:val="20"/>
          <w:szCs w:val="20"/>
          <w:color w:val="auto"/>
        </w:rPr>
      </w:pPr>
      <w:r>
        <w:rPr>
          <w:rFonts w:ascii="Times New Roman" w:cs="Times New Roman" w:eastAsia="Times New Roman" w:hAnsi="Times New Roman"/>
          <w:sz w:val="18"/>
          <w:szCs w:val="18"/>
          <w:color w:val="auto"/>
        </w:rPr>
        <w:t>$296.9 million in aggregate principal amount of primarily senior secured first lien term loans and $5.8 million in uninvested cash. A first loss position means that we will suffer the first economic losses if the value of Saratoga CLO decreases. First loss positions typically carry a higher risk and earn a higher yield. Interest payments generated from this portfolio will be used to pay the administrative expenses of Saratoga CLO and interest on the debt issued by Saratoga CLO before paying a return on the subordinated notes. Principal payments will be similarly applied to pay administrative expenses of Saratoga CLO and for reinvestment or repayment of Saratoga CLO debt before paying a return on, or repayment of, the subordinated notes. In addition, 80.0% of our fixed management fee and 100.0% our incentive management fee for acting as the collateral manager of Saratoga CLO is subordinated to the payment of interest and principal on Saratoga CLO debt. Any losses on the portfolio will accordingly reduce the cash flow available to pay these management fees and provide a return on, or repayment of, our investment. Depending on the amount and timing of such losses, we may experience smaller than expected returns and, potentially, the loss of our entire investment.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66" w:right="239" w:bottom="1440" w:gutter="0" w:footer="0" w:header="0"/>
        </w:sectPr>
      </w:pPr>
    </w:p>
    <w:bookmarkStart w:id="34" w:name="page35"/>
    <w:bookmarkEnd w:id="34"/>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 manager of the portfolio of Saratoga CLO we will have some ability to direct the composition of the portfolio, but our discretion is limited by the terms of the debt issued by Saratoga CLO which may limit our ability to make investments that we feel are in the best interests of the subordinated notes, and the availability of suitable investments. The performance of Saratoga CLO’s portfolio is also subject to many of the same risks sets forth in this Annual Report with respect to portfolio investments in leveraged loans.</w:t>
      </w:r>
    </w:p>
    <w:p>
      <w:pPr>
        <w:spacing w:after="0" w:line="2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a bankruptcy court orders the substantive consolidation of us with Saratoga CLO, the creditors of Saratoga CLO, including the holders of $296.9 million aggregate principal amount of debt, as of February 28, 2015 issued by Saratoga CLO, would have claims against the consolidated bankruptcy estate, which would include our assets.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we have observed and will observe certain formalities and operating procedures that are generally recognized requirements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maintaining our separate existence and that our assets and liabilities can be readily identified as distinct from those of Saratoga CLO. However, we cannot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assure you that a bankruptcy court would agree in the event that we or Saratoga CLO became a debtor in connection with a bankruptcy proceeding.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court concludes that substantive consolidation of us with Saratoga CLO is warranted, the creditors of Saratoga CLO, including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$296.9 million aggregate principal amount of debt, as of February 28, 2015 issued by Saratoga CLO, would have claims against the consolidated bankruptcy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estate. Substantive consolidation means that our assets are placed in a single bankruptcy estate with those of Saratoga CLO, rather than kept separate, and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creditors of Saratoga CLO have a claim against that single estate (including our assets), as opposed to retaining their claims against only Saratoga CLO.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 about privately held companies is limited.</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invest primarily in privately-held companies. Generally, little public information exists about these companies, and we are required to rely on the ability of our investment adviser’s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investments.</w:t>
      </w:r>
    </w:p>
    <w:p>
      <w:pPr>
        <w:spacing w:after="0" w:line="2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When we are a debt or minority equity investor in a portfolio company, we may not be in a position to control the entity, and its management may make decisions that could decrease the value of our investment.</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make both debt and minority equity investments;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or issue equity securities that rank equally with, or senior to, our investments in such companies.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portfolio companies usually will have, or may be permitted to incur, other debt, or issue other equity securities that rank equally with, or senior to, our investments. By their terms, such instruments may provide that the holders are entitled to receive payment of dividends, interest or principal on or before the dates on which we are entitled to receive payments in respect of our investments. These debt instruments will usually prohibit the portfolio companies from paying interest on or repaying our investments in the event and during the continuance of a default under such debt. Also, in the event of insolvency, liquidation, dissolution, reorganization or bankruptcy of a portfolio company, holders of securities ranking senior to our investment in that portfolio company would typically be entitled to receive payment in full before we receive any distribution in respect of our investment. After repaying such holders, the portfolio company may not have any remaining assets to use for repaying its obligation to us. In the case of debtor ranking equally with our investments, we would have to share on an equal basis any distributions with other holders in the event of an insolvency, liquidation, dissolution, reorganization or bankruptcy of the relevant portfolio company.</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5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70" w:right="239" w:bottom="1440" w:gutter="0" w:footer="0" w:header="0"/>
        </w:sectPr>
      </w:pPr>
    </w:p>
    <w:bookmarkStart w:id="35" w:name="page36"/>
    <w:bookmarkEnd w:id="3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if we actually render significant managerial assistance.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 involve a substantial degree of risk.</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purchase common stock and other equity securities. Although equity securities have historically generated higher average total returns than fixed-income securities over the long-term, equity securities also have experienced significantly more volatility in those returns and in recent years have significantly underperformed relative to fixed-income securities. The equity securities we acquire may fail to appreciate and may decline in value or become worthless and our ability to recover our investment will depend on our portfolio company’s success. Investments in equity securities involve a number of significant risks, including:</w:t>
      </w:r>
    </w:p>
    <w:p>
      <w:pPr>
        <w:spacing w:after="0" w:line="89" w:lineRule="exact"/>
        <w:rPr>
          <w:sz w:val="20"/>
          <w:szCs w:val="20"/>
          <w:color w:val="auto"/>
        </w:rPr>
      </w:pPr>
    </w:p>
    <w:p>
      <w:pPr>
        <w:ind w:left="660" w:hanging="206"/>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investment we make in a portfolio company could be subject to further dilution as a result of the issuance of additional equity interests and to serious risks as a junior security that will be subordinate to all indebtedness or senior securities in the event that the issuer is unable to meet its obligations or becomes subject to a bankruptcy process;</w:t>
      </w:r>
    </w:p>
    <w:p>
      <w:pPr>
        <w:spacing w:after="0" w:line="81"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portfolio company requires additional capital and is unable to obtain it, we may not recover our investment in equity securities; and</w:t>
      </w:r>
    </w:p>
    <w:p>
      <w:pPr>
        <w:spacing w:after="0" w:line="67" w:lineRule="exact"/>
        <w:rPr>
          <w:rFonts w:ascii="Times New Roman" w:cs="Times New Roman" w:eastAsia="Times New Roman" w:hAnsi="Times New Roman"/>
          <w:sz w:val="18"/>
          <w:szCs w:val="18"/>
          <w:color w:val="auto"/>
        </w:rPr>
      </w:pPr>
    </w:p>
    <w:p>
      <w:pPr>
        <w:ind w:left="660" w:right="20" w:hanging="206"/>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equity securities in which we invest will not pay current dividends, and our ability to realize a return on our investment, as well as to recover our investment, will be dependent on the success of our portfolio companies. Even if the portfolio companies are successful, our ability to realize the value of our investment may be dependent on the occurrence of a liquidity event, such as a public offering or the sale of the portfolio company. It is likely to take a significant amount of time before a liquidity event occurs or we can sell our equity investments. In addition, the equity securities we receive or invest in may be subject to restrictions on resale during periods in which it could be advantageous to sell.</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special risks associated with investing in preferred securities, including:</w:t>
      </w:r>
    </w:p>
    <w:p>
      <w:pPr>
        <w:spacing w:after="0" w:line="131" w:lineRule="exact"/>
        <w:rPr>
          <w:sz w:val="20"/>
          <w:szCs w:val="20"/>
          <w:color w:val="auto"/>
        </w:rPr>
      </w:pPr>
    </w:p>
    <w:p>
      <w:pPr>
        <w:ind w:left="660" w:right="280" w:hanging="206"/>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tax purposes even though we have not received any cash payments in respect of such income;</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with respect to corporate income and liquidation payments, and are therefore subject to greater risk than debt;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be substantially less liquid than many other securities, such as common securities or U.S. government securities;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security holders generally have no voting rights with respect to the issuing company, subject to limited exceptions.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debt, including that of emerging market issuers, may involve significant risks in addition to the risks inherent in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there are limitations on our ability to invest in foreign debt, we may, from time to time, invest in debt of foreign companies, including the debt of emerging market issuers.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Investments in the debt of emerging market issuers may subject us to additional risks such as inflation, wage and price controls, and the imposition of trade barriers. Furthermore, economic conditions in emerging market countries are, to some extent, influenced by economic and securities market conditions in other emerging market countries. Although economic conditions are different in each country, investors’ reaction to developments in one country can have effects on the debt of issuers in other countries.</w:t>
      </w:r>
    </w:p>
    <w:p>
      <w:pPr>
        <w:spacing w:after="0" w:line="18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0" w:right="259" w:bottom="1440" w:gutter="0" w:footer="0" w:header="0"/>
        </w:sectPr>
      </w:pPr>
    </w:p>
    <w:bookmarkStart w:id="36" w:name="page37"/>
    <w:bookmarkEnd w:id="36"/>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we will fully hedge against these risks or that such strategies will be effective.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if we engage in hedging transactions.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may utilize instruments such as forward contracts, currency options and interest rate swaps, caps, collars and floors to seek to hedge against fluctuations in the relative values of our portfolio positions from changes in currency exchange rates and market interest rates. Use of these hedging instruments may expose us to counter-party credit risk.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portfolio positions should increase. Moreover, it may not be possible to hedge against an exchange rate or interest rate fluctuation that is generally anticipated at an acceptable price.</w:t>
      </w:r>
    </w:p>
    <w:p>
      <w:pPr>
        <w:spacing w:after="0" w:line="293"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51"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current investment objective, operating policies and strategies without prior notice and without stockholder approval. We cannot predict the effect any changes to our current operating policies and strategies would have on our business, financial condition, and value of our common stock. However, the effects might be adverse, which could negatively impact our ability to pay dividends and cause you to lose all or part of your investment.</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managing an SBIC and any failure to comply with SBA regulations, resulting from our lack of experience or otherwise, could have an adverse effect on our operations.</w:t>
      </w:r>
    </w:p>
    <w:p>
      <w:pPr>
        <w:spacing w:after="0" w:line="5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On March 28, 2012, our wholly-owned subsidiary, Saratoga Investment Corp. SBIC, LP, received a license from the SBA to operate as an SBIC under Section 301(c) of the Small Business Investment Act of 1958 and is regulated by the SBA.</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SBA places certain limitations on the financing terms of investments by SBICs in portfolio companies and prohibits SBICs from providing funds for certain purposes or to businesses in a few prohibited industries. Compliance with SBIC requirements may cause our SBIC subsidiary to forego attractive investment opportunities that are not permitted under SBA regulations.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Further, SBA regulations require that an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 or more of a class of capital stock of an SBIC.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wholly-owned subsidiary. We do not have any prior experience managing an SBIC. Our lack of experience in complying with SBA regulations may hinder our ability to take advantage of our SBIC subsidiary’s access to SBA-guaranteed debentures.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failure to comply with SBA regulations could have an adverse effect on our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may be risky, and you could lose all or part of your investment.</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Substantially all of our debt investments hold a non-investment grade rating by one or more rating agencies or, where not rated by any rating agency, would be below investment grade, if rated. A below investment grade rating means that, in the rating agency’s view, there is an increased risk that the obligor on such debt will be unable to pay interest and repay principal on its debt in full. We also invest in debt that defers or pays PIK interest. To the extent interest payments associated with such debt are deferred, such debt will be subject to greater fluctuations in value based on changes in interest rates, such debt could produce taxable income without a corresponding cash payment to us, and since we generally do not receive any cash prior to maturity of the debt, the investment will be of greater risk.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270" w:right="259"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private middle market companies in which we invest are exposed to a number of significant risks, including:</w:t>
      </w:r>
    </w:p>
    <w:p>
      <w:pPr>
        <w:spacing w:after="0" w:line="131" w:lineRule="exact"/>
        <w:rPr>
          <w:sz w:val="20"/>
          <w:szCs w:val="20"/>
          <w:color w:val="auto"/>
        </w:rPr>
      </w:pPr>
    </w:p>
    <w:p>
      <w:pPr>
        <w:ind w:left="660" w:right="6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financial resources and an inability to meet their obligations, which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660" w:right="22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67"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management talents and efforts of a small group of persons; the death, disability, resignation or termination of one or more of which could have a material adverse impact on the company and, in turn, on us;</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predictable operating results and, possibly, substantial additional capital requirements to support their operations, finance expansion or maintain their competitive position;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the capital markets to meet future capital needs.</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addition, our executive officers, directors and our investment adviser may, in the ordinary course of business, be named as defendants in litigation arising from our investments in the portfolio companies.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February 28, 2015 (the last date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common stock may involve an above average degree of risk.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choose to pay dividends in our own stock, in which case you may be required to pay tax in excess of the cash you receive.</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have in the past, and may continue to, distribute taxable dividends that are payable to our stockholders in part through the issuance of shares of our common stock. For example, on October 30, 2013, our board of directors declared a dividend of $2.65 per share to shareholders payable in cash or shares of our common stock. Under certain applicable provisions of the Code and the Treasury regulations, distributions payable in cash or in shares of stock at the election of stockholders are treated as taxable dividends. The Internal Revenue Service has issued private rulings indicating that this rule will apply even where the total amount of cash that may be distributed is limited to no more than 20.0% of the total distribution. Under these rulings,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these rulings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p>
      <w:pPr>
        <w:ind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September 24, 2014, the Company declared an ordinary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Also 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660" w:right="40" w:hanging="206"/>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accounting pronouncements or tax rules, particularly with respect to RICs, BDCs or SBICs;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qualification;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any of Saratoga Investment Advisors’ key personnel;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you may not receive distributions or that our distributions may not grow over time.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BDC for 1940 Act purposes and a RIC for U.S. federal income tax purposes, we intend to make distributions out of assets legally available for distribution to our stockholders once such distributions are authorized by our board of directors and declared by us. We cannot assure you that we will achieve investment results that will allow us to make a specified level of cash distributions or year-to-year increases in cash distributions. In addition, due to the asset coverage test that is applicable to us as a BDC, and provisions contained in the agreements governing our borrowings, we may be limited in our ability to make distributions. Further, if we invest a greater amount of assets in equity securities that do not pay current dividends, it could reduce the amount available for distribution.</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governing documents and the Maryland General Corporation Law could deter future takeover attempts and have an adverse impact on the price of our common stock.</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governed by our charter and bylaws, which we refer to as our “governing documents.”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70" w:right="239" w:bottom="1440" w:gutter="0" w:footer="0" w:header="0"/>
        </w:sectPr>
      </w:pPr>
    </w:p>
    <w:bookmarkStart w:id="39" w:name="page40"/>
    <w:bookmarkEnd w:id="39"/>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governing documents and the Maryland General Corporation Law contain provisions that may have the effect of delaying, deferring or preventing a future transaction or change in control of us that might involve a premium price for our stockholders or otherwise be in their best interest.</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charter provides for the classification of our board of directors into three classes of directors, serving staggered three-year terms, which may render a change of control of us or removal of our incumbent management more difficult. Furthermore, any and all vacancies on our board of directors will be filled generally only by the affirmative vote of a majority of the remaining directors in office, even if the remaining directors do not constitute a quorum, and any director elected to fill a vacancy will serve for the remainder of the full term until a successor is elected and qualifies.</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is authorized to create and issue new series of shares, to classify or reclassify any unissued shares of stock into one or more classes or series, including preferred stock and, without stockholder approval, to amend our charter to increase or decrease the number of shares of stock that we have authority to issue, which could have the effect of diluting a stockholder’s ownership interest. Prior to the issuance of shares of stock of each class or series, including any reclassified series, our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w:t>
      </w:r>
    </w:p>
    <w:p>
      <w:pPr>
        <w:spacing w:after="0" w:line="188"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governing documents also provide that our board of directors has the exclusive power to adopt, alter or repeal any provision of our bylaws, and to make new bylaws. The Maryland General Corporation Law also contains certain provisions that may limit the ability of a third party to acquire control of us, such as:</w:t>
      </w:r>
    </w:p>
    <w:p>
      <w:pPr>
        <w:spacing w:after="0" w:line="82" w:lineRule="exact"/>
        <w:rPr>
          <w:sz w:val="20"/>
          <w:szCs w:val="20"/>
          <w:color w:val="auto"/>
        </w:rPr>
      </w:pPr>
    </w:p>
    <w:p>
      <w:pPr>
        <w:ind w:left="660" w:right="20" w:hanging="206"/>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Maryland Business Combination Act, which, subject to certain limitations, prohibits certain business combinations between us and an “interested stockholder” (defined generally as any person who beneficially owns 10% or more of the voting power of the common stock or an affiliate thereof) for five years after the most recent date on which the stockholder becomes an interested stockholder and, thereafter, imposes special minimum price provisions and special stockholder voting requirements on these combinations; and</w:t>
      </w:r>
    </w:p>
    <w:p>
      <w:pPr>
        <w:spacing w:after="0" w:line="85" w:lineRule="exact"/>
        <w:rPr>
          <w:rFonts w:ascii="Times New Roman" w:cs="Times New Roman" w:eastAsia="Times New Roman" w:hAnsi="Times New Roman"/>
          <w:sz w:val="18"/>
          <w:szCs w:val="18"/>
          <w:color w:val="auto"/>
        </w:rPr>
      </w:pPr>
    </w:p>
    <w:p>
      <w:pPr>
        <w:ind w:left="660" w:right="20" w:hanging="206"/>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Maryland Control Share Acquisition Act, which provides that “control shares” of a Maryland corporation (defined as shares of common stock which, when aggregated with other shares of common stock controlled by the stockholder, entitles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stockholders by the affirmative vote of at least two-thirds of all the votes entitled to be cast on the matter, excluding all interested shares of common stock.</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addition, the provisions of the Maryland Business Combination Act will not apply, however, if our board of directors adopts a resolution that any business combination between us and any other person will be exempt from the provisions of the Maryland Business Combination Act. Although our board of directors has adopted such a resolution, there can be no assurance that this resolution will not be altered or repealed in whole or in part at any time. If the resolution is altered or repealed, the provisions of the Maryland Business Combination Act may discourage others from trying to acquire control of us.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As permitted by Maryland law, our bylaws contain a provision exempting from the Maryland Control Share Acquisition Act any and all acquisitions by any person of our common stock. Although our bylaws include such a provision, such a provision may also be amended or eliminated by our board of directors at any time in the future, subject to obtaining confirmation from the SEC that it does not object to us being subject to the Maryland Control Share Acquisition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trade at a discount to our net asset value per share.</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Common stock of BDCs, as closed-end investment companies, frequently trade at a discount to net asset value. Our common stock has traded at a discount to our net asset value since shortly after our initial public offering. The risk that our common stock may continue to trade at a discount to our net asset value is separate and distinct from the risk that our net asset value per share may decline.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may incur dilution if we sell shares of our common stock in one or more offerings at prices below the then current net asset value per share of our common stock.</w:t>
      </w:r>
    </w:p>
    <w:p>
      <w:pPr>
        <w:spacing w:after="0" w:line="5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1940 Act prohibits us from selling shares of our common stock at a price below the current net asset value per share of such stock, with certain exceptions. One such exception is prior stockholder approval of issuances below net asset value provided that our board of directors makes certain determinations. At our 2014 annual meeting of stockholders, our stockholders approved 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70" w:right="239" w:bottom="1440" w:gutter="0" w:footer="0" w:header="0"/>
        </w:sectPr>
      </w:pPr>
    </w:p>
    <w:bookmarkStart w:id="40" w:name="page41"/>
    <w:bookmarkEnd w:id="40"/>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that authorizes us to sell shares of our common stock below the then current net asset value per share of our common stock at an offering price per share that is not less than 85% of the then current net asset value per share in one or more offerings for a period of one year ending on the earlier of September 30, 2015 or the date of our 2015 annual meeting of stockholders. Continued access to this exception will require approval of similar proposals at future stockholder meetings.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If we were to sell shares of our common stock below net asset value per share, such sales would result in an immediate dilution to the net asset value per share. This dilution would occur as a result of the sale of shares at a price below the then current net asset value per share of our common stock and a proportionately greater decrease in a stockholder’s interest in our earnings and assets and voting interest in us than the increase in our assets resulting from such issuance.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Because the number of shares of common stock that could be so issued and the timing of any issuance is not currently known, the actual dilutive effect cannot be predicted.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including our wholly owned subsidiaries. As a result, the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including indebtedness under the Credit Facility.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February 28, 2015, there was a $9.6 million outstanding balance under the Credit Facility and we had the ability to borrow up to $35.4 million under the Credit Facility, subject to certain conditions. As of February 28, 2015, we had $79.0 million in SBA-guaranteed debentures outstanding. The indebtedness under the Credit Facility and to SBA-guaranteed debentures is senior to the Notes to the extent of the value of the assets securing such indebtedness.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Notes are obligations exclusively of Saratoga Investment Corp., and not of any of our subsidiaries. None of our subsidiaries is a guarantor of the Notes and the Notes are not required to be guaranteed by any subsidiary we may acquire or create in the future. Any assets of our subsidiaries are not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subsidiaries and portfolio companies with respect to which we hold equity investments. In addition, our subsidiaries and these entities may incur substantial indebtedness in the future, all of which would be structurally senior to the Notes.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are issued contains limited protection for holders of the Notes.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are issued offers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ability to:</w:t>
      </w:r>
    </w:p>
    <w:p>
      <w:pPr>
        <w:spacing w:after="0" w:line="86" w:lineRule="exact"/>
        <w:rPr>
          <w:sz w:val="20"/>
          <w:szCs w:val="20"/>
          <w:color w:val="auto"/>
        </w:rPr>
      </w:pPr>
    </w:p>
    <w:p>
      <w:pPr>
        <w:ind w:left="660" w:hanging="206"/>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or the portfolio companies with respect to which we hold an equity investment that would be senior to our equity interests in those entities and therefore rank structurally senior to the Notes with respect to the assets of these entities, in each case other than an incurrence of indebtedness or other obligation that would cause a violation of Section 18(a)(1)(A) as modified by Section 61(a)(1) of the 1940 Act or any successor provisions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270" w:right="299" w:bottom="1440" w:gutter="0" w:footer="0" w:header="0"/>
        </w:sectPr>
      </w:pPr>
    </w:p>
    <w:bookmarkStart w:id="41" w:name="page42"/>
    <w:bookmarkEnd w:id="41"/>
    <w:p>
      <w:pPr>
        <w:jc w:val="both"/>
        <w:ind w:left="6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we are subject thereto),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82" w:lineRule="exact"/>
        <w:rPr>
          <w:sz w:val="20"/>
          <w:szCs w:val="20"/>
          <w:color w:val="auto"/>
        </w:rPr>
      </w:pPr>
    </w:p>
    <w:p>
      <w:pPr>
        <w:ind w:left="660" w:hanging="206"/>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as modified by Section 61(a)(1) of the 1940 Act or any successor provisions, but giving effect to any exemptive relief granted to us by the SEC or no-action letter granted by the SEC to another BDC (or the Company if it determines to seek such similar no-action or other relief) permitting the BDC to declare any cash dividend or distribution in order to maintain the BDC’s RIC status.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9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indenture does not require us to offer to purchase the Notes in connection with a change of control or any other event.</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For example, the indenture under which the Notes are issued does not contain cross-default provisions that are contained in the Credit Facility. The issuance or incurrence of any such debt with incremental protections could affect the market for and trading levels and prices of the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 which could limit your ability to sell the Notes or the market price of the Notes.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Notes are listed on the NYSE under the symbol ‘‘SAQ.’’ We cannot provide any assurances that an active trading market will develop or be maintained for the Notes or that you will be able to sell your Notes. If the Notes are traded after their initial issuance, they may trade at a discount from their initial offering price depending on prevailing interest rates, the market for similar securities, our credit ratings, if any, general economic conditions, our financial condition, performance and prospects and other factors. The underwriters involved in the offering of the Notes have advised us that they intend to make a market in the Notes, but they are not obligated to do so. The underwriters may discontinue any market-making in the Notes at any time at their sole discretion.</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270"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may choose to redeem the Notes when prevailing interest rates are relatively low.</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or after May 31, 2016, we may choose to redeem the Notes from time to time, especially when prevailing interests rates are lower than the rate borne by the Notes. If prevailing rates are lower at the time of redemption, you would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the Credit Facility or other indebtedness to which we may be a party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including the Notes. In the event of such default, the holders of such indebtedness could elect to declare all the funds borrowed thereunder to be due and payable, together with accrued and unpaid interest, the lender under the Credit Facility or other debt we may incur in the future could elect to terminate its commitment, cease making further loans and institute foreclosure proceedings against our assets, and we could be forced into bankruptcy or liquidation. In addition, any such default may constitute a default under the Notes, which could further limit our ability to repay our debt, including the Notes. If our operating performance declines, we may in the future need to seek to obtain waivers from the lender under the Credit Facility or other debt that we may incur in the future to avoid being in default. If we breach our covenants under the Credit Facility or other debt and seek a waiver, we may not be able to obtain a waiver from the required lenders. If this occurs, we would be in default under the Credit Facility or other debt, the lender could exercise its rights as described above, and we could be forced into bankruptcy or liquidation. If we are unable to repay debt, lenders having secured obligations could proceed against the collateral securing the debt. Because the Credit Facility has, and any future credit facilities will likely have, customary cross-default provisions, if the indebtedness under the Notes, the Credit Facility or under any future credit facility is accelerated, we may be unable to repay or finance the amounts due.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do not own any real estate or other physical properties important to our operations, however, an affiliate of our investment adviser leases office space for our executive offices at 535 Madison Avenue, New York, New York 10022.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40"/>
        <w:spacing w:after="0" w:line="252" w:lineRule="auto"/>
        <w:rPr>
          <w:sz w:val="20"/>
          <w:szCs w:val="20"/>
          <w:color w:val="auto"/>
        </w:rPr>
      </w:pPr>
      <w:r>
        <w:rPr>
          <w:rFonts w:ascii="Times New Roman" w:cs="Times New Roman" w:eastAsia="Times New Roman" w:hAnsi="Times New Roman"/>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8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66" w:right="2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right="214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Price range of common stock</w:t>
      </w: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“SAR.” Prior to July 30, 2010, our common stock traded on the New York Stock Exchange under the symbol “GNV.” The following table sets forth, for the two most recent fiscal years and the current fiscal year, the range of high and low sales prices of our common stock as reported on the New York Stock Exchange, the sales price as a percentage of our net asset value (“NAV”) and the dividends declared by us for each fiscal quarter. The net asset value per share and high and low sales prices listed below reflect the 1:10 reverse stock split that occurred on August 12, 2010.</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ended February 28, 2014</w:t>
            </w:r>
          </w:p>
        </w:tc>
        <w:tc>
          <w:tcPr>
            <w:tcW w:w="24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NAV(1)</w:t>
            </w:r>
          </w:p>
        </w:tc>
        <w:tc>
          <w:tcPr>
            <w:tcW w:w="80" w:type="dxa"/>
            <w:vAlign w:val="bottom"/>
          </w:tcPr>
          <w:p>
            <w:pPr>
              <w:spacing w:after="0"/>
              <w:rPr>
                <w:sz w:val="16"/>
                <w:szCs w:val="16"/>
                <w:color w:val="auto"/>
              </w:rPr>
            </w:pPr>
          </w:p>
        </w:tc>
        <w:tc>
          <w:tcPr>
            <w:tcW w:w="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4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w:t>
            </w:r>
          </w:p>
        </w:tc>
        <w:tc>
          <w:tcPr>
            <w:tcW w:w="2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$23.48</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$19.08</w:t>
            </w: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$16.35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$23.55</w:t>
            </w: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$18.70</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$20.39</w:t>
            </w:r>
          </w:p>
        </w:tc>
        <w:tc>
          <w:tcPr>
            <w:tcW w:w="102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$19.55</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$15.40</w:t>
            </w:r>
          </w:p>
        </w:tc>
      </w:t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$21.08</w:t>
            </w: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$16.56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$15.25</w:t>
            </w:r>
          </w:p>
        </w:tc>
      </w:tr>
      <w:tr>
        <w:trPr>
          <w:trHeight w:val="393"/>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ended February 28, 2015</w:t>
            </w:r>
          </w:p>
        </w:tc>
        <w:tc>
          <w:tcPr>
            <w:tcW w:w="248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NAV(1)</w:t>
            </w:r>
          </w:p>
        </w:tc>
        <w:tc>
          <w:tcPr>
            <w:tcW w:w="80" w:type="dxa"/>
            <w:vAlign w:val="bottom"/>
          </w:tcPr>
          <w:p>
            <w:pPr>
              <w:spacing w:after="0"/>
              <w:rPr>
                <w:sz w:val="24"/>
                <w:szCs w:val="24"/>
                <w:color w:val="auto"/>
              </w:rPr>
            </w:pPr>
          </w:p>
        </w:tc>
        <w:tc>
          <w:tcPr>
            <w:tcW w:w="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4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w:t>
            </w:r>
          </w:p>
        </w:tc>
        <w:tc>
          <w:tcPr>
            <w:tcW w:w="2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$21.41</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$15.91</w:t>
            </w: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$15.05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$22.00</w:t>
            </w: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$16.26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4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$22.45</w:t>
            </w:r>
          </w:p>
        </w:tc>
        <w:tc>
          <w:tcPr>
            <w:tcW w:w="102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$16.32</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w:t>
            </w:r>
          </w:p>
        </w:tc>
      </w:t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$22.70</w:t>
            </w:r>
          </w:p>
        </w:tc>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$15.84</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$14.44</w:t>
            </w:r>
          </w:p>
        </w:tc>
      </w:tr>
      <w:tr>
        <w:trPr>
          <w:trHeight w:val="393"/>
        </w:trPr>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February 28, 2016</w:t>
            </w: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NAV(1)</w:t>
            </w:r>
          </w:p>
        </w:tc>
        <w:tc>
          <w:tcPr>
            <w:tcW w:w="80" w:type="dxa"/>
            <w:vAlign w:val="bottom"/>
          </w:tcPr>
          <w:p>
            <w:pPr>
              <w:spacing w:after="0"/>
              <w:rPr>
                <w:sz w:val="24"/>
                <w:szCs w:val="24"/>
                <w:color w:val="auto"/>
              </w:rPr>
            </w:pPr>
          </w:p>
        </w:tc>
        <w:tc>
          <w:tcPr>
            <w:tcW w:w="9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4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 through May 19, 2015</w:t>
            </w:r>
          </w:p>
        </w:tc>
        <w:tc>
          <w:tcPr>
            <w:tcW w:w="2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$17.95</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$15.28</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determinable at the time of filing.</w:t>
      </w:r>
    </w:p>
    <w:p>
      <w:pPr>
        <w:spacing w:after="0" w:line="27" w:lineRule="exact"/>
        <w:rPr>
          <w:sz w:val="20"/>
          <w:szCs w:val="20"/>
          <w:color w:val="auto"/>
        </w:rPr>
      </w:pPr>
    </w:p>
    <w:p>
      <w:pPr>
        <w:ind w:left="460" w:right="60" w:hanging="452"/>
        <w:spacing w:after="0" w:line="261"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each period.</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and notes thereto, we identified errors that impacted the years ended February 28, 2014, February 28, 2013, February 29, 2012 and February 28, 2011. The corrections for the errors, which we have concluded are immaterial to all prior period consolidated financial statements, are reflected in the consolidated financial statements and selected financial data included in this Form 10-K.</w:t>
      </w:r>
    </w:p>
    <w:p>
      <w:pPr>
        <w:spacing w:after="0" w:line="176"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February 28, 2015, the Company had not purchased any shares of common stock pursuant to this repurchase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last reported price for our common stock on May 19, 2015 was $17.80 per share. As of May 19, 2015, there were 22 holders of record of our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6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Policy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dividends or distributions declared during fiscal 2009, 2010, 2011, 2012, 2013, 2014 and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220" w:type="dxa"/>
            <w:vAlign w:val="bottom"/>
            <w:vMerge w:val="restart"/>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80" w:type="dxa"/>
            <w:vAlign w:val="bottom"/>
          </w:tcPr>
          <w:p>
            <w:pPr>
              <w:spacing w:after="0"/>
              <w:rPr>
                <w:sz w:val="13"/>
                <w:szCs w:val="13"/>
                <w:color w:val="auto"/>
              </w:rPr>
            </w:pPr>
          </w:p>
        </w:tc>
        <w:tc>
          <w:tcPr>
            <w:tcW w:w="14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380" w:type="dxa"/>
            <w:vAlign w:val="bottom"/>
          </w:tcPr>
          <w:p>
            <w:pPr>
              <w:spacing w:after="0"/>
              <w:rPr>
                <w:sz w:val="13"/>
                <w:szCs w:val="13"/>
                <w:color w:val="auto"/>
              </w:rPr>
            </w:pPr>
          </w:p>
        </w:tc>
        <w:tc>
          <w:tcPr>
            <w:tcW w:w="8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1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22, 2008</w:t>
            </w:r>
          </w:p>
        </w:tc>
        <w:tc>
          <w:tcPr>
            <w:tcW w:w="9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30, 2008</w:t>
            </w:r>
          </w:p>
        </w:tc>
        <w:tc>
          <w:tcPr>
            <w:tcW w:w="3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13, 2008</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19, 2008</w:t>
            </w:r>
          </w:p>
        </w:tc>
        <w:tc>
          <w:tcPr>
            <w:tcW w:w="24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August 29, 2008</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8"/>
              </w:rPr>
              <w:t>September 15, 2008</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8, 2008</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December 18, 2008</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29, 2008</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2009</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 2009</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November 25, 2009</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31, 2009</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2010</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2010</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November 19, 2010</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29, 2010</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2011</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15, 2011</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November 25, 2011</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30, 2011</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2012</w:t>
            </w: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9, 2012</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November 20, 2012</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31, 2012</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2013</w:t>
            </w: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30, 2013</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November 13, 2013</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December 27, 2013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2014</w:t>
            </w: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24, 2014</w:t>
            </w:r>
          </w:p>
        </w:tc>
        <w:tc>
          <w:tcPr>
            <w:tcW w:w="24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October 30, 2014</w:t>
            </w:r>
          </w:p>
        </w:tc>
        <w:tc>
          <w:tcPr>
            <w:tcW w:w="1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November 28, 2014</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24, 2014</w:t>
            </w:r>
          </w:p>
        </w:tc>
        <w:tc>
          <w:tcPr>
            <w:tcW w:w="24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January 29, 2015</w:t>
            </w:r>
          </w:p>
        </w:tc>
        <w:tc>
          <w:tcPr>
            <w:tcW w:w="1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February 27, 2015</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 for Fiscal 2015</w:t>
            </w: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0" w:hanging="452"/>
        <w:spacing w:after="0" w:line="28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dividend was paid by combination of shares of common stock and cash. Please see the discussion immediately following this table for more detail about the composition of this dividend.</w:t>
      </w:r>
    </w:p>
    <w:p>
      <w:pPr>
        <w:spacing w:after="0" w:line="16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distributions, if any, will be determined by our board of directors and paid out of assets legally available for distribution. Any such distributions generally will be taxable to our stockholders, including to those stockholders who receive additional shares of our common stock pursuant to our dividend reinvestment plan. Prior to January 2009, we paid quarterly dividends to our stockholders. However, in January 2009, we suspended the practice of paying quarterly dividends to our stockholders and thereafter, paid five annual dividend distributions (December 2013, 2012, 2011, 2010 and 2009) to our stockholders since such time, which distributions were made with a combination of cash and the issuance of shares of our common stock as discussed more fully below.</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September 24, 2014, we announced the recommencement of quarterly dividends to our stockholders, and have subsequently made two distributions under this new policy. 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88"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We are prohibited from making distributions that cause us to fail to maintain the asset coverage ratios stipulated by the 1940 Act, subject to certain exceptions, or that violate our debt covenants.</w:t>
      </w:r>
    </w:p>
    <w:p>
      <w:pPr>
        <w:spacing w:after="0" w:line="162"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In order to maintain our qualification as a RIC, we must for each fiscal year distribute an amount equal to at least 90.0% of our ordinary net taxable income and realized net short-term capital gains in excess of realized net long-term capital losses, if any, reduced by deductible expenses. In addition, we will be subject to federal excise taxes to the extent we do not distribute during the calendar year at least (1) 98.0% of our ordinary income for the calendar year,</w:t>
      </w:r>
    </w:p>
    <w:p>
      <w:pPr>
        <w:spacing w:after="0" w:line="2" w:lineRule="exact"/>
        <w:rPr>
          <w:sz w:val="20"/>
          <w:szCs w:val="20"/>
          <w:color w:val="auto"/>
        </w:rPr>
      </w:pPr>
    </w:p>
    <w:p>
      <w:pPr>
        <w:ind w:right="80" w:firstLine="8"/>
        <w:spacing w:after="0" w:line="253"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gains in excess of capital losses for the one year period ending on October 31 of the calendar year and (3) any ordinary income and net capital gains for preceding years that were not distributed during such years and on which we paid no federal income tax. For the 2014 calendar year, the Company made distributions sufficient such that we did not incur any federal excise taxes. We may elect to withhold from distribution a portion of our ordinary income for the 2015 calendar year and/or portion of the capital gains in excess of capital losses realized during the one year period ending October 31, 2015, if any, and, if we do so, we would expect to incur federal excise taxes as a result.</w:t>
      </w:r>
    </w:p>
    <w:p>
      <w:pPr>
        <w:spacing w:after="0" w:line="187"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Pursuant to a revenue procedure (Revenue Procedure 2010-12), or the Revenue Procedure, issued by the Internal Revenue Service, or IRS, the IRS indicated that it would treat distributions from certain publicly traded RICs (including BDCs) that were paid part in cash and part in stock as dividends that would satisfy the RIC’s annual distribution requirements and qualify for the dividends paid deduction for federal income tax purposes. In order to qualify for such treatment, the Revenue Procedure required that at least 10.0% of the total distribution be payable in cash and that each stockholder have a right to elect to receive its entire distribution in cash. If too many stockholders elected to receive cash, each stockholder electing to receive cash must receive a proportionate share of the cash to be distributed (although no stockholder electing to receive cash may receive less than 10.0% of such stockholder’s distribution in cash). This Revenue Procedure applied to distributions declared on or before December 31, 2012 with respect to taxable years ending on or before December 31, 2011.</w:t>
      </w:r>
    </w:p>
    <w:p>
      <w:pPr>
        <w:sectPr>
          <w:pgSz w:w="11900" w:h="16838" w:orient="portrait"/>
          <w:cols w:equalWidth="0" w:num="1">
            <w:col w:w="11360"/>
          </w:cols>
          <w:pgMar w:left="240" w:top="266" w:right="299" w:bottom="1440" w:gutter="0" w:footer="0" w:header="0"/>
        </w:sectPr>
      </w:pP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60"/>
          </w:cols>
          <w:pgMar w:left="240" w:top="266" w:right="299" w:bottom="1440" w:gutter="0" w:footer="0" w:header="0"/>
          <w:type w:val="continuous"/>
        </w:sectPr>
      </w:pPr>
    </w:p>
    <w:bookmarkStart w:id="45" w:name="page46"/>
    <w:bookmarkEnd w:id="45"/>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this Revenue Procedure is no longer available and did not apply to our distributions for our fiscal year ended February 28, 2015, the revenue procedure was based upon certain applicable provisions of the Code and the Treasury regulations pursuant to which distributions payable in cash or in shares of stock at the election of stockholders are treated as taxable dividends. Consistent with these provisions, the IRS has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8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On September 24, 2014, our board of directors declared a dividend of $0.22 per share payable on February 27, 2015, to common stockholders of record on February 2, 2015. Shareholders have the option to receive payment of the dividend in cash, or receive shares of common stock, pursuant our DRIP.</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0"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2014, our board of directors declared a dividend of $0.18 per share payable on November 28, 2014, to common stockholders of record on November 3, 2014. Shareholders had the option to receive payment of the dividend in cash, or receive shares of common stock pursuant to our DRIP.</w:t>
      </w:r>
    </w:p>
    <w:p>
      <w:pPr>
        <w:spacing w:after="0" w:line="17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8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4"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$13.12 per share, which equaled the volume weighted average trading price per share of the common stock on December 20, 21 and 22, 2011.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0" w:right="259" w:bottom="1440" w:gutter="0" w:footer="0" w:header="0"/>
        </w:sectPr>
      </w:pPr>
    </w:p>
    <w:bookmarkStart w:id="46" w:name="page47"/>
    <w:bookmarkEnd w:id="46"/>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November 12, 2010, we declared a dividend of $4.40 per share which was paid on December 29, 2010. Stockholders had the option to receive payment of the dividend in cash, shares of common stock, or a combination of cash and shares of common stock, provided that the aggregate cash payable to all shareholders was limited to $1.2 million or $0.44 per share.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November 13, 2009, we declared a dividend of $18.25 per share payable on December 31, 2009. Stockholders had the option to receive payment of the dividend in cash, shares of common stock, or a combination of cash and shares of common stock, provided that the aggregate cash payable to all stockholders was limited to $2.1 million or $0.25 per share.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stockholder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stockholders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return on our common stock with that of the Standard &amp; Poor’s 500 Stock Index and the NASDAQ Financial 100 index, for the period from March 23, 2007, the date our common stock began trading, through February 28, 2015. The graph assumes that, on March 23, 2007, a person invested $100 in each of our common stock, the Standard &amp; Poor’s 500 Stock Index and the NASDAQ Financial 100 index. The graph measures total shareholder return, which takes into account both changes in stock price and dividends. It assumes that dividends paid are reinvested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145415</wp:posOffset>
            </wp:positionV>
            <wp:extent cx="5394325" cy="2392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432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purchase any shares of our common stock in the open market during the year ended February 28, 2015.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70"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Selected Financial Data</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following selected financial and other data for the years ended February 28, 2015, February 28, 2014, February 28, 2013, February 29, 2012 and February 28, 2011 are derived from our consolidated financial statements which have been audited by Ernst &amp; Young LLP, an independent registered public accounting firm, whose report thereon is included within this Annual Report. The data should be read in conjunction with our consolidated financial statements and notes thereto, which are included elsewhere in this Annual Report, and Part II, Item 7, “Management’s Discussion and Analysis of Financial Condition and Results of Operations”.</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and notes thereto, we identified errors that impacted the years ended February 28, 2014, February 28, 2013, February 29, 2012 and February 28, 2011. The corrections for the errors, which we have concluded are immaterial to all prior period consolidated financial statements, are reflected in the consolidated financial statements and selected financial data included in this Form 10-K.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numbers)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29,</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Statement Data:</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related portfolio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24,684</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20,179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14,444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12,041</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 fee and other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2,714</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2,563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interest and related portfolio income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22,893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14,173</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debt financing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6,084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Base management and incentive management fees(1)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4,266</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4,710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Administrator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and other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Excise tax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reimbursement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 after reimbursements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14,019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gain (loss) on investments and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realized gain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(24,684)</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unrealized gain (loss)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7,012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36,393</w:t>
            </w: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gain (loss)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11,007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8,497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14,044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16,731</w:t>
            </w:r>
          </w:p>
        </w:tc>
      </w:tr>
      <w:tr>
        <w:trPr>
          <w:trHeight w:val="20"/>
        </w:trPr>
        <w:tc>
          <w:tcPr>
            <w:tcW w:w="5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3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50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8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8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29,</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0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5"/>
                <w:szCs w:val="15"/>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share—basic and diluted(2)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realized and unrealized gain (loss) per share—basic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 (3)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Dilutive impact of dividends paid in stock on net asset value per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 Data:</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assets at fair value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240,538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205,845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155,080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95,360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80,025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(5)</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263,560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124,291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97,130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outstanding (5)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94,291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58,210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122,599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85,845</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end of year</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5,401,899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5,379,616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4,730,116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3,876,661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3,277,077</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funded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104,872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121,074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71,596</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collections related to investment repayments or 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73,257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71,607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21,488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33,568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31,975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Number of investments at year end</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r>
      <w:tr>
        <w:trPr>
          <w:trHeight w:val="198"/>
        </w:trPr>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income producing debt investments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—Non-control/non-affiliate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on income producing debt investments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w:t>
            </w: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 in consolidated financial statements contained elsewhere herein.</w:t>
      </w:r>
    </w:p>
    <w:p>
      <w:pPr>
        <w:spacing w:after="0" w:line="27"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February 28, 2015, February 28, 2014, February 28, 2013, February 29, 2012, and February 28, 2011 amounts are calculated using weighted average common shares outstanding of 5,385,049, 4,920,517, 4,110,484, 3,434,345, and 2,437,577, respectively.</w:t>
      </w: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shares outstanding at ex-dividend date.</w:t>
      </w:r>
    </w:p>
    <w:p>
      <w:pPr>
        <w:spacing w:after="0" w:line="9"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effect of the issuance of shares of common stock below net asset value per share in connection with the satisfaction of the Company’s annual RIC distribution requirement. See “Price Range of Common Stock and Distributions—Dividend Policy.”</w:t>
      </w:r>
    </w:p>
    <w:p>
      <w:pPr>
        <w:ind w:left="460" w:right="40" w:hanging="452"/>
        <w:spacing w:after="0" w:line="25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to the consolidated financial statements and notes thereto, the Company has adopted the provisions of ASU 2015-03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Imputation of Interest (Subtopic 835-30): Simplifying the Presentation of Debt Issuance Costs</w:t>
      </w:r>
      <w:r>
        <w:rPr>
          <w:rFonts w:ascii="Times New Roman" w:cs="Times New Roman" w:eastAsia="Times New Roman" w:hAnsi="Times New Roman"/>
          <w:sz w:val="18"/>
          <w:szCs w:val="18"/>
          <w:color w:val="auto"/>
        </w:rPr>
        <w:t>, as of February 28, 2015. The amendements in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that debt issuance costs related to a recognized debt liability be presented in the balance sheet as a direct deduction from the carrying amount of that debt liability consistent with debt discounts. The adoption of the provisions of ASU 2015-03 did not materially impact the Company’s consolidated financial position or results of operations. Prior period amounts for the years ended February 28, 2015, February 28, 2014, February 28, 2013, February 29, 2012, and February 28, 2011 were reclassified to conform to the current period presentation.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51"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7. Management’s Discussion and Analysis of Financial Condition and Results of Operations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financial statements and related notes and other financial information appearing elsewhere in this Annual Report on Form 10-K.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Part I, Item 1A “Risk Factors” and “Note about Forward-Looking Statements” appearing elsewhere herein.</w:t>
      </w:r>
    </w:p>
    <w:p>
      <w:pPr>
        <w:spacing w:after="0" w:line="180"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involve risks and uncertainties, including statements as to:</w:t>
      </w:r>
    </w:p>
    <w:p>
      <w:pPr>
        <w:spacing w:after="0" w:line="131" w:lineRule="exact"/>
        <w:rPr>
          <w:sz w:val="20"/>
          <w:szCs w:val="20"/>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130" w:lineRule="exact"/>
        <w:rPr>
          <w:rFonts w:ascii="Times New Roman" w:cs="Times New Roman" w:eastAsia="Times New Roman" w:hAnsi="Times New Roman"/>
          <w:sz w:val="18"/>
          <w:szCs w:val="18"/>
          <w:color w:val="auto"/>
        </w:rPr>
      </w:pPr>
    </w:p>
    <w:p>
      <w:pPr>
        <w:ind w:left="660" w:right="360" w:hanging="206"/>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The forward-looking statements made in this Annual Report on Form 10-K relate only to events as of the date on which the statements are made. We undertake no obligation to update any forward-looking statement to reflect events or circumstances occurring after the date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 and Recent Developments</w:t>
      </w:r>
    </w:p>
    <w:p>
      <w:pPr>
        <w:spacing w:after="0" w:line="121"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266" w:right="23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76"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In January 2011, we registered for public resale the 982,842 shares of our common stock issued to Saratoga Investment Advisors and certain of its affiliates.</w:t>
      </w:r>
    </w:p>
    <w:p>
      <w:pPr>
        <w:spacing w:after="0" w:line="162"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On March 28, 2012, our wholly-owned subsidiary, Saratoga Investment Corp. SBIC, LP (“SBIC LP”), received a SBIC license from the Small Business Administration (“SBA”).</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investments at fair value in accordance with the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p>
      <w:pPr>
        <w:jc w:val="both"/>
        <w:ind w:right="12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8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undertake a multi-step valuation process each quarter when valuing investments for which market quotations are not readily available, as described below:</w:t>
      </w:r>
    </w:p>
    <w:p>
      <w:pPr>
        <w:spacing w:after="0" w:line="67" w:lineRule="exact"/>
        <w:rPr>
          <w:sz w:val="20"/>
          <w:szCs w:val="20"/>
          <w:color w:val="auto"/>
        </w:rPr>
      </w:pPr>
    </w:p>
    <w:p>
      <w:pPr>
        <w:ind w:left="660" w:right="740" w:hanging="206"/>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67" w:lineRule="exact"/>
        <w:rPr>
          <w:rFonts w:ascii="Times New Roman" w:cs="Times New Roman" w:eastAsia="Times New Roman" w:hAnsi="Times New Roman"/>
          <w:sz w:val="18"/>
          <w:szCs w:val="18"/>
          <w:color w:val="auto"/>
        </w:rPr>
      </w:pPr>
    </w:p>
    <w:p>
      <w:pPr>
        <w:ind w:left="660" w:right="80" w:hanging="206"/>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all our investments are subject to the following valuation process:</w:t>
      </w:r>
    </w:p>
    <w:p>
      <w:pPr>
        <w:spacing w:after="0" w:line="131" w:lineRule="exact"/>
        <w:rPr>
          <w:sz w:val="20"/>
          <w:szCs w:val="20"/>
          <w:color w:val="auto"/>
        </w:rPr>
      </w:pPr>
    </w:p>
    <w:p>
      <w:pPr>
        <w:ind w:left="660" w:right="40" w:hanging="206"/>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67" w:lineRule="exact"/>
        <w:rPr>
          <w:rFonts w:ascii="Times New Roman" w:cs="Times New Roman" w:eastAsia="Times New Roman" w:hAnsi="Times New Roman"/>
          <w:sz w:val="18"/>
          <w:szCs w:val="18"/>
          <w:color w:val="auto"/>
        </w:rPr>
      </w:pPr>
    </w:p>
    <w:p>
      <w:pPr>
        <w:ind w:left="660" w:right="680" w:hanging="206"/>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Recognition</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70" w:right="259" w:bottom="1440" w:gutter="0" w:footer="0" w:header="0"/>
        </w:sectPr>
      </w:pPr>
    </w:p>
    <w:bookmarkStart w:id="52" w:name="page53"/>
    <w:bookmarkEnd w:id="52"/>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income on our investment in Saratoga CLO is recorded using the effective interest method in accordance with the provisions of ASC Topic 325-40, </w:t>
      </w:r>
      <w:r>
        <w:rPr>
          <w:rFonts w:ascii="Times New Roman" w:cs="Times New Roman" w:eastAsia="Times New Roman" w:hAnsi="Times New Roman"/>
          <w:sz w:val="18"/>
          <w:szCs w:val="18"/>
          <w:i w:val="1"/>
          <w:iCs w:val="1"/>
          <w:color w:val="auto"/>
        </w:rPr>
        <w:t>Investments-Other, Beneficial Interests in Securitized Financial Assets</w:t>
      </w:r>
      <w:r>
        <w:rPr>
          <w:rFonts w:ascii="Times New Roman" w:cs="Times New Roman" w:eastAsia="Times New Roman" w:hAnsi="Times New Roman"/>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Paid-in-Kind Interest</w:t>
      </w:r>
    </w:p>
    <w:p>
      <w:pPr>
        <w:spacing w:after="0" w:line="119" w:lineRule="exact"/>
        <w:rPr>
          <w:sz w:val="20"/>
          <w:szCs w:val="20"/>
          <w:color w:val="auto"/>
        </w:rPr>
      </w:pPr>
    </w:p>
    <w:p>
      <w:pPr>
        <w:ind w:right="220" w:firstLine="456"/>
        <w:spacing w:after="0" w:line="289" w:lineRule="auto"/>
        <w:rPr>
          <w:sz w:val="20"/>
          <w:szCs w:val="20"/>
          <w:color w:val="auto"/>
        </w:rPr>
      </w:pPr>
      <w:r>
        <w:rPr>
          <w:rFonts w:ascii="Times New Roman" w:cs="Times New Roman" w:eastAsia="Times New Roman" w:hAnsi="Times New Roman"/>
          <w:sz w:val="17"/>
          <w:szCs w:val="17"/>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Incentive Fee</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86" w:lineRule="exact"/>
        <w:rPr>
          <w:sz w:val="20"/>
          <w:szCs w:val="20"/>
          <w:color w:val="auto"/>
        </w:rPr>
      </w:pPr>
    </w:p>
    <w:p>
      <w:pPr>
        <w:ind w:left="660" w:hanging="206"/>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130" w:lineRule="exact"/>
        <w:rPr>
          <w:rFonts w:ascii="Times New Roman" w:cs="Times New Roman" w:eastAsia="Times New Roman" w:hAnsi="Times New Roman"/>
          <w:sz w:val="18"/>
          <w:szCs w:val="18"/>
          <w:color w:val="auto"/>
        </w:rPr>
      </w:pPr>
    </w:p>
    <w:p>
      <w:pPr>
        <w:ind w:left="5620" w:right="3600" w:hanging="5166"/>
        <w:spacing w:after="0" w:line="454" w:lineRule="auto"/>
        <w:tabs>
          <w:tab w:leader="none" w:pos="6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 52</w:t>
      </w:r>
    </w:p>
    <w:p>
      <w:pPr>
        <w:sectPr>
          <w:pgSz w:w="11900" w:h="16838" w:orient="portrait"/>
          <w:cols w:equalWidth="0" w:num="1">
            <w:col w:w="11420"/>
          </w:cols>
          <w:pgMar w:left="240" w:top="270" w:right="239" w:bottom="1440" w:gutter="0" w:footer="0" w:header="0"/>
        </w:sectPr>
      </w:pPr>
    </w:p>
    <w:bookmarkStart w:id="53" w:name="page54"/>
    <w:bookmarkEnd w:id="53"/>
    <w:p>
      <w:pPr>
        <w:ind w:left="660" w:right="80" w:hanging="206"/>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if any, incurred to finance our investments;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of our common stock and other securities;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including agents, consultants or other advisers, relating to, or associated with, evaluating and making investments;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common stock on any securities exchange;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governmental bodies (including the SEC and the SBA);</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common stockholders including printing costs;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 directors and officers 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660" w:right="300" w:hanging="206"/>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67" w:lineRule="exact"/>
        <w:rPr>
          <w:rFonts w:ascii="Times New Roman" w:cs="Times New Roman" w:eastAsia="Times New Roman" w:hAnsi="Times New Roman"/>
          <w:sz w:val="18"/>
          <w:szCs w:val="18"/>
          <w:color w:val="auto"/>
        </w:rPr>
      </w:pPr>
    </w:p>
    <w:p>
      <w:pPr>
        <w:ind w:left="660" w:right="40" w:hanging="206"/>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had two parts:</w:t>
      </w:r>
    </w:p>
    <w:p>
      <w:pPr>
        <w:spacing w:after="0" w:line="131" w:lineRule="exact"/>
        <w:rPr>
          <w:sz w:val="20"/>
          <w:szCs w:val="20"/>
          <w:color w:val="auto"/>
        </w:rPr>
      </w:pPr>
    </w:p>
    <w:p>
      <w:pPr>
        <w:ind w:left="660" w:hanging="206"/>
        <w:spacing w:after="0" w:line="25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3" w:lineRule="exact"/>
        <w:rPr>
          <w:rFonts w:ascii="Times New Roman" w:cs="Times New Roman" w:eastAsia="Times New Roman" w:hAnsi="Times New Roman"/>
          <w:sz w:val="18"/>
          <w:szCs w:val="18"/>
          <w:color w:val="auto"/>
        </w:rPr>
      </w:pPr>
    </w:p>
    <w:p>
      <w:pPr>
        <w:jc w:val="both"/>
        <w:ind w:left="660" w:right="200" w:hanging="206"/>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70" w:right="2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deferred cash payment of any incentive fee otherwise earned by our former investment adviser if, during the then most recent four full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quarters ending on or prior to the date such payment was to be made, the sum of (a) our aggregate distributions to our stockholders and (b) our change in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(defined as total assets less liabilities) (before taking into account any incentive fees payable during that period) was less than 7.5% of our net assets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beginning of such period. These calculations were appropriately pro-rated for the first three fiscal quarters of operation and adjusted for any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issuances or repurchases during the applicable period. Such incentive fee would become payable on the next date on which such test had been satisfied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four full fiscal quarters or upon certain terminations of the investment advisory and management agreement. We commenced deferring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incentive fees during the quarterly period ended August 31, 2007, and continued to defer such payments through the quarterly period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2010. As of July 30, 2010, the date on which GSCP (NJ), L.P. ceased to be our investment adviser and administrator, we owed GSCP (NJ),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in fees for services previously provided to us; of which $0.3 million has been paid by us. GSCP (NJ), L.P. agreed to waive payment by us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$2.6 million in connection with the consummation of the stock purchase transaction with Saratoga Investment Advisors and certain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elsewhere in this Annual Report.</w:t>
      </w:r>
    </w:p>
    <w:p>
      <w:pPr>
        <w:spacing w:after="0" w:line="207"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2" w:lineRule="exact"/>
        <w:rPr>
          <w:sz w:val="20"/>
          <w:szCs w:val="20"/>
          <w:color w:val="auto"/>
        </w:rPr>
      </w:pPr>
    </w:p>
    <w:p>
      <w:pPr>
        <w:ind w:left="660" w:right="140" w:hanging="206"/>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93" w:lineRule="exact"/>
        <w:rPr>
          <w:rFonts w:ascii="Times New Roman" w:cs="Times New Roman" w:eastAsia="Times New Roman" w:hAnsi="Times New Roman"/>
          <w:sz w:val="18"/>
          <w:szCs w:val="18"/>
          <w:color w:val="auto"/>
        </w:rPr>
      </w:pPr>
    </w:p>
    <w:p>
      <w:pPr>
        <w:ind w:left="660" w:right="20" w:hanging="206"/>
        <w:spacing w:after="0" w:line="25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3"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Consolidation (ASC Topic 810): Amendments to the Consolidation Analysis</w:t>
      </w:r>
      <w:r>
        <w:rPr>
          <w:rFonts w:ascii="Times New Roman" w:cs="Times New Roman" w:eastAsia="Times New Roman" w:hAnsi="Times New Roman"/>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8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70" w:right="239" w:bottom="1440" w:gutter="0" w:footer="0" w:header="0"/>
        </w:sectPr>
      </w:pPr>
    </w:p>
    <w:bookmarkStart w:id="55" w:name="page56"/>
    <w:bookmarkEnd w:id="55"/>
    <w:p>
      <w:pPr>
        <w:ind w:firstLine="456"/>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June 2014, the FASB issued ASU 2014-11, </w:t>
      </w:r>
      <w:r>
        <w:rPr>
          <w:rFonts w:ascii="Times New Roman" w:cs="Times New Roman" w:eastAsia="Times New Roman" w:hAnsi="Times New Roman"/>
          <w:sz w:val="18"/>
          <w:szCs w:val="18"/>
          <w:i w:val="1"/>
          <w:iCs w:val="1"/>
          <w:color w:val="auto"/>
        </w:rPr>
        <w:t>Repurchase-to-Maturity Transactions, Repurchase Financings, and Disclosures,</w:t>
      </w:r>
      <w:r>
        <w:rPr>
          <w:rFonts w:ascii="Times New Roman" w:cs="Times New Roman" w:eastAsia="Times New Roman" w:hAnsi="Times New Roman"/>
          <w:sz w:val="18"/>
          <w:szCs w:val="18"/>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Company’s consolidated financial statement disclosures.</w:t>
      </w:r>
    </w:p>
    <w:p>
      <w:pPr>
        <w:spacing w:after="0" w:line="180"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w:t>
      </w:r>
      <w:r>
        <w:rPr>
          <w:rFonts w:ascii="Times New Roman" w:cs="Times New Roman" w:eastAsia="Times New Roman" w:hAnsi="Times New Roman"/>
          <w:sz w:val="18"/>
          <w:szCs w:val="18"/>
          <w:i w:val="1"/>
          <w:iCs w:val="1"/>
          <w:color w:val="auto"/>
        </w:rPr>
        <w:t>2014-09,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which supersedes the revenue recognition requirements in Revenue Recognition (Topic 605). Under the new guidance,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Corporate Debt Portfolio Overview</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February 28,</w:t>
            </w:r>
          </w:p>
        </w:tc>
        <w:tc>
          <w:tcPr>
            <w:tcW w:w="220" w:type="dxa"/>
            <w:vAlign w:val="bottom"/>
          </w:tcPr>
          <w:p>
            <w:pPr>
              <w:spacing w:after="0"/>
              <w:rPr>
                <w:sz w:val="13"/>
                <w:szCs w:val="13"/>
                <w:color w:val="auto"/>
              </w:rPr>
            </w:pPr>
          </w:p>
        </w:tc>
        <w:tc>
          <w:tcPr>
            <w:tcW w:w="13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February 28,</w:t>
            </w:r>
          </w:p>
        </w:tc>
        <w:tc>
          <w:tcPr>
            <w:tcW w:w="2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 February 28,</w:t>
            </w:r>
          </w:p>
        </w:tc>
      </w:tr>
      <w:tr>
        <w:trPr>
          <w:trHeight w:val="173"/>
        </w:trPr>
        <w:tc>
          <w:tcPr>
            <w:tcW w:w="4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investments(1)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investment size(1)</w:t>
            </w:r>
          </w:p>
        </w:tc>
        <w:tc>
          <w:tcPr>
            <w:tcW w:w="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maturity(1)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3.7yrs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4.3yrs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3.7yrs</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industries(1)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investment per portfolio company(1)</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or delinquent investments(1)</w:t>
            </w:r>
          </w:p>
        </w:tc>
        <w:tc>
          <w:tcPr>
            <w:tcW w:w="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 (% of interest bearing portfolio)(2)</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82.5(40.6)%</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70.6(40.1)%</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53.4(43.9)%</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current coupon(2)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debt (% of interest bearing portfolio)(2)</w:t>
            </w:r>
          </w:p>
        </w:tc>
        <w:tc>
          <w:tcPr>
            <w:tcW w:w="20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$ 120.8(59.4)%</w:t>
            </w:r>
          </w:p>
        </w:tc>
        <w:tc>
          <w:tcPr>
            <w:tcW w:w="16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$ 105.4(59.9)%</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68.2(56.1)%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current spread over LIBOR(2)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our investment in the subordinated notes of Saratoga CLO and limited partnership interests.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our investment in the subordinated notes of Saratoga CLO, investments in common stocks and limited partnership interests.</w:t>
      </w:r>
    </w:p>
    <w:p>
      <w:pPr>
        <w:spacing w:after="0" w:line="207"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28, 2015, we invested $104.9 million in new or existing portfolio companies and had $73.3 million in aggregate amount of exits and repayments resulting in net investments of $31.6 million for the year.</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28, 2014, we invested $121.1 million in new or existing portfolio companies and had $71.6 million in aggregate amount of exits and repayments resulting in net investments of $49.5 million for the year.</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28, 2013, we invested $71.6 million in new or existing portfolio companies and had $21.5 million in aggregate amount of exits and repayments resulting in net investments of $50.1 million for the year.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268" w:right="279"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portfolio composition at February 28, 2015, February 28, 2014 and February 28, 2013 at fair value was as follows: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3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30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200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At February 28, 2013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continue"/>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continue"/>
          </w:tcPr>
          <w:p>
            <w:pPr>
              <w:spacing w:after="0"/>
              <w:rPr>
                <w:sz w:val="12"/>
                <w:szCs w:val="12"/>
                <w:color w:val="auto"/>
              </w:rPr>
            </w:pPr>
          </w:p>
        </w:tc>
        <w:tc>
          <w:tcPr>
            <w:tcW w:w="80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1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00" w:type="dxa"/>
            <w:vAlign w:val="bottom"/>
            <w:gridSpan w:val="2"/>
          </w:tcPr>
          <w:p>
            <w:pPr>
              <w:jc w:val="center"/>
              <w:ind w:right="41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8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5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5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5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15.7%</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60.3</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11.0</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53.6</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69.0</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11.1</w:t>
            </w:r>
          </w:p>
        </w:tc>
        <w:tc>
          <w:tcPr>
            <w:tcW w:w="12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6.2</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15.2</w:t>
            </w: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Saratoga CLO subordinated notes</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25.2</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18.6</w:t>
            </w:r>
          </w:p>
        </w:tc>
        <w:tc>
          <w:tcPr>
            <w:tcW w:w="12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16.5</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5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w:t>
            </w:r>
          </w:p>
        </w:tc>
        <w:tc>
          <w:tcPr>
            <w:tcW w:w="12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investment in the subordinated notes of Saratoga CLO represents a first loss position in a portfolio that, at February 28, 2015, February 28, 2014 and February 28, 2013, was composed of $296.9 million, $301.3 million and $383.3 million, respectively, in aggregate principal amount of predominantly senior secured first lien term loans. This investment is subject to unique risks. (See “Risk Factors—Our investment in Saratoga CLO 2013-1 LTD. constitutes a leveraged investment in a portfolio of predominantly senior secured first lien term loans and is subject to additional risks and volatility”). We do not consolidate the Saratoga CLO portfolio in our financial statements. Accordingly, the metrics below do not include the underlying Saratoga CLO portfolio investments. However, at February 28, 2015, $291.6 million or 98.8% of the Saratoga CLO portfolio investments in terms of market value had a CMR (as defined below) color rating of green or yellow and two Saratoga CLO portfolio investments were in default with a fair value of $2.7 million. At February 28, 2014, $298.9 million or 99.5% of the Saratoga CLO portfolio investments in terms of market value had a CMR (as defined below) color rating of green or yellow and zero Saratoga CLO portfolio investments were in default with a fair value of $1.6 million. For more information relating to Saratoga CLO, see the audited financial statements for Saratoga CLO included elsewhere herein.</w:t>
      </w:r>
    </w:p>
    <w:p>
      <w:pPr>
        <w:spacing w:after="0" w:line="186"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CMR distribution of our investments at February 28, 2015 and February 28, 2014 was as follows: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Portfolio CMR distribution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3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20" w:type="dxa"/>
            <w:vAlign w:val="bottom"/>
          </w:tcPr>
          <w:p>
            <w:pPr>
              <w:spacing w:after="0"/>
              <w:rPr>
                <w:sz w:val="15"/>
                <w:szCs w:val="15"/>
                <w:color w:val="auto"/>
              </w:rPr>
            </w:pPr>
          </w:p>
        </w:tc>
        <w:tc>
          <w:tcPr>
            <w:tcW w:w="21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67"/>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8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$ 191,606</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$ 159,207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Yellow</w:t>
            </w:r>
          </w:p>
        </w:tc>
        <w:tc>
          <w:tcPr>
            <w:tcW w:w="6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11,635</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8,466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8,270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37,196</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15.5</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29,902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$ 240,538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$ 205,845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our investment in the subordinated notes of Saratoga CLO and equity interests.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CMR distribution of Saratoga CLO investments at February 28, 2015 and February 28, 2014 was as follows: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Portfolio CMR distribution</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3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20" w:type="dxa"/>
            <w:vAlign w:val="bottom"/>
          </w:tcPr>
          <w:p>
            <w:pPr>
              <w:spacing w:after="0"/>
              <w:rPr>
                <w:sz w:val="15"/>
                <w:szCs w:val="15"/>
                <w:color w:val="auto"/>
              </w:rPr>
            </w:pPr>
          </w:p>
        </w:tc>
        <w:tc>
          <w:tcPr>
            <w:tcW w:w="21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67"/>
        </w:trPr>
        <w:tc>
          <w:tcPr>
            <w:tcW w:w="740" w:type="dxa"/>
            <w:vAlign w:val="bottom"/>
            <w:gridSpan w:val="2"/>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8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$ 278,769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94.4%</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$ 284,796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Yellow</w:t>
            </w:r>
          </w:p>
        </w:tc>
        <w:tc>
          <w:tcPr>
            <w:tcW w:w="6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12,875</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14,106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2,978</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1,589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617</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$ 295,239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$ 300,491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Saratoga CLO’s equity interests.</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270" w:right="239" w:bottom="1440" w:gutter="0" w:footer="0" w:header="0"/>
          <w:type w:val="continuous"/>
        </w:sectPr>
      </w:pPr>
    </w:p>
    <w:bookmarkStart w:id="57" w:name="page58"/>
    <w:bookmarkEnd w:id="57"/>
    <w:p>
      <w:pPr>
        <w:ind w:left="36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Portfolio composition by industry grouping at fair value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portfolio composition by industry grouping at fair value at February 28, 2015 and February 28,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5"/>
                <w:szCs w:val="15"/>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52,128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57,330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50,362</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21,738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27,332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21,897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20,641</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23,810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17,031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19,570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15,262</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6,645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15,026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Automotive Aftermarket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10,980</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10,621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10,348</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17,286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6,667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6,741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3,436</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Products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6,118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Publishing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1,985</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1,191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5,970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344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240,538</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205,845</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our investment in the subordinated notes of Saratoga CLO.</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Saratoga CLO’s portfolio composition by industry grouping at fair value at February 28, 2015 and February 28, 2014:</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6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2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At February 28, 2014</w:t>
            </w:r>
          </w:p>
        </w:tc>
      </w:tr>
      <w:tr>
        <w:trPr>
          <w:trHeight w:val="117"/>
        </w:trPr>
        <w:tc>
          <w:tcPr>
            <w:tcW w:w="3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40" w:type="dxa"/>
            <w:vAlign w:val="bottom"/>
            <w:tcBorders>
              <w:top w:val="single" w:sz="8" w:color="auto"/>
            </w:tcBorders>
          </w:tcPr>
          <w:p>
            <w:pPr>
              <w:jc w:val="center"/>
              <w:ind w:right="229"/>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960" w:type="dxa"/>
            <w:vAlign w:val="bottom"/>
            <w:tcBorders>
              <w:top w:val="single" w:sz="8" w:color="auto"/>
            </w:tcBorders>
          </w:tcPr>
          <w:p>
            <w:pPr>
              <w:jc w:val="center"/>
              <w:ind w:left="193"/>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60" w:type="dxa"/>
            <w:vAlign w:val="bottom"/>
          </w:tcPr>
          <w:p>
            <w:pPr>
              <w:spacing w:after="0"/>
              <w:rPr>
                <w:sz w:val="10"/>
                <w:szCs w:val="10"/>
                <w:color w:val="auto"/>
              </w:rPr>
            </w:pPr>
          </w:p>
        </w:tc>
        <w:tc>
          <w:tcPr>
            <w:tcW w:w="1040" w:type="dxa"/>
            <w:vAlign w:val="bottom"/>
            <w:tcBorders>
              <w:top w:val="single" w:sz="8" w:color="auto"/>
            </w:tcBorders>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980" w:type="dxa"/>
            <w:vAlign w:val="bottom"/>
            <w:tcBorders>
              <w:top w:val="single" w:sz="8" w:color="auto"/>
            </w:tcBorders>
          </w:tcPr>
          <w:p>
            <w:pPr>
              <w:jc w:val="center"/>
              <w:ind w:left="213"/>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r>
      <w:tr>
        <w:trPr>
          <w:trHeight w:val="149"/>
        </w:trPr>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jc w:val="center"/>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040" w:type="dxa"/>
            <w:vAlign w:val="bottom"/>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r>
      <w:tr>
        <w:trPr>
          <w:trHeight w:val="173"/>
        </w:trPr>
        <w:tc>
          <w:tcPr>
            <w:tcW w:w="3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0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r>
      <w:tr>
        <w:trPr>
          <w:trHeight w:val="142"/>
        </w:trPr>
        <w:tc>
          <w:tcPr>
            <w:tcW w:w="3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Equipment and Services</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  42,751</w:t>
            </w: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14.5%</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28,386</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34,400</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11.6</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37,896</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Chemicals/Plastics</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25,758</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26,345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Retailers (Except Food and Drugs)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22,026</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15,314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Conglomerate</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19,928</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24,285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Industrial Equipment</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15,290</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24,143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Electronics/Electric</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12,904</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11,861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Leisure Goods/Activities/Movies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12,629</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8,990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Intermediaries</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10,806</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8,138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Drugs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10,091</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11,873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7,287</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20,465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6,675</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6,627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6,650</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10,279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6,281</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5,830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6,070</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2,488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Food Services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5,886</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5,612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Food/Drug Retailers</w:t>
            </w:r>
          </w:p>
        </w:tc>
        <w:tc>
          <w:tcPr>
            <w:tcW w:w="282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5,861</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82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5,856</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12,450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r>
      <w:tr>
        <w:trPr>
          <w:trHeight w:val="346"/>
        </w:trPr>
        <w:tc>
          <w:tcPr>
            <w:tcW w:w="384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60"/>
          </w:cols>
          <w:pgMar w:left="240" w:top="266" w:right="69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140" w:type="dxa"/>
            <w:vAlign w:val="bottom"/>
          </w:tcPr>
          <w:p>
            <w:pPr>
              <w:spacing w:after="0"/>
              <w:rPr>
                <w:sz w:val="15"/>
                <w:szCs w:val="15"/>
                <w:color w:val="auto"/>
              </w:rPr>
            </w:pPr>
          </w:p>
        </w:tc>
        <w:tc>
          <w:tcPr>
            <w:tcW w:w="20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and Casinos</w:t>
            </w:r>
          </w:p>
        </w:tc>
        <w:tc>
          <w:tcPr>
            <w:tcW w:w="204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5,826</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Publishing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5,517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Brokers/Dealers/Investment Houses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4,832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3,740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Containers/Glass Products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4,313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Cable and Satellite Television</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2,646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Telecommunications/Cellular</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2,460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Media</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Nonferrous Metals/Minerals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1,835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4,328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&amp; Pharmaceuticals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Development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3,246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Broadcast Radio and Television</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467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Computers &amp; Electronics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Ecological Services and Equipment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1,241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Gaming And Hotels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295,239</w:t>
            </w:r>
          </w:p>
        </w:tc>
        <w:tc>
          <w:tcPr>
            <w:tcW w:w="500" w:type="dxa"/>
            <w:vAlign w:val="bottom"/>
            <w:vMerge w:val="continue"/>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300,491</w:t>
            </w:r>
          </w:p>
        </w:tc>
        <w:tc>
          <w:tcPr>
            <w:tcW w:w="5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63" w:right="69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Portfolio composition by geographic location at fair value</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our portfolio composition by geographic location at fair value at February 28, 2015 and February 28, 2014. The geographic composition is determined by the location of the corporate headquarters of the portfolio company.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February 28, 2014</w:t>
            </w:r>
          </w:p>
        </w:tc>
      </w:tr>
      <w:tr>
        <w:trPr>
          <w:trHeight w:val="117"/>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40" w:type="dxa"/>
            <w:vAlign w:val="bottom"/>
          </w:tcPr>
          <w:p>
            <w:pPr>
              <w:spacing w:after="0"/>
              <w:rPr>
                <w:sz w:val="15"/>
                <w:szCs w:val="15"/>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Portfolio</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Southeast</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92,069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83,161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Midwest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55,767</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41,453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40,259</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44,470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Northeast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34,412</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17,191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Other(1)</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17,031</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19,570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240,538</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205,845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2"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our investment in the subordinated notes of Saratoga CLO.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the fiscal years ended February 28, 2015, February 28, 2014 and February 28,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58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0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net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8"/>
                <w:szCs w:val="18"/>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and notes thereto, we identified errors that impacted the years ended February 28, 2014, February 28, 2013, February 29, 2012 and February 28, 2011. The corrections for the errors, which we have concluded are immaterial to all prior period consolidated financial statements, are reflected in the consolidated financial statements and selected financial data included in this Form 10-K.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composition of our investment income for the fiscal years ended February 28, 2015, February 28, 2014 and February 28, 2013 are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from Saratoga CLO</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27,375</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For the fiscal year ended February 28, 2015, total investment income increased $4.5 million, or 19.6% compared to the fiscal year ended February 28, 2014. Interest income from investments increased $4.5 million, or 22.3%, to $24.7 million for the year ended February 28, 2015 from $20.2 million for the fiscal year ended February 28, 2014. This reflects an increase of 16.9% in total investments to $240.5 million at February 28, 2015 from $205.8 million at February 28, 2014, despite the weighted average current coupon reducing from 12.5% to 12.0%.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66" w:right="239" w:bottom="1440" w:gutter="0" w:footer="0" w:header="0"/>
        </w:sectPr>
      </w:pPr>
    </w:p>
    <w:bookmarkStart w:id="60" w:name="page61"/>
    <w:bookmarkEnd w:id="60"/>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fiscal year ended February 28, 2014, total investment income increased $5.9 million, or 34.6% compared to the fiscal year ended February 28, 2013. Interest income from investments increased $5.7 million, or 39.7%, to $20.2 million for the year ended February 28, 2014 from $14.4 million for the fiscal year ended February 28, 2013. This reflects an increase of 32.7% in total investments to $205.8 million at February 28, 2014 from $155.1 million at February 28, 2013, while the weighted average current coupon remained relatively unchanged at 12.5%.</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For the fiscal years ended February 28, 2015, February 28, 2014, and February 28, 2013, total PIK income was $1.2 million, $1.0 million, and $1.1 million, respectively.</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Saratoga CLO was refinanced in October 2013. As a result, proceeds from principal payments in the loan portfolio of Saratoga CLO must now be used to paydown its outstanding notes. Thus, the management fee income and investment income that we receive from Saratoga CLO has declined from historical periods, decreasing $0.3 million or 14.3% to 1.5 million and $0.2 million or 10%, to $1.8 million, for the years ended February 28, 2015 and 2014,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composition of our operating expenses for the years ended February 28, 2015, February 28, 2014 and February 28, 2013 are as follows: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credit facility expense</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Incentive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Administrator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Insurance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Excise tax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and other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February 28, 2015, total operating expenses increased $3.7 million, or 26.3% compared to the year ended February 28, 2014. For the year ended February 28, 2014, total operating expenses before manager expense waiver and reimbursement increased $3.5 million, or 33.0% compared to the year ended February 28, 2013.</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the years ended February 28, 2015 and 2014, the increase in interest and credit facility expense is primarily attributable to an increase in outstanding debt as compared to the prior years, with increased levels of both the SBA debentures and the revolving credit facility outstanding, as well as the notes payable being outstanding for the full year ended February 28, 2015. For the year ended February 28, 2015, the weighted average interest rate on our outstanding indebtedness was 4.92% compared to 5.35% for the fiscal year ended February 28, 2014 and 6.35% for the fiscal year ended February 28, 2013. This decrease was primarily driven by an increase in SBA debentures that carry a lower interest rate but now make up a higher proportion of our overall debt, increasing from 50.9% of overall debt as of February 28, 2014 to 57.7% as of February 28, 2015.</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February 28, 2015, base management fees increased $0.8 million, or 25.0% compared to the fiscal year ended February 28, 2014. The increase in base management fees results from the increase in the average value of our total assets, less cash and cash equivalents, from $209.2 million to $246.5 million as of February 28, 2014 and 2015, respectively. For the year ended February 28, 2014, base management fees increased $1.2 million, or 57.9% compared to the fiscal year ended February 28, 2013. The increase in base management fees results from the increase in the average value of our total assets, less cash and cash equivalents from $142.5 million to $209.2 million as of February 28, 2013 and 2014, respectively.</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February 28, 2015, professional fees increased $0.09 million, or 7.4% compared to the fiscal year ended February 28, 2014. For the year ended February 28, 2014, professional fees increased $0.02 million, or 1.8% compared to the fiscal year ended February 28, 2013.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270" w:right="239" w:bottom="1440" w:gutter="0" w:footer="0" w:header="0"/>
        </w:sectPr>
      </w:pPr>
    </w:p>
    <w:bookmarkStart w:id="61" w:name="page62"/>
    <w:bookmarkEnd w:id="61"/>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February 28, 2015, incentive management fees increased $1.6 million, or 171.4% compared to the fiscal year ended February 28, 2014. The increase in incentive management fees is primarily attributable to an increase in accrued incentive fees this year, as higher total assets has led to increased net investment income above the hurdle rate pursuant to the investment advisory and management agreement. In addition, for the year ended February 28, 2015, the incentive management fees related to capital gains changed from a $0.07 million reduction of expense to a $0.3 million increase in expense compared to the fiscal year ended February 28, 2014. For the year ended February 28, 2014, incentive management fees decreased $1.7 million, or 63.9% compared to the fiscal year ended February 28, 2013. The decrease in incentive management fees is primarily attributable to the second part of the incentive fee accrual related to capital losses, with the year ending February 28, 2013 being an accrual of $1.6 million as compared to the year ending February 28, 2014 being a reversal of the accrual of $0.1 million.</w:t>
      </w:r>
    </w:p>
    <w:p>
      <w:pPr>
        <w:spacing w:after="0" w:line="18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As discussed above, the increase in interest and credit facility expense for the years ended February 28, 2015, February 28, 2014 and February 28, 2013 is primarily attributable to an increase in the amount of outstanding debt as compared to the prior periods. For the years ended February 28, 2015, February 28, 2014 and February 28, 2013, the weighted average interest rate on the outstanding borrowings under the Credit Facility for the years ended February 28, 2015, February 28, 2014 and February 28, 2013 was 6.75%, 7.50% and 7.50%, respectively. For the years ended February 28, 2015, February 28, 2014, and February 28, 2013, the weighted average interest rate on the outstanding borrowings of the SBA debentures was 2.93%, 3.03% and 1.42%, respectively.</w:t>
      </w: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gains/losses on sales of investments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the fiscal year ended February 28, 2015, the Company had $73.3 million of sales, repayments, exits or restructurings resulting in $3.3 million of net realized gains. The most significant realized gains and losses during the year ended February 28, 2015 were as follows: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2015</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1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660" w:type="dxa"/>
            <w:vAlign w:val="bottom"/>
            <w:vMerge w:val="continue"/>
          </w:tcPr>
          <w:p>
            <w:pPr>
              <w:spacing w:after="0"/>
              <w:rPr>
                <w:sz w:val="12"/>
                <w:szCs w:val="12"/>
                <w:color w:val="auto"/>
              </w:rPr>
            </w:pPr>
          </w:p>
        </w:tc>
        <w:tc>
          <w:tcPr>
            <w:tcW w:w="11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67"/>
        </w:trPr>
        <w:tc>
          <w:tcPr>
            <w:tcW w:w="488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660" w:type="dxa"/>
            <w:vAlign w:val="bottom"/>
          </w:tcPr>
          <w:p>
            <w:pPr>
              <w:jc w:val="right"/>
              <w:ind w:right="16"/>
              <w:spacing w:after="0" w:line="160"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180" w:type="dxa"/>
            <w:vAlign w:val="bottom"/>
            <w:vMerge w:val="continue"/>
          </w:tcPr>
          <w:p>
            <w:pPr>
              <w:spacing w:after="0"/>
              <w:rPr>
                <w:sz w:val="14"/>
                <w:szCs w:val="14"/>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Investors, Inc.</w:t>
            </w: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A Senior Fac</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9"/>
              </w:rPr>
              <w:t>$ 6,983</w:t>
            </w:r>
          </w:p>
        </w:tc>
        <w:tc>
          <w:tcPr>
            <w:tcW w:w="11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$6,886</w:t>
            </w:r>
          </w:p>
        </w:tc>
        <w:tc>
          <w:tcPr>
            <w:tcW w:w="6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rPr>
              <w:t>$   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HOA Restaurant GP/Finance</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4,225</w:t>
            </w: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3,938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198"/>
        </w:trPr>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USS Parent Holding Corp</w:t>
            </w:r>
          </w:p>
        </w:tc>
        <w:tc>
          <w:tcPr>
            <w:tcW w:w="2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 Voting Common</w:t>
            </w: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248</w:t>
            </w:r>
          </w:p>
        </w:tc>
        <w:tc>
          <w:tcPr>
            <w:tcW w:w="11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133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Parent Holding Corp</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Common Stock</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5,650</w:t>
            </w:r>
          </w:p>
        </w:tc>
        <w:tc>
          <w:tcPr>
            <w:tcW w:w="118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3,026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the fiscal year ended February 28, 2014, the Company had $71.6 million of sales, repayments, exits or restructurings resulting in $1.3 million of net realized gains. The most significant realized gains and losses during the year ended February 28, 2014 were as follows: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2014</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660" w:type="dxa"/>
            <w:vAlign w:val="bottom"/>
            <w:vMerge w:val="continue"/>
          </w:tcPr>
          <w:p>
            <w:pPr>
              <w:spacing w:after="0"/>
              <w:rPr>
                <w:sz w:val="12"/>
                <w:szCs w:val="12"/>
                <w:color w:val="auto"/>
              </w:rPr>
            </w:pPr>
          </w:p>
        </w:tc>
        <w:tc>
          <w:tcPr>
            <w:tcW w:w="11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67"/>
        </w:trPr>
        <w:tc>
          <w:tcPr>
            <w:tcW w:w="490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660" w:type="dxa"/>
            <w:vAlign w:val="bottom"/>
          </w:tcPr>
          <w:p>
            <w:pPr>
              <w:jc w:val="right"/>
              <w:ind w:right="17"/>
              <w:spacing w:after="0" w:line="160"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180" w:type="dxa"/>
            <w:vAlign w:val="bottom"/>
            <w:vMerge w:val="continue"/>
          </w:tcPr>
          <w:p>
            <w:pPr>
              <w:spacing w:after="0"/>
              <w:rPr>
                <w:sz w:val="14"/>
                <w:szCs w:val="14"/>
                <w:color w:val="auto"/>
              </w:rPr>
            </w:pPr>
          </w:p>
        </w:tc>
        <w:tc>
          <w:tcPr>
            <w:tcW w:w="7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Penton Media, Inc.</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Term Loan</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9"/>
              </w:rPr>
              <w:t>$ 4,887</w:t>
            </w:r>
          </w:p>
        </w:tc>
        <w:tc>
          <w:tcPr>
            <w:tcW w:w="118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$4,681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206</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Sourcehov, LLC</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Lien Term Loan</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3,030</w:t>
            </w:r>
          </w:p>
        </w:tc>
        <w:tc>
          <w:tcPr>
            <w:tcW w:w="118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2,659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 Express Operations, LLC</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128</w:t>
            </w:r>
          </w:p>
        </w:tc>
        <w:tc>
          <w:tcPr>
            <w:tcW w:w="118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the fiscal year ended February 28, 2013, the Company had $21.5 million of sales, repayments, exits or restructurings resulting in $0.6 million of net realized gains. The most significant realized gains and losses during the year ended February 28, 2013 were as follows: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2013</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800" w:type="dxa"/>
            <w:vAlign w:val="bottom"/>
          </w:tcPr>
          <w:p>
            <w:pPr>
              <w:spacing w:after="0"/>
              <w:rPr>
                <w:sz w:val="12"/>
                <w:szCs w:val="12"/>
                <w:color w:val="auto"/>
              </w:rPr>
            </w:pPr>
          </w:p>
        </w:tc>
        <w:tc>
          <w:tcPr>
            <w:tcW w:w="2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620" w:type="dxa"/>
            <w:vAlign w:val="bottom"/>
            <w:vMerge w:val="continue"/>
          </w:tcPr>
          <w:p>
            <w:pPr>
              <w:spacing w:after="0"/>
              <w:rPr>
                <w:sz w:val="12"/>
                <w:szCs w:val="12"/>
                <w:color w:val="auto"/>
              </w:rPr>
            </w:pP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67"/>
        </w:trPr>
        <w:tc>
          <w:tcPr>
            <w:tcW w:w="324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6"/>
              </w:rPr>
              <w:t>Proceeds</w:t>
            </w:r>
          </w:p>
        </w:tc>
        <w:tc>
          <w:tcPr>
            <w:tcW w:w="1120" w:type="dxa"/>
            <w:vAlign w:val="bottom"/>
            <w:vMerge w:val="continue"/>
          </w:tcPr>
          <w:p>
            <w:pPr>
              <w:spacing w:after="0"/>
              <w:rPr>
                <w:sz w:val="14"/>
                <w:szCs w:val="14"/>
                <w:color w:val="auto"/>
              </w:rPr>
            </w:pPr>
          </w:p>
        </w:tc>
        <w:tc>
          <w:tcPr>
            <w:tcW w:w="7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US Holdings LLP</w:t>
            </w:r>
          </w:p>
        </w:tc>
        <w:tc>
          <w:tcPr>
            <w:tcW w:w="3900" w:type="dxa"/>
            <w:vAlign w:val="bottom"/>
            <w:gridSpan w:val="3"/>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Second Lien Term Loan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w:t>
            </w:r>
          </w:p>
        </w:tc>
        <w:tc>
          <w:tcPr>
            <w:tcW w:w="11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183</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Alloys LLC</w:t>
            </w:r>
          </w:p>
        </w:tc>
        <w:tc>
          <w:tcPr>
            <w:tcW w:w="390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Warrants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unrealized appreciation/depreciation on 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 ended February 28, 2015, our investments had net unrealized depreciation of $1.9 million versus net unrealized depreciation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for the year ended February 28, 2014. The most significant cumulative changes in unrealized appreciation and depreciation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 were the following:</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2015</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680" w:type="dxa"/>
            <w:vAlign w:val="bottom"/>
          </w:tcPr>
          <w:p>
            <w:pPr>
              <w:spacing w:after="0"/>
              <w:rPr>
                <w:sz w:val="12"/>
                <w:szCs w:val="12"/>
                <w:color w:val="auto"/>
              </w:rPr>
            </w:pPr>
          </w:p>
        </w:tc>
        <w:tc>
          <w:tcPr>
            <w:tcW w:w="2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8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0" w:type="dxa"/>
            <w:vAlign w:val="bottom"/>
            <w:vMerge w:val="continue"/>
          </w:tcPr>
          <w:p>
            <w:pPr>
              <w:spacing w:after="0"/>
              <w:rPr>
                <w:sz w:val="12"/>
                <w:szCs w:val="12"/>
                <w:color w:val="auto"/>
              </w:rPr>
            </w:pPr>
          </w:p>
        </w:tc>
        <w:tc>
          <w:tcPr>
            <w:tcW w:w="160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00" w:type="dxa"/>
            <w:vAlign w:val="bottom"/>
            <w:gridSpan w:val="2"/>
          </w:tcPr>
          <w:p>
            <w:pPr>
              <w:jc w:val="cente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67"/>
        </w:trPr>
        <w:tc>
          <w:tcPr>
            <w:tcW w:w="226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0" w:type="dxa"/>
            <w:vAlign w:val="bottom"/>
          </w:tcPr>
          <w:p>
            <w:pPr>
              <w:jc w:val="center"/>
              <w:ind w:left="61"/>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1200" w:type="dxa"/>
            <w:vAlign w:val="bottom"/>
            <w:gridSpan w:val="2"/>
          </w:tcPr>
          <w:p>
            <w:pPr>
              <w:jc w:val="cente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501"/>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Cabinets, Inc.</w:t>
            </w:r>
          </w:p>
        </w:tc>
        <w:tc>
          <w:tcPr>
            <w:tcW w:w="29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Common—Voting A-1</w:t>
            </w:r>
          </w:p>
        </w:tc>
        <w:tc>
          <w:tcPr>
            <w:tcW w:w="8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1,272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Targus Holdings, Inc.</w:t>
            </w:r>
          </w:p>
        </w:tc>
        <w:tc>
          <w:tcPr>
            <w:tcW w:w="29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Common</w:t>
            </w: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567</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(567)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Saratoga CLO</w:t>
            </w:r>
          </w:p>
        </w:tc>
        <w:tc>
          <w:tcPr>
            <w:tcW w:w="2900" w:type="dxa"/>
            <w:vAlign w:val="bottom"/>
            <w:gridSpan w:val="3"/>
            <w:shd w:val="clear" w:color="auto" w:fill="CCEEFF"/>
          </w:tcPr>
          <w:p>
            <w:pPr>
              <w:ind w:left="680"/>
              <w:spacing w:after="0" w:line="198" w:lineRule="exact"/>
              <w:rPr>
                <w:sz w:val="20"/>
                <w:szCs w:val="20"/>
                <w:color w:val="auto"/>
              </w:rPr>
            </w:pPr>
            <w:r>
              <w:rPr>
                <w:rFonts w:ascii="Times New Roman" w:cs="Times New Roman" w:eastAsia="Times New Roman" w:hAnsi="Times New Roman"/>
                <w:sz w:val="18"/>
                <w:szCs w:val="18"/>
                <w:color w:val="auto"/>
              </w:rPr>
              <w:t>Other/Structured Finance</w:t>
            </w: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9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Securities</w:t>
            </w:r>
          </w:p>
        </w:tc>
        <w:tc>
          <w:tcPr>
            <w:tcW w:w="8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15,953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6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1,078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$0.9 million of unrealized appreciation in our investment in Legacy Cabinets, Inc. was driven by significant fundamental growth, which increased the fair market value of the equity.</w:t>
      </w:r>
    </w:p>
    <w:p>
      <w:pPr>
        <w:spacing w:after="0" w:line="162"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$0.7 million of unrealized depreciation in our investment in Targus Holdings, Inc. was due to a decline in earnings resulting from weakened demand in the company’s end markets.</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$1.9 million unrealized depreciation in our investment in the Saratoga CLO was primarily due to a higher discount rate based on prevailing market conditions.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February 28, 2014, our investments had a decrease in net unrealized depreciation of $1.6 million versus an increase in net unrealized appreciation of $7.0 million for the year ended February 28, 2013. The most significant cumulative changes in unrealized appreciation and depreciation for the year ended February 28, 2014, were the following: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2014</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3"/>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2"/>
                <w:szCs w:val="12"/>
                <w:color w:val="auto"/>
              </w:rPr>
            </w:pPr>
          </w:p>
        </w:tc>
        <w:tc>
          <w:tcPr>
            <w:tcW w:w="1060" w:type="dxa"/>
            <w:vAlign w:val="bottom"/>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gridSpan w:val="3"/>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340" w:type="dxa"/>
            <w:vAlign w:val="bottom"/>
          </w:tcPr>
          <w:p>
            <w:pPr>
              <w:spacing w:after="0"/>
              <w:rPr>
                <w:sz w:val="12"/>
                <w:szCs w:val="12"/>
                <w:color w:val="auto"/>
              </w:rPr>
            </w:pPr>
          </w:p>
        </w:tc>
        <w:tc>
          <w:tcPr>
            <w:tcW w:w="22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40" w:type="dxa"/>
            <w:vAlign w:val="bottom"/>
            <w:vMerge w:val="continue"/>
          </w:tcPr>
          <w:p>
            <w:pPr>
              <w:spacing w:after="0"/>
              <w:rPr>
                <w:sz w:val="12"/>
                <w:szCs w:val="12"/>
                <w:color w:val="auto"/>
              </w:rPr>
            </w:pPr>
          </w:p>
        </w:tc>
        <w:tc>
          <w:tcPr>
            <w:tcW w:w="160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00" w:type="dxa"/>
            <w:vAlign w:val="bottom"/>
            <w:gridSpan w:val="3"/>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67"/>
        </w:trPr>
        <w:tc>
          <w:tcPr>
            <w:tcW w:w="25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600" w:type="dxa"/>
            <w:vAlign w:val="bottom"/>
            <w:gridSpan w:val="2"/>
          </w:tcPr>
          <w:p>
            <w:pPr>
              <w:jc w:val="center"/>
              <w:ind w:left="84"/>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1200" w:type="dxa"/>
            <w:vAlign w:val="bottom"/>
            <w:gridSpan w:val="3"/>
          </w:tcPr>
          <w:p>
            <w:pPr>
              <w:jc w:val="center"/>
              <w:ind w:left="24"/>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4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Saratoga CLO</w:t>
            </w:r>
          </w:p>
        </w:tc>
        <w:tc>
          <w:tcPr>
            <w:tcW w:w="254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Other/Structured Finance</w:t>
            </w: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95"/>
              </w:rPr>
              <w:t>$16,556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3,014</w:t>
            </w:r>
          </w:p>
        </w:tc>
        <w:tc>
          <w:tcPr>
            <w:tcW w:w="4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Targus Holdings, Inc.</w:t>
            </w:r>
          </w:p>
        </w:tc>
        <w:tc>
          <w:tcPr>
            <w:tcW w:w="2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4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USS Parent Holding Corp.</w:t>
            </w:r>
          </w:p>
        </w:tc>
        <w:tc>
          <w:tcPr>
            <w:tcW w:w="2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Voting Common Stock</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3,026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2,002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Dekko, Inc.</w:t>
            </w:r>
          </w:p>
        </w:tc>
        <w:tc>
          <w:tcPr>
            <w:tcW w:w="2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Second Lien Term Loan</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6,902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540" w:type="dxa"/>
            <w:vAlign w:val="bottom"/>
          </w:tcPr>
          <w:p>
            <w:pPr>
              <w:spacing w:after="0"/>
              <w:rPr>
                <w:sz w:val="18"/>
                <w:szCs w:val="18"/>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(161)</w:t>
            </w:r>
          </w:p>
        </w:tc>
        <w:tc>
          <w:tcPr>
            <w:tcW w:w="4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Elyria Foundry Company, LLC</w:t>
            </w:r>
          </w:p>
        </w:tc>
        <w:tc>
          <w:tcPr>
            <w:tcW w:w="2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Notes</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9,037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(2,260)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February 28, 2013, our investments had an increase in net unrealized appreciation of $7.0 million versus an increase in net unrealized appreciation of $19.8 million for the year ended February 29, 2012. The most significant cumulative changes in unrealized appreciation and depreciation for the year ended February 28, 2013, were the following:</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February 28, 2013</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3"/>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w:t>
            </w:r>
          </w:p>
        </w:tc>
        <w:tc>
          <w:tcPr>
            <w:tcW w:w="520" w:type="dxa"/>
            <w:vAlign w:val="bottom"/>
          </w:tcPr>
          <w:p>
            <w:pPr>
              <w:spacing w:after="0"/>
              <w:rPr>
                <w:sz w:val="12"/>
                <w:szCs w:val="12"/>
                <w:color w:val="auto"/>
              </w:rPr>
            </w:pPr>
          </w:p>
        </w:tc>
        <w:tc>
          <w:tcPr>
            <w:tcW w:w="104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8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3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vMerge w:val="continue"/>
          </w:tcPr>
          <w:p>
            <w:pPr>
              <w:spacing w:after="0"/>
              <w:rPr>
                <w:sz w:val="12"/>
                <w:szCs w:val="12"/>
                <w:color w:val="auto"/>
              </w:rPr>
            </w:pPr>
          </w:p>
        </w:tc>
        <w:tc>
          <w:tcPr>
            <w:tcW w:w="156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180" w:type="dxa"/>
            <w:vAlign w:val="bottom"/>
            <w:gridSpan w:val="3"/>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tcPr>
          <w:p>
            <w:pPr>
              <w:jc w:val="right"/>
              <w:ind w:right="54"/>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560" w:type="dxa"/>
            <w:vAlign w:val="bottom"/>
            <w:gridSpan w:val="2"/>
          </w:tcPr>
          <w:p>
            <w:pPr>
              <w:jc w:val="center"/>
              <w:ind w:left="84"/>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3"/>
          </w:tcPr>
          <w:p>
            <w:pPr>
              <w:jc w:val="center"/>
              <w:ind w:left="24"/>
              <w:spacing w:after="0" w:line="160"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380" w:type="dxa"/>
            <w:vAlign w:val="bottom"/>
            <w:tcBorders>
              <w:top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74"/>
              <w:spacing w:after="0" w:line="14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Saratoga CLO</w:t>
            </w:r>
          </w:p>
        </w:tc>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Other/Structured Finance</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1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$18,945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6,572</w:t>
            </w:r>
          </w:p>
        </w:tc>
        <w:tc>
          <w:tcPr>
            <w:tcW w:w="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Targus Holdings, Inc.</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52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2,758</w:t>
            </w:r>
          </w:p>
        </w:tc>
        <w:tc>
          <w:tcPr>
            <w:tcW w:w="4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USS Parent Holding Corp.</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Common Stock</w:t>
            </w:r>
          </w:p>
        </w:tc>
        <w:tc>
          <w:tcPr>
            <w:tcW w:w="11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 Dekko, Inc.</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Second Lien Term Loan</w:t>
            </w: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6,825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52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 Express Operations, LLC</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Lien Term Loan</w:t>
            </w:r>
          </w:p>
        </w:tc>
        <w:tc>
          <w:tcPr>
            <w:tcW w:w="11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6,461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Penton Media, Inc.</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w:t>
            </w: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4,497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520" w:type="dxa"/>
            <w:vAlign w:val="bottom"/>
          </w:tcPr>
          <w:p>
            <w:pPr>
              <w:spacing w:after="0"/>
              <w:rPr>
                <w:sz w:val="20"/>
                <w:szCs w:val="20"/>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173</w:t>
            </w:r>
          </w:p>
        </w:tc>
        <w:tc>
          <w:tcPr>
            <w:tcW w:w="4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838" w:orient="portrait"/>
          <w:cols w:equalWidth="0" w:num="1">
            <w:col w:w="11400"/>
          </w:cols>
          <w:pgMar w:left="240" w:top="266"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266" w:right="259" w:bottom="1440" w:gutter="0" w:footer="0" w:header="0"/>
          <w:type w:val="continuous"/>
        </w:sectPr>
      </w:pPr>
    </w:p>
    <w:bookmarkStart w:id="63" w:name="page64"/>
    <w:bookmarkEnd w:id="63"/>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$4.3 million net unrealized appreciation in our investment in the Saratoga CLO subordinated notes was due to higher cash flow projections based on an increase in principal balance and an improvement in the overcollateralization ratios, a decrease in the assumed portfolio default rate (based on better than forecast actual default rates and improved default forecasts) and an improvement in reinvestment assumptions based on current market conditions and projections.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net assets resulting from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fiscal years ended February 28, 2015, February 28, 2014 and February 28, 2013 we recorded a net increase in net assets resulting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$11.0 million, $8.5 million and $14.0 million, respectively. Based on 5,385,049 weighted average common shares outstanding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 our per share net increase in net assets resulting from operations was $2.04 for the fiscal year ended February 28, 2015. This compares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 share net increase in net assets resulting from operations of $1.73 for the fiscal year ended February 28, 2014 (based on 4,920,517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outstanding as of February 28, 2014), and a per share net increase in net assets resulting from operations of $3.42 for the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2013 (based on 4,110,484 weighted average common shares outstanding as of February 28, 2013).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30, 2014 that authorizes us to sell shares of our common stock at an offering price per share to investors that is not less than 85% of our then current net asset value per share in one or more offerings for a period ending on the earlier of September 30, 2015 or the date of our next annual meeting of stockholders. We would need stockholder approval of a similar proposal to issue shares below net asset value per share at any time after the earlier of September 30, 2015 or our next annual meeting of stockholders.</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8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321.1% as of February 28, 2015 and 348.2% as of February 28, 2014.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Madison revolving credit facility</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Below is a summary of the terms of the senior secured revolving credit facility we entered into with Madison Capital Funding (the “Credit Facility”) on June 30, 2010.</w:t>
      </w:r>
    </w:p>
    <w:p>
      <w:pPr>
        <w:spacing w:after="0" w:line="160" w:lineRule="exact"/>
        <w:rPr>
          <w:sz w:val="20"/>
          <w:szCs w:val="20"/>
          <w:color w:val="auto"/>
        </w:rPr>
      </w:pPr>
    </w:p>
    <w:p>
      <w:pPr>
        <w:ind w:right="3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Availability. </w:t>
      </w:r>
      <w:r>
        <w:rPr>
          <w:rFonts w:ascii="Times New Roman" w:cs="Times New Roman" w:eastAsia="Times New Roman" w:hAnsi="Times New Roman"/>
          <w:sz w:val="18"/>
          <w:szCs w:val="18"/>
          <w:color w:val="auto"/>
        </w:rPr>
        <w:t>The Company can draw up to the lesser of (i) $40.0 million (the “Facility Amount”) and (ii) the product of the applicable advance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varies from 50.0% to 75.0% depending on the type of loan asset) and the value, determined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270" w:right="239" w:bottom="1440" w:gutter="0" w:footer="0" w:header="0"/>
        </w:sectPr>
      </w:pPr>
    </w:p>
    <w:bookmarkStart w:id="64" w:name="page65"/>
    <w:bookmarkEnd w:id="6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2"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 </w:t>
      </w:r>
      <w:r>
        <w:rPr>
          <w:rFonts w:ascii="Times New Roman" w:cs="Times New Roman" w:eastAsia="Times New Roman" w:hAnsi="Times New Roman"/>
          <w:sz w:val="18"/>
          <w:szCs w:val="18"/>
          <w:color w:val="auto"/>
        </w:rPr>
        <w:t>The Credit Facility is secured by substantially all of the assets of the Company (other than assets held by our SBIC subsidiary)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subordinated notes (“CLO Notes”) issued by Saratoga CLO and the Company’s rights under the CLO Management Agreement (as defined below).</w:t>
      </w:r>
    </w:p>
    <w:p>
      <w:pPr>
        <w:spacing w:after="0" w:line="158" w:lineRule="exact"/>
        <w:rPr>
          <w:sz w:val="20"/>
          <w:szCs w:val="20"/>
          <w:color w:val="auto"/>
        </w:rPr>
      </w:pPr>
    </w:p>
    <w:p>
      <w:pPr>
        <w:jc w:val="both"/>
        <w:ind w:right="240"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Interest Rate and Fees. </w:t>
      </w:r>
      <w:r>
        <w:rPr>
          <w:rFonts w:ascii="Times New Roman" w:cs="Times New Roman" w:eastAsia="Times New Roman" w:hAnsi="Times New Roman"/>
          <w:sz w:val="17"/>
          <w:szCs w:val="17"/>
          <w:color w:val="auto"/>
        </w:rPr>
        <w:t>Under the Credit Facility, funds are borrowed from or through certain lenders at the greater of the prevailing LIBOR rate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7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Period and Maturity Date. </w:t>
      </w:r>
      <w:r>
        <w:rPr>
          <w:rFonts w:ascii="Times New Roman" w:cs="Times New Roman" w:eastAsia="Times New Roman" w:hAnsi="Times New Roman"/>
          <w:sz w:val="18"/>
          <w:szCs w:val="18"/>
          <w:color w:val="auto"/>
        </w:rPr>
        <w:t>The Company may make and repay borrowings under the Credit Facility for a period of three years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0" w:lineRule="exact"/>
        <w:rPr>
          <w:sz w:val="20"/>
          <w:szCs w:val="20"/>
          <w:color w:val="auto"/>
        </w:rPr>
      </w:pPr>
    </w:p>
    <w:p>
      <w:pPr>
        <w:jc w:val="both"/>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Collateral Tests. </w:t>
      </w:r>
      <w:r>
        <w:rPr>
          <w:rFonts w:ascii="Times New Roman" w:cs="Times New Roman" w:eastAsia="Times New Roman" w:hAnsi="Times New Roman"/>
          <w:sz w:val="18"/>
          <w:szCs w:val="18"/>
          <w:color w:val="auto"/>
        </w:rPr>
        <w:t>It is a condition precedent to any borrowing under the Credit Facility that the principal amount outstanding under the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79" w:lineRule="exact"/>
        <w:rPr>
          <w:sz w:val="20"/>
          <w:szCs w:val="20"/>
          <w:color w:val="auto"/>
        </w:rPr>
      </w:pPr>
    </w:p>
    <w:p>
      <w:pPr>
        <w:ind w:left="660" w:right="440" w:hanging="206"/>
        <w:spacing w:after="0" w:line="26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Coverage Ratio. </w:t>
      </w:r>
      <w:r>
        <w:rPr>
          <w:rFonts w:ascii="Times New Roman" w:cs="Times New Roman" w:eastAsia="Times New Roman" w:hAnsi="Times New Roman"/>
          <w:sz w:val="18"/>
          <w:szCs w:val="18"/>
          <w:color w:val="auto"/>
        </w:rPr>
        <w:t>The ratio (expressed as a percentage) of interest collections with respect to pledged loan assets, less certain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78" w:lineRule="exact"/>
        <w:rPr>
          <w:rFonts w:ascii="Times New Roman" w:cs="Times New Roman" w:eastAsia="Times New Roman" w:hAnsi="Times New Roman"/>
          <w:sz w:val="18"/>
          <w:szCs w:val="18"/>
          <w:color w:val="auto"/>
        </w:rPr>
      </w:pPr>
    </w:p>
    <w:p>
      <w:pPr>
        <w:ind w:left="660" w:right="120" w:hanging="206"/>
        <w:spacing w:after="0" w:line="26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Overcollateralization Ratio. </w:t>
      </w:r>
      <w:r>
        <w:rPr>
          <w:rFonts w:ascii="Times New Roman" w:cs="Times New Roman" w:eastAsia="Times New Roman" w:hAnsi="Times New Roman"/>
          <w:sz w:val="18"/>
          <w:szCs w:val="18"/>
          <w:color w:val="auto"/>
        </w:rPr>
        <w:t>The ratio (expressed as a percentage) of the aggregate Adjusted Borrowing Value of “eligible” pledged loan assets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certain ineligible pledged loan assets and the CLO Notes (in each case, subject to certain adjustments) to outstanding borrowings under the Credit Facility plus the Unfunded Exposure Amount must equal at least 200.0%.</w:t>
      </w:r>
    </w:p>
    <w:p>
      <w:pPr>
        <w:spacing w:after="0" w:line="78" w:lineRule="exact"/>
        <w:rPr>
          <w:rFonts w:ascii="Times New Roman" w:cs="Times New Roman" w:eastAsia="Times New Roman" w:hAnsi="Times New Roman"/>
          <w:sz w:val="18"/>
          <w:szCs w:val="18"/>
          <w:color w:val="auto"/>
        </w:rPr>
      </w:pPr>
    </w:p>
    <w:p>
      <w:pPr>
        <w:ind w:left="660" w:hanging="206"/>
        <w:spacing w:after="0" w:line="26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Weighted Average FMV Test. </w:t>
      </w:r>
      <w:r>
        <w:rPr>
          <w:rFonts w:ascii="Times New Roman" w:cs="Times New Roman" w:eastAsia="Times New Roman" w:hAnsi="Times New Roman"/>
          <w:sz w:val="18"/>
          <w:szCs w:val="18"/>
          <w:color w:val="auto"/>
        </w:rPr>
        <w:t>The aggregate adjusted or weighted value of “eligible” pledged loan assets as a percentage of the aggregate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of “eligible” pledged loan assets must be equal to or greater than 72.0% and 80.0% during the one-year periods prior to the first and second anniversary of the closing date, respectively, and 85.0% at all times thereafter.</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78"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Priority of Payments. </w:t>
      </w:r>
      <w:r>
        <w:rPr>
          <w:rFonts w:ascii="Times New Roman" w:cs="Times New Roman" w:eastAsia="Times New Roman" w:hAnsi="Times New Roman"/>
          <w:sz w:val="18"/>
          <w:szCs w:val="18"/>
          <w:color w:val="auto"/>
        </w:rPr>
        <w:t>During the Revolving Period, the priority of payments provisions of the Credit Facility require, after payment of specified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expenses and any necessary funding of the Unfunded Exposure Account, that collections of principal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270" w:right="239" w:bottom="1440" w:gutter="0" w:footer="0" w:header="0"/>
        </w:sectPr>
      </w:pPr>
    </w:p>
    <w:bookmarkStart w:id="65" w:name="page66"/>
    <w:bookmarkEnd w:id="65"/>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Reserve Account. </w:t>
      </w:r>
      <w:r>
        <w:rPr>
          <w:rFonts w:ascii="Times New Roman" w:cs="Times New Roman" w:eastAsia="Times New Roman" w:hAnsi="Times New Roman"/>
          <w:sz w:val="18"/>
          <w:szCs w:val="18"/>
          <w:color w:val="auto"/>
        </w:rPr>
        <w:t>The Credit Facility requires the Company to set aside an amount equal to the sum of accrued interest, commitment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8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Unfunded Exposure Account. </w:t>
      </w:r>
      <w:r>
        <w:rPr>
          <w:rFonts w:ascii="Times New Roman" w:cs="Times New Roman" w:eastAsia="Times New Roman" w:hAnsi="Times New Roman"/>
          <w:sz w:val="18"/>
          <w:szCs w:val="18"/>
          <w:color w:val="auto"/>
        </w:rPr>
        <w:t>With respect to revolver or delayed draw loan assets, the Company is required to set aside in a designated account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The priority of payments provision of the Credit Facility provides for the payment of certain operating expenses of the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collections on principal and interest during the Revolving Period and out of collections on interest following the termination of the Revolving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priority established in such provision. The operating expenses payable pursuant to the priority of payment provisions is limited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$350,000 for each monthly payment date or $2.5 million for the immediately preceding period of twelve consecutive monthly payment dates. This ceiling can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by the lesser of 5.0% or the percentage increase in the fair market value of all the Company’s assets only on the first monthly payment date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after each one-year anniversary following the closing of the Credit Facility. Upon the occurrence of a Manager Event (described below), the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is required in order to pay operating expenses through the priority of payments provision.</w:t>
      </w:r>
    </w:p>
    <w:p>
      <w:pPr>
        <w:spacing w:after="0" w:line="205"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The Credit Facility contains certain negative covenants, customary representations and warranties and affirmative covenants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88" w:lineRule="exact"/>
        <w:rPr>
          <w:sz w:val="20"/>
          <w:szCs w:val="20"/>
          <w:color w:val="auto"/>
        </w:rPr>
      </w:pPr>
    </w:p>
    <w:p>
      <w:pPr>
        <w:ind w:left="660" w:hanging="20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of less than 150.0%;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Overcollateralization Ratio of less than 175.0%;</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certain ERISA or tax liens;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“Manager Events” such as:</w:t>
      </w:r>
    </w:p>
    <w:p>
      <w:pPr>
        <w:spacing w:after="0" w:line="130" w:lineRule="exact"/>
        <w:rPr>
          <w:rFonts w:ascii="Times New Roman" w:cs="Times New Roman" w:eastAsia="Times New Roman" w:hAnsi="Times New Roman"/>
          <w:sz w:val="18"/>
          <w:szCs w:val="18"/>
          <w:color w:val="auto"/>
        </w:rPr>
      </w:pPr>
    </w:p>
    <w:p>
      <w:pPr>
        <w:ind w:left="1120" w:right="540" w:hanging="207"/>
        <w:spacing w:after="0" w:line="282"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67" w:lineRule="exact"/>
        <w:rPr>
          <w:rFonts w:ascii="Times New Roman" w:cs="Times New Roman" w:eastAsia="Times New Roman" w:hAnsi="Times New Roman"/>
          <w:sz w:val="18"/>
          <w:szCs w:val="18"/>
          <w:color w:val="auto"/>
        </w:rPr>
      </w:pPr>
    </w:p>
    <w:p>
      <w:pPr>
        <w:ind w:left="1120" w:hanging="207"/>
        <w:spacing w:after="0"/>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Management Agreement between Saratoga Investment Advisors and the Company to be in full force and effect;</w:t>
      </w:r>
    </w:p>
    <w:p>
      <w:pPr>
        <w:spacing w:after="0" w:line="130" w:lineRule="exact"/>
        <w:rPr>
          <w:rFonts w:ascii="Times New Roman" w:cs="Times New Roman" w:eastAsia="Times New Roman" w:hAnsi="Times New Roman"/>
          <w:sz w:val="18"/>
          <w:szCs w:val="18"/>
          <w:color w:val="auto"/>
        </w:rPr>
      </w:pPr>
    </w:p>
    <w:p>
      <w:pPr>
        <w:ind w:left="1120" w:right="520" w:hanging="207"/>
        <w:spacing w:after="0" w:line="266" w:lineRule="auto"/>
        <w:tabs>
          <w:tab w:leader="none" w:pos="11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270" w:right="279" w:bottom="1440" w:gutter="0" w:footer="0" w:header="0"/>
        </w:sectPr>
      </w:pPr>
    </w:p>
    <w:bookmarkStart w:id="66" w:name="page67"/>
    <w:bookmarkEnd w:id="66"/>
    <w:p>
      <w:pPr>
        <w:ind w:left="1120" w:right="420" w:hanging="207"/>
        <w:spacing w:after="0" w:line="26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1" w:lineRule="exact"/>
        <w:rPr>
          <w:rFonts w:ascii="Times New Roman" w:cs="Times New Roman" w:eastAsia="Times New Roman" w:hAnsi="Times New Roman"/>
          <w:sz w:val="18"/>
          <w:szCs w:val="18"/>
          <w:color w:val="auto"/>
        </w:rPr>
      </w:pPr>
    </w:p>
    <w:p>
      <w:pPr>
        <w:ind w:left="1120" w:right="40" w:hanging="207"/>
        <w:spacing w:after="0" w:line="26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7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Conditions to Acquisitions and Pledges of Loan Assets. </w:t>
      </w:r>
      <w:r>
        <w:rPr>
          <w:rFonts w:ascii="Times New Roman" w:cs="Times New Roman" w:eastAsia="Times New Roman" w:hAnsi="Times New Roman"/>
          <w:sz w:val="18"/>
          <w:szCs w:val="18"/>
          <w:color w:val="auto"/>
        </w:rPr>
        <w:t>The Credit Facility imposes certain additional conditions to the acquisition and pledge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Fees and Expenses. </w:t>
      </w:r>
      <w:r>
        <w:rPr>
          <w:rFonts w:ascii="Times New Roman" w:cs="Times New Roman" w:eastAsia="Times New Roman" w:hAnsi="Times New Roman"/>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660" w:hanging="20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borrowing capacity under the credit facility from $40.0 million to $45.0 million;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Revolving Period from July 30, 2013 to February 24, 2015;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September 17, 2014, we entered into a second amendment to the Revolving Facility with Madison Capital Funding LLC to, among other things:</w:t>
      </w:r>
    </w:p>
    <w:p>
      <w:pPr>
        <w:spacing w:after="0" w:line="131" w:lineRule="exact"/>
        <w:rPr>
          <w:sz w:val="20"/>
          <w:szCs w:val="20"/>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commitment termination date from February 24, 2015 to September 17, 2017;</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Revolving Facility from February 24, 2020 to September 17, 2022 (unless terminated sooner upon certain events);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applicable margin rate on base rate borrowings from 4.50% to 3.75%, and on LIBOR borrowings from 5.50% to 4.75%;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floor on base rate borrowings from 3.00% to 2.25%; and on LIBOR borrowings from 2.00% to 1.25%.</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 of February 28, 2015, we had $9.6 million outstanding under the Credit Facility and $79.0 million SBA-guaranteed debentures outstanding (which are discussed below). As of February 28, 2014, we had no outstanding balance under the Credit Facility and $50.0 million SBA-guaranteed debentures outstanding. Our borrowing base under the Credit Facility at February 28, 2015 and February 28, 2014 was $36.3 million and $44.6 million, respectively.</w:t>
      </w:r>
    </w:p>
    <w:p>
      <w:pPr>
        <w:spacing w:after="0" w:line="176"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Our asset coverage ratio, as defined in the 1940 Act, was 321.1% and 348.2% for the years ended February 28, 2015 and February 28, 2014, respectively.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SBA-guaranteed debentures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70" w:right="239" w:bottom="1440" w:gutter="0" w:footer="0" w:header="0"/>
        </w:sectPr>
      </w:pPr>
    </w:p>
    <w:bookmarkStart w:id="67" w:name="page68"/>
    <w:bookmarkEnd w:id="67"/>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February 28, 2015, our SBIC subsidiary had $59.3 million in regulatory capital and $79.0 million SBA-guaranteed debentures outstanding.</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Unsecured notes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3" w:lineRule="exact"/>
        <w:rPr>
          <w:sz w:val="20"/>
          <w:szCs w:val="20"/>
          <w:color w:val="auto"/>
        </w:rPr>
      </w:pPr>
    </w:p>
    <w:p>
      <w:pPr>
        <w:ind w:left="660" w:right="560" w:hanging="206"/>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85" w:lineRule="exact"/>
        <w:rPr>
          <w:rFonts w:ascii="Times New Roman" w:cs="Times New Roman" w:eastAsia="Times New Roman" w:hAnsi="Times New Roman"/>
          <w:sz w:val="18"/>
          <w:szCs w:val="18"/>
          <w:color w:val="auto"/>
        </w:rPr>
      </w:pPr>
    </w:p>
    <w:p>
      <w:pPr>
        <w:ind w:left="660" w:right="40" w:hanging="206"/>
        <w:spacing w:after="0" w:line="255"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listed on the NYSE under the trading symbol “SAQ” with a par value of $25.00 per share.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270" w:right="259" w:bottom="1440" w:gutter="0" w:footer="0" w:header="0"/>
        </w:sectPr>
      </w:pPr>
    </w:p>
    <w:bookmarkStart w:id="68" w:name="page69"/>
    <w:bookmarkEnd w:id="68"/>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February 28, 2015 and February 28, 2014, the fair value of investments, cash and cash equivalents and cash and cash equivalents, securitization accounts were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At February 28, 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At February 28, 2014</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1,888</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securitization accounts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18,175</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3,293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18,302</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32,390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145,207</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110,278</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35,603</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27,804</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4,230</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5,471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17,031</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19,570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4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10,332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260,601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212,432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On April 9, 2015, the Company declared a dividend of $0.27 per share payable for the fiscal quarter ended February 28, 2015, payable on May 29, 2015 to all stockholders of record at the close of business on May 4, 2015. Shareholders will have the option to receive payment of the dividend in cash, or receive shares of common stock pursuant to the Company’s dividend reinvestment plan.</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Also on September 24, 2014, the Company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4"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270" w:right="239" w:bottom="1440" w:gutter="0" w:footer="0" w:header="0"/>
        </w:sectPr>
      </w:pPr>
    </w:p>
    <w:bookmarkStart w:id="69" w:name="page70"/>
    <w:bookmarkEnd w:id="69"/>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provide any assurance that these measures will provide sufficient sources of liquidity to support our operations and growth.</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payment obligations for repayment of debt and other contractual obligations at February 28,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1 -3</w:t>
            </w:r>
          </w:p>
        </w:tc>
        <w:tc>
          <w:tcPr>
            <w:tcW w:w="420" w:type="dxa"/>
            <w:vAlign w:val="bottom"/>
          </w:tcPr>
          <w:p>
            <w:pPr>
              <w:spacing w:after="0"/>
              <w:rPr>
                <w:sz w:val="10"/>
                <w:szCs w:val="10"/>
                <w:color w:val="auto"/>
              </w:rPr>
            </w:pPr>
          </w:p>
        </w:tc>
        <w:tc>
          <w:tcPr>
            <w:tcW w:w="36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3 -5</w:t>
            </w:r>
          </w:p>
        </w:tc>
        <w:tc>
          <w:tcPr>
            <w:tcW w:w="40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9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136,900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w:t>
            </w: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$ 136,900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Off-balance sheet arrangements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off-balance sheet arrangements consisted of $11.2 million and $12.2 million of unfunded commitments to provide debt financing to its portfolio companies or to fund limited partnership interests as of February 28, 2015 and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composition of the unfunded commitments as of February 28, 2015 and 2014 is shown in the table below (dollars in thousands):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7"/>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440" w:type="dxa"/>
            <w:vAlign w:val="bottom"/>
            <w:gridSpan w:val="3"/>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00" w:type="dxa"/>
            <w:vAlign w:val="bottom"/>
          </w:tcPr>
          <w:p>
            <w:pPr>
              <w:spacing w:after="0"/>
              <w:rPr>
                <w:sz w:val="10"/>
                <w:szCs w:val="10"/>
                <w:color w:val="auto"/>
              </w:rPr>
            </w:pPr>
          </w:p>
        </w:tc>
      </w:tr>
      <w:tr>
        <w:trPr>
          <w:trHeight w:val="173"/>
        </w:trPr>
        <w:tc>
          <w:tcPr>
            <w:tcW w:w="6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Bristol Hospice,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HMN Holdco,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Knowland Technology Holdings,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Easy 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Oceans Acquisition,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Investors, Inc.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tcPr>
          <w:p>
            <w:pPr>
              <w:spacing w:after="0"/>
              <w:rPr>
                <w:sz w:val="19"/>
                <w:szCs w:val="19"/>
                <w:color w:val="auto"/>
              </w:rPr>
            </w:pPr>
          </w:p>
        </w:tc>
      </w:tr>
    </w:tbl>
    <w:p>
      <w:pPr>
        <w:spacing w:after="0" w:line="211"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On July 10, 2014, our board of directors appointed Henri J. Steenkamp to serve as our Chief Financial Officer and Chief Compliance Officer. As previously disclosed, Mr. Steenkamp was previously appointed to serve as our Interim Chief Financial Officer and Interim Chief Compliance Officer on March 4, 2014.</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July 10, 2014, our board of directors, including a majority of the independent directors, approved the annual continuation of our investment advisory and management agreement with Saratoga Investment Advisors, LLC. Our board of directors also approved the renewal of the administration agreement with Saratoga Investment Advisors, LLC for an additional one-year term and determined to maintain the cap on the payment or reimbursement of expenses by us thereunder to $1.0 million for the additional one-year term.</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266"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7A. Quantitative and Qualitative Disclosures about Market Risk</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business activities contain elements of market risk. We consider our principal market risk to be the fluctuation in interest rates. Managing this risk is essential to our business. Accordingly, we have systems and procedures designed to identify and analyze our risks, to establish appropriate policies and thresholds and to continually monitor this risk and thresholds by means of administrative and information technology systems and other policies and processes.</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leveraged loans, high yield bonds and other debt investments and the value of our investment portfolio.</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investment income is affected by fluctuations in various interest rates, including LIBOR and the prime rate. A large portion of our portfolio is, and we expect will continue to be, comprised of floating rate investments that utilize LIBOR. Our interest expense is affected by fluctuations in LIBOR. At February 28, 2015, we had $136.9 million of borrowings outstanding.</w:t>
      </w:r>
    </w:p>
    <w:p>
      <w:pPr>
        <w:spacing w:after="0" w:line="176"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analyzed the potential impact of changes in interest rates on interest income from investments net of interest expense on the Credit Facility. Assuming that our investments as of February 28, 2015 were to remain constant for a full fiscal year and no actions were taken to alter the existing interest rate terms, a hypothetical change of 1.0% in interest rates would cause a corresponding increase of approximately $0.3 million to our interest income net of interest expense.</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Although management believes that this measure is indicative of our sensitivity to interest rate changes, it does not adjust for potential changes in credit quality, size and composition of the assets on the statement of assets and liabilities and other business developments that could magnify or diminish our sensitivity to interest rate changes, nor does it account for divergences in LIBOR and the commercial paper rate, which have historically moved in tandem but, in times of unusual credit dislocations, have experienced periods of divergence. Accordingly no assurances can be given that actual results would not materially differ from the potential outcome simulated by this estimate.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financial statements are annexed to this Annual Report beginning on page F-1. In addition, the Financial Statements of Saratoga Investment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2013-1, Ltd. are annexed to this Annual Report beginning on page S-1.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266" w:right="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9A. 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of the Exchange Act). Under the supervision and with participation of our Chief Executive Officer and Chief Financial Officer, the Company conducted an evaluation of the effectiveness of internal control over financial reporting based on the criteria established in Internal Control — Integrated Framework (2013) issued by the Committee of Sponsoring Organizations of the Treadway Commission (COSO). Based on the Company’s evaluation under the framework in Internal Control — Integrated Framework (2013), management concluded that the Company’s internal control over financial reporting was effective as of February 28, 2015.</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of Exchange Act) that occurred during our most recently completed fiscal year that have materially affected, or are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266" w:right="2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held by each of our directors, followed by a brief biography of each individual, including the business experience of each individual during the past five years and the specific qualifications that led to the conclusion that each individual should serve as a director.</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40" w:type="dxa"/>
            <w:vAlign w:val="bottom"/>
            <w:vMerge w:val="restart"/>
          </w:tcPr>
          <w:p>
            <w:pPr>
              <w:spacing w:after="0"/>
              <w:rPr>
                <w:sz w:val="13"/>
                <w:szCs w:val="13"/>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20" w:type="dxa"/>
            <w:vAlign w:val="bottom"/>
          </w:tcPr>
          <w:p>
            <w:pPr>
              <w:spacing w:after="0"/>
              <w:rPr>
                <w:sz w:val="13"/>
                <w:szCs w:val="13"/>
                <w:color w:val="auto"/>
              </w:rPr>
            </w:pPr>
          </w:p>
        </w:tc>
        <w:tc>
          <w:tcPr>
            <w:tcW w:w="412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3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120" w:type="dxa"/>
            <w:vAlign w:val="bottom"/>
            <w:gridSpan w:val="2"/>
            <w:vMerge w:val="continue"/>
          </w:tcPr>
          <w:p>
            <w:pPr>
              <w:spacing w:after="0"/>
              <w:rPr>
                <w:sz w:val="15"/>
                <w:szCs w:val="15"/>
                <w:color w:val="auto"/>
              </w:rPr>
            </w:pPr>
          </w:p>
        </w:tc>
        <w:tc>
          <w:tcPr>
            <w:tcW w:w="52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Since</w:t>
            </w:r>
          </w:p>
        </w:tc>
        <w:tc>
          <w:tcPr>
            <w:tcW w:w="300" w:type="dxa"/>
            <w:vAlign w:val="bottom"/>
          </w:tcPr>
          <w:p>
            <w:pPr>
              <w:spacing w:after="0"/>
              <w:rPr>
                <w:sz w:val="15"/>
                <w:szCs w:val="15"/>
                <w:color w:val="auto"/>
              </w:rPr>
            </w:pPr>
          </w:p>
        </w:tc>
        <w:tc>
          <w:tcPr>
            <w:tcW w:w="4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Expires</w:t>
            </w:r>
          </w:p>
        </w:tc>
        <w:tc>
          <w:tcPr>
            <w:tcW w:w="0" w:type="dxa"/>
            <w:vAlign w:val="bottom"/>
          </w:tcPr>
          <w:p>
            <w:pPr>
              <w:spacing w:after="0"/>
              <w:rPr>
                <w:sz w:val="1"/>
                <w:szCs w:val="1"/>
                <w:color w:val="auto"/>
              </w:rPr>
            </w:pPr>
          </w:p>
        </w:tc>
      </w:tr>
      <w:tr>
        <w:trPr>
          <w:trHeight w:val="171"/>
        </w:trPr>
        <w:tc>
          <w:tcPr>
            <w:tcW w:w="45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2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L. Oberbeck</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Grisius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President and 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2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Looney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 Whitman III</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Cabell Williams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Christian L. Oberbeck</w:t>
      </w:r>
      <w:r>
        <w:rPr>
          <w:rFonts w:ascii="Times New Roman" w:cs="Times New Roman" w:eastAsia="Times New Roman" w:hAnsi="Times New Roman"/>
          <w:sz w:val="18"/>
          <w:szCs w:val="18"/>
          <w:color w:val="auto"/>
        </w:rPr>
        <w:t>—Mr. Oberbeck has over 27 years of experience in leveraged finance, from distressed debt to private equity, and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involved in originating, structuring, negotiating, consummating, managing and monitoring investments in these businesses. Mr. Oberbeck is the Managing Partner of Saratoga Partners, a middle market private equity investment firm, and has served on its investment committee since 1995. Mr. Oberbeck is also the Managing Member of Saratoga Investment Advisors, LLC, the Company’s investment adviser, and the Chief Executive Officer of the Company.</w:t>
      </w:r>
    </w:p>
    <w:p>
      <w:pPr>
        <w:spacing w:after="0"/>
        <w:rPr>
          <w:sz w:val="20"/>
          <w:szCs w:val="20"/>
          <w:color w:val="auto"/>
        </w:rPr>
      </w:pPr>
      <w:r>
        <w:rPr>
          <w:rFonts w:ascii="Times New Roman" w:cs="Times New Roman" w:eastAsia="Times New Roman" w:hAnsi="Times New Roman"/>
          <w:sz w:val="18"/>
          <w:szCs w:val="18"/>
          <w:color w:val="auto"/>
        </w:rPr>
        <w:t>Mr. Oberbeck also served as our President until February 2014.</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Prior to assuming management responsibility for Saratoga Partners in 2008, Mr. Oberbeck has co-managed Saratoga Partners since 1995, when he joined Dillon Read and Saratoga Partners from Castle Harlan, Inc., a corporate buyout firm which he had joined at its founding in 1987 and was a Managing Director, leading successful investments in manufacturing and financial services companies. Prior to that, he worked in the Corporate Development Group of Arthur Young and in corporate finance at Blyth Eastman Paine Webber. Mr. Oberbeck has been a director of numerous middle market companies.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Mr. Oberbeck graduated from Brown University in 1982 with a BS in Physics and a BA in Mathematics. In 1985, he earned an MBA from Columbia University. Mr. Oberbeck’s qualifications as a director include his extensive experience in the investment and finance industry, as well as his intimate knowledge of the Company’s operations, gained through his service as an executive officer.</w:t>
      </w:r>
    </w:p>
    <w:p>
      <w:pPr>
        <w:spacing w:after="0" w:line="172"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Michael J. Grisius</w:t>
      </w:r>
      <w:r>
        <w:rPr>
          <w:rFonts w:ascii="Times New Roman" w:cs="Times New Roman" w:eastAsia="Times New Roman" w:hAnsi="Times New Roman"/>
          <w:sz w:val="18"/>
          <w:szCs w:val="18"/>
          <w:color w:val="auto"/>
        </w:rPr>
        <w:t>—Mr. Grisius has over 24 years of experience in leveraged finance, investment management and financial services. 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originated, structured, negotiated, consummated, managed and monitored numerous successful investments in mezzanine debt, private equity, senior debt, structured products and commercial real estate debt. Mr. Grisius is Chief Investment Officer and a Managing Director of Saratoga Investment Advisors, LLC, the Company’s investment adviser, and was appointed President of the Company in February 2013. Mr. Grisius joined Saratoga Investment Advisors, LLC in July 2011.</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joining Saratoga Investment Advisors, Mr. Grisius served as Managing Director at Allied Capital Corporation, where he was an investment professional for 16 years. At Allied Capital Corporation, Mr. Grisius held several senior positions including co-head of Mezzanine Finance and member of its Management Committee and its Investment Committee. In 2008, Mr. Grisius was appointed co-chairman of the Allied Capital Corporation’s Investment Committee. He also had responsibility for structuring and managing Unitranche Fund, LLC. During his tenure at Allied, Mr. Grisius built and led teams that made investments in subordinated debt, control equity and real estate mortgage debt. Mr. Grisius has served on the board of directors of numerous middle market companies. Prior to joining Allied Capital Corp., Mr. Grisius worked in leveraged finance at Chemical Bank from 1989 to 1992 and held senior accountant and consultant positions with KPMG LLP from 1985 to 1988.</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Mr. Grisius graduated with a BS from Georgetown University in 1985 and earned an MBA from Cornell University’s Johnson Graduate School of Management in 1990. Mr. Grisius’ qualifications as a director include his broad experience in leverage finance, investment management, private equity and financial services.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266" w:right="279" w:bottom="1440" w:gutter="0" w:footer="0" w:header="0"/>
        </w:sectPr>
      </w:pPr>
    </w:p>
    <w:bookmarkStart w:id="74" w:name="page75"/>
    <w:bookmarkEnd w:id="74"/>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Steven M. Looney</w:t>
      </w:r>
      <w:r>
        <w:rPr>
          <w:rFonts w:ascii="Times New Roman" w:cs="Times New Roman" w:eastAsia="Times New Roman" w:hAnsi="Times New Roman"/>
          <w:sz w:val="18"/>
          <w:szCs w:val="18"/>
          <w:color w:val="auto"/>
        </w:rPr>
        <w:t>—Mr. Looney is a Managing Director of Peale Davies &amp; Co. Inc., a consulting firm with particular expertise in financial process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outsourcing, and is a CPA and an attorney. Mr. Looney also serves as a consultant and director to numerous companies in the healthcare, manufacturing and technology services industries, including WH Industries Inc. Between 2000 and 2005, he served as Senior Vice President and Chief Financial Officer of PCCI, Inc., a private IT staffing and outsourcing firm. Between 1992 and 2000, Mr. Looney worked at WH Industries as Chief Financial and Administrative Officer. Mr. Looney also serves as a director of Excellent Education for Everyone, a nonprofit organization. Mr. Looney graduated summa cum laude from the University of Washington with a B.A. degree in Accounting and received a J.D. from the University of Washington School of Law where he was a member of the law review. Mr. Looney’s qualifications as director include his experience as a Managing Director of Peale Davies &amp; Co. Inc. and as Chief Financial and Administrative Officer of WH Industries, as well as his financial, accounting and legal expertise.</w:t>
      </w:r>
    </w:p>
    <w:p>
      <w:pPr>
        <w:spacing w:after="0" w:line="185"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Charles S. Whitman III</w:t>
      </w:r>
      <w:r>
        <w:rPr>
          <w:rFonts w:ascii="Times New Roman" w:cs="Times New Roman" w:eastAsia="Times New Roman" w:hAnsi="Times New Roman"/>
          <w:sz w:val="18"/>
          <w:szCs w:val="18"/>
          <w:color w:val="auto"/>
        </w:rPr>
        <w:t>—Mr. Whitman is senior counsel (retired) at Davis Polk &amp; Wardwell LLP. Mr. Whitman was a partner in Davis Polk’s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Department for 28 years, representing clients in a broad range of corporate finance matters, including shelf registrations, securities compliance for financial institutions, foreign asset privatizations, and mergers and acquisitions. From 1971 to 1973, Mr. Whitman served as Executive Assistant to three successive Chairmen of the SEC. Mr. Whitman graduated from Harvard College and graduated magna cum laude from Harvard Law School with a LL.B. Mr. Whitman also received an LL.M. from Cambridge University in England. Mr. Whitman’s qualifications as director include his 28 years of experience representing clients, including AT&amp;T, Exxon Mobil, General Motors and BP, in securities matters as a partner in Davis Polk’s corporate department.</w:t>
      </w:r>
    </w:p>
    <w:p>
      <w:pPr>
        <w:spacing w:after="0" w:line="18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 Cabell Williams</w:t>
      </w:r>
      <w:r>
        <w:rPr>
          <w:rFonts w:ascii="Times New Roman" w:cs="Times New Roman" w:eastAsia="Times New Roman" w:hAnsi="Times New Roman"/>
          <w:sz w:val="18"/>
          <w:szCs w:val="18"/>
          <w:color w:val="auto"/>
        </w:rPr>
        <w:t>—Mr. Williams has served as the Managing General Partner of Williams and Gallagher, a private equity partnership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Chevy Chase, Maryland since 2004. Mr Williams is also a Senior Manager, Director of Farragut Capital Partners which is a Chevy Chase, Maryland based Mezzanine Fund. Since 2011, Mr. Williams has also served as a partner of Farragut Capital Partners, an investment firm based in Fairfax, VA. In 2004, Mr. Williams concluded a 23 year career at Allied Capital Corporation, a business development company based in Washington, DC, which was acquired by Ares Capital Corporation in 2010. While at Allied, Mr. Williams held a variety of positions, including President, COO and finally Managing Director following Allied’s merger with its affiliates in 1998. From 1991 to 2004, Mr. Williams either led or co-managed the firm’s Private Equity Group. For the nine years prior to 1999, Mr. Williams led Allied’s Mezzanine investment activities. For 15 years, Mr. Williams served on Allied’s Investment Committee where he was responsible for reviewing and approving all of the firm’s investments. Prior to 1991, Mr. Williams ran Allied’s Minority Small Business Investment Company. He also founded Allied Capital Commercial Corporation, a real estate investment vehicle. Mr. Williams has served on the Board of various public and private companies. Mr. Williams attended The Landon School, and graduated from Mercersburg Academy and Rollins College, receiving a B.S. in Business Administration from the latter. Mr. Williams’ qualifications as director include his 28 years of experience managing investment activities at Allied Capital, where he served in a variety of positions, including President, COO and Managing Director.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Who Is Not also a Director</w:t>
      </w:r>
    </w:p>
    <w:p>
      <w:pPr>
        <w:spacing w:after="0" w:line="121"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held by our executive officer who is not also a director, followed by a brief biography, including the business experience during the past five years.</w:t>
      </w:r>
    </w:p>
    <w:p>
      <w:pPr>
        <w:spacing w:after="0" w:line="182" w:lineRule="exact"/>
        <w:rPr>
          <w:sz w:val="20"/>
          <w:szCs w:val="20"/>
          <w:color w:val="auto"/>
        </w:rPr>
      </w:pPr>
    </w:p>
    <w:p>
      <w:pPr>
        <w:ind w:left="1840"/>
        <w:spacing w:after="0"/>
        <w:tabs>
          <w:tab w:leader="none" w:pos="5720" w:val="left"/>
          <w:tab w:leader="none" w:pos="766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16510</wp:posOffset>
            </wp:positionV>
            <wp:extent cx="21012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7" w:lineRule="exact"/>
        <w:rPr>
          <w:sz w:val="20"/>
          <w:szCs w:val="20"/>
          <w:color w:val="auto"/>
        </w:rPr>
      </w:pPr>
    </w:p>
    <w:p>
      <w:pPr>
        <w:ind w:left="1840"/>
        <w:spacing w:after="0"/>
        <w:tabs>
          <w:tab w:leader="none" w:pos="5720" w:val="left"/>
          <w:tab w:leader="none" w:pos="6260" w:val="left"/>
        </w:tabs>
        <w:rPr>
          <w:sz w:val="20"/>
          <w:szCs w:val="20"/>
          <w:color w:val="auto"/>
        </w:rPr>
      </w:pPr>
      <w:r>
        <w:rPr>
          <w:rFonts w:ascii="Times New Roman" w:cs="Times New Roman" w:eastAsia="Times New Roman" w:hAnsi="Times New Roman"/>
          <w:sz w:val="18"/>
          <w:szCs w:val="18"/>
          <w:color w:val="auto"/>
        </w:rPr>
        <w:t>Henri J. Steenkamp</w:t>
      </w:r>
      <w:r>
        <w:rPr>
          <w:sz w:val="20"/>
          <w:szCs w:val="20"/>
          <w:color w:val="auto"/>
        </w:rPr>
        <w:tab/>
      </w: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Chief Financial Officer, Chief Compliance</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Officer, Treasurer and Secretary</w:t>
      </w:r>
    </w:p>
    <w:p>
      <w:pPr>
        <w:spacing w:after="0" w:line="20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Henri J. Steenkamp</w:t>
      </w:r>
      <w:r>
        <w:rPr>
          <w:rFonts w:ascii="Times New Roman" w:cs="Times New Roman" w:eastAsia="Times New Roman" w:hAnsi="Times New Roman"/>
          <w:sz w:val="18"/>
          <w:szCs w:val="18"/>
          <w:color w:val="auto"/>
        </w:rPr>
        <w:t>— Mr. Steenkamp, 39 years old, had served as the Chief Financial Officer of MF Global Holdings Ltd., a broker in commodities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derivatives, from April 2011. Prior to that, Mr. Steenkamp held the position of Chief Accounting Officer and Global Controller at MF Global for four years. He joined MF Global, then Man Financial, in 2006 as Vice President of External Reporting and Accounting Policy. After MF Global filed for bankruptcy protection in October 2011, he continued to serve as Chief Financial Officer through January 2013.</w:t>
      </w:r>
    </w:p>
    <w:p>
      <w:pPr>
        <w:spacing w:after="0" w:line="18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Before joining MF Global, Mr. Steenkamp spent eight years with PricewaterhouseCoopers (“PwC”), including four years in Transaction Services in its New York office, managing a variety of capital-raising transactions on a global basis. His focus was also on the SEC registration and public company filing process, including technical accounting. He spent four years with PwC in South Africa, where he served as an auditor primarily for SEC registrants and assisted South African companies as they went public in the U.S. Mr. Steenkamp is a chartered accountant and holds an honors degree in Finance.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266"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16(a) Beneficial Ownership Reporting Compliance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and executive officers, and persons who own 10.0% or more of our voting stock, to file reports of ownership and changes in ownership of our equity securities with the SEC. Directors, executive officers and 10.0% or more holders are required by SEC regulations to furnish us with copies of all Section 16(a) forms they file. Based solely on a review of the copies of those forms furnished to us, or written representations that no such forms were required, we believe that our directors, executive officers and 10.0% or more beneficial owners complied with all Section 16(a) filing requirements during the year ended February 28,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which applies to, among others, our executive officers, including our principal executive officer and principal financial officer, as well as every officer, director and employee of the Company. Requests for copies should be sent in writing to Saratoga Investment Corp., 535 Madison Avenue, New York, New York 10022. The Company’s Code of Business Conduct and Ethics is also available on our website at </w:t>
      </w:r>
      <w:r>
        <w:rPr>
          <w:rFonts w:ascii="Times New Roman" w:cs="Times New Roman" w:eastAsia="Times New Roman" w:hAnsi="Times New Roman"/>
          <w:sz w:val="18"/>
          <w:szCs w:val="18"/>
          <w:i w:val="1"/>
          <w:iCs w:val="1"/>
          <w:color w:val="auto"/>
        </w:rPr>
        <w:t>http://saratogainvestmentcorp.com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If we make any substantive amendment to, or grant a waiver from, a provision of our Code of Business Conduct and Ethics, we will promptly disclose the nature of the amendment or waiver on our website at </w:t>
      </w:r>
      <w:r>
        <w:rPr>
          <w:rFonts w:ascii="Times New Roman" w:cs="Times New Roman" w:eastAsia="Times New Roman" w:hAnsi="Times New Roman"/>
          <w:sz w:val="18"/>
          <w:szCs w:val="18"/>
          <w:i w:val="1"/>
          <w:iCs w:val="1"/>
          <w:color w:val="auto"/>
        </w:rPr>
        <w:t>http://saratogainvestmentcorp.com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 implemented since the filing of our Proxy Statement for our 2014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current members of the audit committee are Steven M. Looney (Chairman), Charles S. Whitman III and G. Cabell Williams. The Board has determined that Mr. Looney is an “audit committee financial expert” as defined under Item 407 of Regulation S-K of the Securities Exchange Act of 1934 and that each of Messrs. Whitman and Williams are “financially literate” as required by NYSE corporate governance standards. All of these members are independent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Currently, none of our executive officers are compensated by us. We currently have no employees, and each of our executive officers is also an employee of Saratoga Investment Advisors. Services necessary for our business are provided by individuals who are employees of Saratoga Investment Advisors, pursuant to the terms of the Management Agreement and an administration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266" w:right="239"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sets forth information concerning total compensation earned by or paid to each of our directors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vMerge w:val="restart"/>
          </w:tcPr>
          <w:p>
            <w:pPr>
              <w:spacing w:after="0"/>
              <w:rPr>
                <w:sz w:val="13"/>
                <w:szCs w:val="13"/>
                <w:color w:val="auto"/>
              </w:rPr>
            </w:pPr>
          </w:p>
        </w:tc>
        <w:tc>
          <w:tcPr>
            <w:tcW w:w="3240" w:type="dxa"/>
            <w:vAlign w:val="bottom"/>
            <w:gridSpan w:val="3"/>
          </w:tcPr>
          <w:p>
            <w:pPr>
              <w:ind w:left="23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640" w:type="dxa"/>
            <w:vAlign w:val="bottom"/>
          </w:tcPr>
          <w:p>
            <w:pPr>
              <w:spacing w:after="0"/>
              <w:rPr>
                <w:sz w:val="13"/>
                <w:szCs w:val="13"/>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9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6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L. Oberbeck(1)</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Grisius(1)</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Looney</w:t>
            </w:r>
          </w:p>
        </w:tc>
        <w:tc>
          <w:tcPr>
            <w:tcW w:w="25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 Whitman III</w:t>
            </w:r>
          </w:p>
        </w:tc>
        <w:tc>
          <w:tcPr>
            <w:tcW w:w="256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2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Cabell Williams</w:t>
            </w:r>
          </w:p>
        </w:tc>
        <w:tc>
          <w:tcPr>
            <w:tcW w:w="256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24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compensation was paid to directors who are interested persons of us as defined in the 1940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current members of the compensation committee are G. Cabell Williams (Chairman), Steven M. Looney and Charles S. Whitman III. All of these members are independent directors. The compensation committee is responsible for overseeing the Company’s compensation policies generally and making recommendations to the Board with respect to incentive compensation and equity-based plans of the Company that are subject to Board approval, evaluating executive officer performance and reviewing the Company’s management succession plan, overseeing and setting compensation for the Company’s directors and, as applicable, its executive officers and, as applicable, preparing the report on executive officer compensation that SEC rules require to be included in our annual report on Form 10-K. Currently, none of our executive officers are compensated by the Company and as such the compensation committee is not required to produce a report on executive officer compensation for inclusion in our annual report on Form 10-K.</w:t>
      </w:r>
    </w:p>
    <w:p>
      <w:pPr>
        <w:spacing w:after="0" w:line="189"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During fiscal year 2015, none of the Company’s executive officers served on the board of directors (or a compensation committee thereof or other board committee performing equivalent functions) of any entities that had one or more executive officers serve on the compensation committee or on the board of directors. No current or past executive officers or employees of the Company or its affiliates serve on the compensation committee.</w:t>
      </w:r>
    </w:p>
    <w:p>
      <w:pPr>
        <w:spacing w:after="0" w:line="2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20, 2015, the beneficial ownership of each current director, the nominees for director, the Company’s executive officers, each person known to us to beneficially own 5.0% or more of the outstanding shares of our common stock, and the executive officers and directors as a group.</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percentage ownership is based on 5,428,758 shares of common stock outstanding as of May 20, 2015. Shares of common stock that are subject to warrants or other convertible securities currently exercisable or exercisable within 60 days thereof, are deemed outstanding for the purposes of computing the percentage ownership of the person holding these options or convertible securities, but are not deemed outstanding for computing the percentage ownership of any other person. Beneficial ownership is determined under the rules of the SEC and generally includes voting or investment power with respect to securities. To our knowledge, unless otherwise indicated in the footnotes to this table, the persons and entities named in the table have sole voting and sole investment power with respect to all shares beneficially owned. Unless otherwise indicated by footnote, the address for each listed individual is Saratoga Investment Corp., 535 Madison Avenue, New York, New York 10022.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20" w:type="dxa"/>
            <w:vAlign w:val="bottom"/>
            <w:gridSpan w:val="3"/>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2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980" w:type="dxa"/>
            <w:vAlign w:val="bottom"/>
          </w:tcPr>
          <w:p>
            <w:pPr>
              <w:spacing w:after="0"/>
              <w:rPr>
                <w:sz w:val="12"/>
                <w:szCs w:val="12"/>
                <w:color w:val="auto"/>
              </w:rPr>
            </w:pPr>
          </w:p>
        </w:tc>
        <w:tc>
          <w:tcPr>
            <w:tcW w:w="18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8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84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60" w:type="dxa"/>
            <w:vAlign w:val="bottom"/>
          </w:tcPr>
          <w:p>
            <w:pPr>
              <w:spacing w:after="0"/>
              <w:rPr>
                <w:sz w:val="15"/>
                <w:szCs w:val="15"/>
                <w:color w:val="auto"/>
              </w:rPr>
            </w:pPr>
          </w:p>
        </w:tc>
        <w:tc>
          <w:tcPr>
            <w:tcW w:w="8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29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L. Oberbeck</w:t>
            </w:r>
          </w:p>
        </w:tc>
        <w:tc>
          <w:tcPr>
            <w:tcW w:w="2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1,558,687(1)</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Grisius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Henri J. Steenkamp</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M. Looney</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 Whitman III</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5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 Cabell Williams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31,876</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9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1,662,860</w:t>
            </w:r>
          </w:p>
        </w:tc>
        <w:tc>
          <w:tcPr>
            <w:tcW w:w="56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Owners of 5% or more of our common stock</w:t>
            </w: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 Diamond Capital Management, L.L.C.(2)</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512,273</w:t>
            </w:r>
          </w:p>
        </w:tc>
        <w:tc>
          <w:tcPr>
            <w:tcW w:w="56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Oberbeck(3)</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744,183</w:t>
            </w: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V. Inglesby(4)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272,047</w:t>
            </w:r>
          </w:p>
        </w:tc>
        <w:tc>
          <w:tcPr>
            <w:tcW w:w="56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17"/>
        </w:trPr>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Less than 1.0%</w:t>
            </w: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360"/>
          </w:cols>
          <w:pgMar w:left="240" w:top="270" w:right="2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60"/>
          </w:cols>
          <w:pgMar w:left="240" w:top="270" w:right="2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Oberbeck and Mr. Inglesby are affiliates who make up 33.7% of the ownership of SAR.</w:t>
      </w:r>
    </w:p>
    <w:p>
      <w:pPr>
        <w:spacing w:after="0" w:line="131" w:lineRule="exact"/>
        <w:rPr>
          <w:sz w:val="20"/>
          <w:szCs w:val="20"/>
          <w:color w:val="auto"/>
        </w:rPr>
      </w:pPr>
    </w:p>
    <w:p>
      <w:pPr>
        <w:ind w:left="460" w:right="100" w:hanging="452"/>
        <w:spacing w:after="0" w:line="257"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468,973 shares of common stock directly held by Mr. Oberbeck, 166,727 shares of common stock held by Saratoga Investment Advisors, which Mr. Oberbeck controls, and 178,804 shares of common stock held by CLO Partners LLC, an entity wholly owned by Mr. Oberbeck and 744,183 shares of common stock directly held by Elizabeth Oberbeck. See footnote 3 below.</w:t>
      </w:r>
    </w:p>
    <w:p>
      <w:pPr>
        <w:spacing w:after="0" w:line="1" w:lineRule="exact"/>
        <w:rPr>
          <w:rFonts w:ascii="Times New Roman" w:cs="Times New Roman" w:eastAsia="Times New Roman" w:hAnsi="Times New Roman"/>
          <w:sz w:val="18"/>
          <w:szCs w:val="18"/>
          <w:color w:val="auto"/>
        </w:rPr>
      </w:pPr>
    </w:p>
    <w:p>
      <w:pPr>
        <w:jc w:val="both"/>
        <w:ind w:left="460" w:right="800" w:hanging="452"/>
        <w:spacing w:after="0" w:line="265" w:lineRule="auto"/>
        <w:tabs>
          <w:tab w:leader="none" w:pos="4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included in Amendment No. 3 to Schedule 13G filed by Black Diamond Capital Management, L.L.C. with the SEC on February 17, 2015. The address of Black Diamond Capital Management, L.L.C. is One Sound Shore Drive, Suite 200, Greenwich, CT 06830</w:t>
      </w:r>
    </w:p>
    <w:p>
      <w:pPr>
        <w:jc w:val="both"/>
        <w:ind w:left="460" w:right="80" w:hanging="452"/>
        <w:spacing w:after="0" w:line="250"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included in Amendment No. 3 to Schedule 13D filed jointly by Christian L. Oberbeck, Elizabeth Oberbeck, Saratoga Investment Advisors and CLO Partners LLC on November 4, 2014. Pursuant to an Agreement Relating to Shares of Common Stock of Saratoga Investment Corp. (the “Transfer Agreement”), Christian L. Oberbeck transferred 744,183 shares of common stock beneficially owned by him to Elizabeth Oberbeck.</w:t>
      </w:r>
    </w:p>
    <w:p>
      <w:pPr>
        <w:spacing w:after="0" w:line="1" w:lineRule="exact"/>
        <w:rPr>
          <w:rFonts w:ascii="Times New Roman" w:cs="Times New Roman" w:eastAsia="Times New Roman" w:hAnsi="Times New Roman"/>
          <w:sz w:val="18"/>
          <w:szCs w:val="18"/>
          <w:color w:val="auto"/>
        </w:rPr>
      </w:pPr>
    </w:p>
    <w:p>
      <w:pPr>
        <w:ind w:left="46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Oberbeck has full ownership rights with respect to the shares, including without limitation, the right to (A) receive any cash and/or stock dividends and distributions paid on or with respect to the shares and (B) sell the shares in accordance with the provisions of the Transfer Agreement and receive all proceeds therefrom. However, pursuant to the terms of the Transfer Agreement, Christian L. Oberbeck has retained the right to vote the shares, except that Elizabeth Oberbeck has retained the right to vote the shares on all matters submitted to shareholders with respect to any matter that could give rise to dissenters or other rights of an objecting shareholder under Maryland General Corporation Law. The Transfer Agreement also contains a right of first refusal that requires Elizabeth Oberbeck to offer Christian L. Oberbeck the opportunity to purchase any shares of Common Stock owned by her prior to her intended sale of the shares. Any such purchases may be made either directly by Mr. Oberbeck or through entities affiliated with him.</w:t>
      </w:r>
    </w:p>
    <w:p>
      <w:pPr>
        <w:spacing w:after="0" w:line="292" w:lineRule="exact"/>
        <w:rPr>
          <w:sz w:val="20"/>
          <w:szCs w:val="20"/>
          <w:color w:val="auto"/>
        </w:rPr>
      </w:pPr>
    </w:p>
    <w:p>
      <w:pPr>
        <w:ind w:right="2500"/>
        <w:spacing w:after="0" w:line="378"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 Transactions with Related Persons</w:t>
      </w: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entered into an Management Agreement with Saratoga Investment Advisors, LLC. We have also entered into a license agreement with Saratoga Investment Advisors, LLC, pursuant to which Saratoga Investment Advisors has agreed to grant us a non-exclusive, royalty-free license to use the name “Saratoga.” In addition, pursuant to the terms of the administration agreement, Saratoga Investment Advisors, LLC provides us with the office facilities and administrative services necessary to conduct our day-to-day operations. Mr. Oberbeck, our chief executive officer, is the primary investor in and controls Saratoga Investment Advisors, LLC.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is required to review and approve any transactions with related persons (as such term is defined in Item 404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In accordance with rules of the New York Stock Exchange (the “NYSE”), the Board annually determines the independence of each director. No director is considered independent unless the Board has determined that he or she has no material relationship with the Company. The Company monitors the status of its directors and officers through the activities of the Company’s Nominating and Corporate Governance Committee and through a questionnaire to be completed by each director no less frequently than annually, with updates periodically if information provided in the most recent questionnaire has changed.</w:t>
      </w:r>
    </w:p>
    <w:p>
      <w:pPr>
        <w:spacing w:after="0" w:line="16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order to evaluate the materiality of any such relationship, the Board uses the definition of director independence set forth in the NYSE Listed Company Manual. Section 303A.00 of the NYSE Listed Company Manual provides that business development companies, or BDCs, such as the Company, are required to comply with all of the provisions of Section 303A applicable to domestic issuers other than Sections 303A.02, the section that defines director independence.</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Section 303A.00 provides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270" w:right="239" w:bottom="1440" w:gutter="0" w:footer="0" w:header="0"/>
        </w:sectPr>
      </w:pPr>
    </w:p>
    <w:bookmarkStart w:id="78" w:name="page79"/>
    <w:bookmarkEnd w:id="78"/>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has determined that each of the directors is independent and has no relationship with the Company, except as a director and stockholder of the Company, with the exception of Messrs. Oberbeck and Grisius who are interested persons of the Company due to their positions as officers of the Company and its investment adviser.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For the years ended February 28, 2015 and February 28, 2014, the Company incurred the following fees for services provided by Ernst &amp; Young LLP, including expenses: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8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3400" w:type="dxa"/>
            <w:vAlign w:val="bottom"/>
          </w:tcPr>
          <w:p>
            <w:pPr>
              <w:spacing w:after="0"/>
              <w:rPr>
                <w:sz w:val="15"/>
                <w:szCs w:val="15"/>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28, 2015</w:t>
            </w:r>
          </w:p>
        </w:tc>
        <w:tc>
          <w:tcPr>
            <w:tcW w:w="21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February 28, 2014</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513,710</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2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576,710</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576,600</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include fees for services that normally would be provided by the accountant in connection with statutory and regulatory 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engagements and that generally only the independent accountant can provide. In addition to fees for the audit of our annual financial statements, the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180" w:lineRule="exact"/>
        <w:rPr>
          <w:sz w:val="20"/>
          <w:szCs w:val="20"/>
          <w:color w:val="auto"/>
        </w:rPr>
      </w:pPr>
    </w:p>
    <w:p>
      <w:pPr>
        <w:ind w:right="3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Related Fees. </w:t>
      </w:r>
      <w:r>
        <w:rPr>
          <w:rFonts w:ascii="Times New Roman" w:cs="Times New Roman" w:eastAsia="Times New Roman" w:hAnsi="Times New Roman"/>
          <w:sz w:val="18"/>
          <w:szCs w:val="18"/>
          <w:color w:val="auto"/>
        </w:rPr>
        <w:t>Audit related fees are assurance related services that traditionally are performed by the independent accountant, such as attest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are not required by statute or regulation.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include services in conjunction with preparation of the Company’s tax return.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Fees for other services would include fees for products and services other than the services reported above.</w:t>
      </w:r>
    </w:p>
    <w:p>
      <w:pPr>
        <w:spacing w:after="0" w:line="227"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It is the policy of the audit committee to pre-approve all audit, review or attest engagements and permissible non-audit services to be performed by our independent registered public accounting firm.</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240" w:top="270" w:right="319" w:bottom="1440" w:gutter="0" w:footer="0" w:header="0"/>
        </w:sectPr>
      </w:pPr>
    </w:p>
    <w:bookmarkStart w:id="79" w:name="page80"/>
    <w:bookmarkEnd w:id="79"/>
    <w:p>
      <w:pPr>
        <w:ind w:left="53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CONSOLIDATED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financial statements of the Company are filed herewith:</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Consolidated Statements of Assets and Liabilities as of February 28, 2015 and February 28, 2014</w:t>
      </w:r>
    </w:p>
    <w:p>
      <w:pPr>
        <w:spacing w:after="0" w:line="117" w:lineRule="exact"/>
        <w:rPr>
          <w:sz w:val="20"/>
          <w:szCs w:val="20"/>
          <w:color w:val="auto"/>
        </w:rPr>
      </w:pPr>
    </w:p>
    <w:p>
      <w:pPr>
        <w:ind w:left="920" w:right="840"/>
        <w:spacing w:after="0" w:line="375" w:lineRule="auto"/>
        <w:rPr>
          <w:sz w:val="20"/>
          <w:szCs w:val="20"/>
          <w:color w:val="auto"/>
        </w:rPr>
      </w:pPr>
      <w:r>
        <w:rPr>
          <w:rFonts w:ascii="Times New Roman" w:cs="Times New Roman" w:eastAsia="Times New Roman" w:hAnsi="Times New Roman"/>
          <w:sz w:val="18"/>
          <w:szCs w:val="18"/>
          <w:color w:val="auto"/>
        </w:rPr>
        <w:t>Consolidated Statements of Operations for the years ended February 28, 2015, February 28, 2014, and February 28, 2013 Consolidated Schedules of Investments as of February 28, 2015 and February 28, 2014</w:t>
      </w:r>
    </w:p>
    <w:p>
      <w:pPr>
        <w:spacing w:after="0" w:line="1" w:lineRule="exact"/>
        <w:rPr>
          <w:sz w:val="20"/>
          <w:szCs w:val="20"/>
          <w:color w:val="auto"/>
        </w:rPr>
      </w:pPr>
    </w:p>
    <w:p>
      <w:pPr>
        <w:ind w:left="920"/>
        <w:spacing w:after="0" w:line="374" w:lineRule="auto"/>
        <w:rPr>
          <w:sz w:val="20"/>
          <w:szCs w:val="20"/>
          <w:color w:val="auto"/>
        </w:rPr>
      </w:pPr>
      <w:r>
        <w:rPr>
          <w:rFonts w:ascii="Times New Roman" w:cs="Times New Roman" w:eastAsia="Times New Roman" w:hAnsi="Times New Roman"/>
          <w:sz w:val="18"/>
          <w:szCs w:val="18"/>
          <w:color w:val="auto"/>
        </w:rPr>
        <w:t>Consolidated Statements of Changes in Net Assets for the years ended February 28, 2015, February 28, 2014, and February 28, 2013 Consolidated Statements of Cash Flows for the years ended February 28, 2015, February 28, 2014, and February 28, 2013 Notes to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 is made to the Index to Other Financial Statements on page S-1.</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 12-14—Investments in and advances to affiliates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 required to be filed by Item 601 of Regulation S-K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00"/>
          </w:cols>
          <w:pgMar w:left="240" w:top="266" w:right="11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4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2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73"/>
        </w:trPr>
        <w:tc>
          <w:tcPr>
            <w:tcW w:w="860" w:type="dxa"/>
            <w:vAlign w:val="bottom"/>
            <w:gridSpan w:val="3"/>
          </w:tcPr>
          <w:p>
            <w:pPr>
              <w:jc w:val="right"/>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540" w:type="dxa"/>
            <w:vAlign w:val="bottom"/>
            <w:gridSpan w:val="3"/>
          </w:tcPr>
          <w:p>
            <w:pPr>
              <w:ind w:left="50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3.1(a)</w:t>
            </w: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Articles of Incorporation of Saratoga Investment Corp. (incorporated by reference to Saratoga Investment Corp.’s Form 10-Q for the</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quarterly period ended May 31, 2007, File No. 001-33376).</w:t>
            </w:r>
          </w:p>
        </w:tc>
      </w:tr>
      <w:tr>
        <w:trPr>
          <w:trHeight w:val="306"/>
        </w:trPr>
        <w:tc>
          <w:tcPr>
            <w:tcW w:w="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3.1(b)</w:t>
            </w: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Articles of Amendment of Saratoga Investment Corp. (incorporated by reference to Saratoga Investment Corp.’s Current Report on Form 8-K</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filed August 3, 2010).</w:t>
            </w:r>
          </w:p>
        </w:tc>
      </w:tr>
      <w:tr>
        <w:trPr>
          <w:trHeight w:val="306"/>
        </w:trPr>
        <w:tc>
          <w:tcPr>
            <w:tcW w:w="2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3.1(c)</w:t>
            </w: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Articles of Amendment of Saratoga Investment Corp. (incorporated by reference to Saratoga Investment Corp.’s Current Report on Form 8-K</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filed August 13,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Amended and Restated Bylaws of Saratoga Investment Corp. (incorporated by reference to Saratoga Investment Corp.’s Current Report on</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8-K filed on March 5, 2008).</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Specimen certificate of Saratoga Investment Corp.’s common stock, par value $0.001 per share. (incorporated by reference to Saratoga</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Investment Corp.’s Registration Statement on Form N-2, File No. 333-169135, filed on September 1,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July 30, 2010 between GSC Investment Corp., GSC CDO III L.L.C., and the investors party thereto</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Saratoga Investment Corp.’s Current Report on Form 8-K filed on August 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Dividend Reinvestment Plan (incorporated by reference to Amendment No. 2 to the Saratoga Investment Corp.’s Registration</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Statement on Form N-2, File No. 333-138051, filed on January 12, 2007).</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Indenture by and between the Company and U.S. Bank National Association, as trustee (incorporated by reference to Saratoga</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Investment Corp.’s Pre-Effective Amendment No. 1 to the Registration Statement on Form N-2, File No. 333-186323 filed April 30, 2013).</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First Supplemental Indenture between the Company and U.S. Bank National Association (incorporated by reference to Saratoga</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Investment Corp.’s Pre-Effective Amendment No. 1 to the Registration Statement on Form N-2, File No. 333-186323 filed April 30, 2013).</w:t>
            </w:r>
          </w:p>
        </w:tc>
      </w:tr>
      <w:tr>
        <w:trPr>
          <w:trHeight w:val="324"/>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Note (Filed as Exhibit A to First Supplemental Indenture referred to in Exhibit 4.5).</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10.1</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Investment Advisory and Management Agreement dated July 30, 2010 between GSC Investment Corp. and Saratoga Investment Advisors,</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LLC (incorporated by reference to Saratoga Investment Corp.’s Current Report on Form 8-K filed on August 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10.2</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Custodian Agreement dated March 21, 2007 between GSC Investment LLC and U.S. Bank National Association (incorporated by reference</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Saratoga Investment Corp.’s Form 10-Q for the quarterly period ended May 31, 2007).</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10.3</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Administration Agreement dated July 30, 2010 between GSC Investment Corp. and Saratoga Investment Advisors, LLC (incorporated by</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Saratoga Investment Corp.’s Current Report on Form 8-K filed on August 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10.4</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Trademark License Agreement dated July 30, 2010 between Saratoga Investment Advisors, LLC and GSC Investment Corp. (incorporated by</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Saratoga Investment Corp.’s Current Report on Form 8-K filed on August 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10.5</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Credit, Security and Management Agreement dated July 30, 2010 by and among GSC Investment Funding LLC, Saratoga Investment Corp.,</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Saratoga Investment Advisors, LLC, Madison Capital Funding LLC and U.S. Bank National Association (incorporated by reference to</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Saratoga Investment Corp.’s Current Report on Form 8-K filed on August 3, 2010).</w:t>
            </w:r>
          </w:p>
        </w:tc>
      </w:tr>
      <w:tr>
        <w:trPr>
          <w:trHeight w:val="306"/>
        </w:trPr>
        <w:tc>
          <w:tcPr>
            <w:tcW w:w="5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w w:val="95"/>
              </w:rPr>
              <w:t>10.6</w:t>
            </w:r>
          </w:p>
        </w:tc>
        <w:tc>
          <w:tcPr>
            <w:tcW w:w="340" w:type="dxa"/>
            <w:vAlign w:val="bottom"/>
          </w:tcPr>
          <w:p>
            <w:pPr>
              <w:spacing w:after="0"/>
              <w:rPr>
                <w:sz w:val="24"/>
                <w:szCs w:val="24"/>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of Indemnification Agreement between Saratoga Investment Corp. and each officer and director of Saratoga Investment Corp.</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Amendment No. 2 to Saratoga Investment Corp.’s Registration Statement on Form N-2 filed on January 12,</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2007).</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tcPr>
          <w:p>
            <w:pPr>
              <w:ind w:left="476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00"/>
          </w:cols>
          <w:pgMar w:left="240" w:top="26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1" w:name="page82"/>
    <w:bookmarkEnd w:id="81"/>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40" w:type="dxa"/>
            <w:vAlign w:val="bottom"/>
          </w:tcPr>
          <w:p>
            <w:pPr>
              <w:spacing w:after="0"/>
              <w:rPr>
                <w:sz w:val="13"/>
                <w:szCs w:val="13"/>
                <w:color w:val="auto"/>
              </w:rPr>
            </w:pPr>
          </w:p>
        </w:tc>
      </w:tr>
      <w:tr>
        <w:trPr>
          <w:trHeight w:val="173"/>
        </w:trPr>
        <w:tc>
          <w:tcPr>
            <w:tcW w:w="5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300" w:type="dxa"/>
            <w:vAlign w:val="bottom"/>
          </w:tcPr>
          <w:p>
            <w:pPr>
              <w:spacing w:after="0"/>
              <w:rPr>
                <w:sz w:val="15"/>
                <w:szCs w:val="15"/>
                <w:color w:val="auto"/>
              </w:rPr>
            </w:pPr>
          </w:p>
        </w:tc>
        <w:tc>
          <w:tcPr>
            <w:tcW w:w="55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Amendment No. 1 to Credit, Security and Management Agreement dated February 24, 2012 by and among Saratoga Investment Funding LLC,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Saratoga Investment Corp., Saratoga Investment Advisors, LLC, Madison Capital Funding LLC and U.S. Bank National Association</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Saratoga Investment Corp.’s Current Report on Form 8-K filed on February 29, 2012).</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Indenture, dated as of January 22, 2008, among GSC Investment Corp. CLO 2007, Ltd., GSC Investment Corp. CLO 2007, Inc. and U.S. Bank</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National Association (incorporated by reference to the registrant’s Registration Statement on Form N-2, File No. 333-186323, filed on April 30,</w:t>
            </w:r>
          </w:p>
        </w:tc>
      </w:tr>
      <w:tr>
        <w:trPr>
          <w:trHeight w:val="234"/>
        </w:trPr>
        <w:tc>
          <w:tcPr>
            <w:tcW w:w="52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Indenture, dated as of October 17, 2013, among Saratoga Investment Corp. CLO 2013-1, Ltd., Saratoga Investment Corp. CLO 2013-1, Inc. and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U.S. Bank National Association (incorporated by reference to the registrant’s Registration Statement on Form N-2, File No. 333-196526, filed</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on December 5, 2014).</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Amended and Restated Collateral Management Agreement, dated October 17, 2013, by and between Saratoga Investment Corp. and Saratoga</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Investment Corp. CLO 2013-1, Ltd. (incorporated by reference to the registrant’s Registration Statement on Form N-2, File No. 333-196526,</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filed on December 5, 2014).</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Investment Advisory and Management Agreement dated July 30, 2010 between Saratoga Investment Corp. and Saratoga Investment Advisors,</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LLC (incorporated by reference to the registrant’s Registration Statement on Form N-2, File No. 333-196526, filed on December 5, 2014).</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Amendment No. 2 to Credit, Security and Management Agreement dated September 17, 2014 by and among Saratoga Investment Funding LLC,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Saratoga Investment Corp., Saratoga Investment Advisors, LLC, Madison Capital Funding LLC and U.S. Bank National Association</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Saratoga Investment Corp.’s Current Report on Form 8-K filed on September 18, 2014).</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Computation of Per Share Earnings (included in Note 11 to the financial statements contained in this report).</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 (incorporated by reference to the registrant’s Registration Statement on</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Form N-2, File No. 333-196526, filed on December 5, 2014).</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List of Subsidiaries and jurisdiction of incorporation/organization: Saratoga Investment Funding LLC—Delaware; Saratoga Investment Corp.</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SBIC, LP—Delaware; and Saratoga Investment Corp. GP, LLC—Delaware.</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Chief Executive Officer Certification Pursuant to Rule 13a-14 of the Securities Exchange Act of 1934, as adopted pursuant to Section 302 of the</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 Certification Pursuant to Rule 13a-14 of the Securities Act of 1934, as adopted pursuant to Section 302 of the Sarbanes-</w:t>
            </w:r>
          </w:p>
        </w:tc>
      </w:tr>
      <w:tr>
        <w:trPr>
          <w:trHeight w:val="234"/>
        </w:trPr>
        <w:tc>
          <w:tcPr>
            <w:tcW w:w="520" w:type="dxa"/>
            <w:vAlign w:val="bottom"/>
          </w:tcPr>
          <w:p>
            <w:pPr>
              <w:spacing w:after="0"/>
              <w:rPr>
                <w:sz w:val="20"/>
                <w:szCs w:val="20"/>
                <w:color w:val="auto"/>
              </w:rPr>
            </w:pP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80"/>
          </w:cols>
          <w:pgMar w:left="240" w:top="251" w:right="27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SARATOGA INVESTMENT CORP.</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2015</w:t>
            </w:r>
          </w:p>
        </w:tc>
        <w:tc>
          <w:tcPr>
            <w:tcW w:w="32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/s/ CHRISTIAN L. OBERBECK</w:t>
            </w:r>
          </w:p>
        </w:tc>
      </w:tr>
      <w:tr>
        <w:trPr>
          <w:trHeight w:val="189"/>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530"/>
              <w:spacing w:after="0" w:line="189" w:lineRule="exact"/>
              <w:rPr>
                <w:sz w:val="20"/>
                <w:szCs w:val="20"/>
                <w:color w:val="auto"/>
              </w:rPr>
            </w:pPr>
            <w:r>
              <w:rPr>
                <w:rFonts w:ascii="Times New Roman" w:cs="Times New Roman" w:eastAsia="Times New Roman" w:hAnsi="Times New Roman"/>
                <w:sz w:val="18"/>
                <w:szCs w:val="18"/>
                <w:color w:val="auto"/>
                <w:w w:val="99"/>
              </w:rPr>
              <w:t>Christian L. Oberbeck</w:t>
            </w:r>
          </w:p>
        </w:tc>
      </w:tr>
      <w:tr>
        <w:trPr>
          <w:trHeight w:val="236"/>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00" w:type="dxa"/>
            <w:vAlign w:val="bottom"/>
          </w:tcPr>
          <w:p>
            <w:pPr>
              <w:jc w:val="center"/>
              <w:ind w:right="55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648"/>
        </w:trPr>
        <w:tc>
          <w:tcPr>
            <w:tcW w:w="3680" w:type="dxa"/>
            <w:vAlign w:val="bottom"/>
          </w:tcPr>
          <w:p>
            <w:pPr>
              <w:spacing w:after="0"/>
              <w:rPr>
                <w:sz w:val="24"/>
                <w:szCs w:val="24"/>
                <w:color w:val="auto"/>
              </w:rPr>
            </w:pPr>
          </w:p>
        </w:tc>
        <w:tc>
          <w:tcPr>
            <w:tcW w:w="324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211"/>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rPr>
              <w:t>Henri J. Steenkamp</w:t>
            </w:r>
          </w:p>
        </w:tc>
      </w:tr>
    </w:tbl>
    <w:p>
      <w:pPr>
        <w:ind w:left="6900"/>
        <w:spacing w:after="0"/>
        <w:rPr>
          <w:sz w:val="20"/>
          <w:szCs w:val="20"/>
          <w:color w:val="auto"/>
        </w:rPr>
      </w:pPr>
      <w:r>
        <w:rPr>
          <w:rFonts w:ascii="Times New Roman" w:cs="Times New Roman" w:eastAsia="Times New Roman" w:hAnsi="Times New Roman"/>
          <w:sz w:val="18"/>
          <w:szCs w:val="18"/>
          <w:i w:val="1"/>
          <w:iCs w:val="1"/>
          <w:color w:val="auto"/>
        </w:rPr>
        <w:t>Chief Financial Officer and Chief Compliance Officer</w:t>
      </w:r>
    </w:p>
    <w:p>
      <w:pPr>
        <w:spacing w:after="0" w:line="20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Christian L. Oberbeck and Henri J. Steenkamp, and each of them (with full power to each of them to act alone), his true and lawful attorneys-in-fact and agents, with full power of substitution and resubstitution, for him and in his name, place, and stead, in any and all capacities, to sign this report and any and all amendments thereto, and to file the same,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L. OBERBECK</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Christian L. Oberbeck</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GRISIUS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J. Grisius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HENRI J. STEENKAMP</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Accounting Officer and Principal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Henri J. Steenkamp</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LOONEY</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M. Looney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S. WHITMAN III</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S. Whitman III</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 CABELL WILLIAMS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 2015</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Cabell Williams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0"/>
        </w:trPr>
        <w:tc>
          <w:tcPr>
            <w:tcW w:w="4280" w:type="dxa"/>
            <w:vAlign w:val="bottom"/>
          </w:tcPr>
          <w:p>
            <w:pPr>
              <w:spacing w:after="0"/>
              <w:rPr>
                <w:sz w:val="24"/>
                <w:szCs w:val="24"/>
                <w:color w:val="auto"/>
              </w:rPr>
            </w:pPr>
          </w:p>
        </w:tc>
        <w:tc>
          <w:tcPr>
            <w:tcW w:w="5180" w:type="dxa"/>
            <w:vAlign w:val="bottom"/>
            <w:gridSpan w:val="2"/>
          </w:tcPr>
          <w:p>
            <w:pPr>
              <w:jc w:val="right"/>
              <w:ind w:right="3572"/>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7200" w:type="dxa"/>
            <w:vAlign w:val="bottom"/>
            <w:gridSpan w:val="8"/>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60" w:type="dxa"/>
            <w:vAlign w:val="bottom"/>
          </w:tcPr>
          <w:p>
            <w:pPr>
              <w:spacing w:after="0"/>
              <w:rPr>
                <w:sz w:val="20"/>
                <w:szCs w:val="20"/>
                <w:color w:val="auto"/>
              </w:rPr>
            </w:pPr>
          </w:p>
        </w:tc>
      </w:tr>
      <w:tr>
        <w:trPr>
          <w:trHeight w:val="419"/>
        </w:trPr>
        <w:tc>
          <w:tcPr>
            <w:tcW w:w="6420" w:type="dxa"/>
            <w:vAlign w:val="bottom"/>
            <w:gridSpan w:val="4"/>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Report of Independent Registered Public Accounting Firm</w:t>
              </w:r>
            </w:hyperlink>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Consolidated Statements of Assets and Liabilities as of February 28, 2015 and February 28, 2014</w:t>
              </w:r>
            </w:hyperlink>
          </w:p>
        </w:tc>
        <w:tc>
          <w:tcPr>
            <w:tcW w:w="3340" w:type="dxa"/>
            <w:vAlign w:val="bottom"/>
            <w:gridSpan w:val="4"/>
          </w:tcPr>
          <w:p>
            <w:pPr>
              <w:spacing w:after="0"/>
              <w:rPr>
                <w:sz w:val="17"/>
                <w:szCs w:val="17"/>
                <w:color w:val="auto"/>
              </w:rPr>
            </w:pPr>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6420" w:type="dxa"/>
            <w:vAlign w:val="bottom"/>
            <w:gridSpan w:val="4"/>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Consolidated Statements of Operations for the years ended February 28, 2015, February</w:t>
              </w:r>
            </w:hyperlink>
          </w:p>
        </w:tc>
        <w:tc>
          <w:tcPr>
            <w:tcW w:w="3940" w:type="dxa"/>
            <w:vAlign w:val="bottom"/>
            <w:gridSpan w:val="5"/>
          </w:tcPr>
          <w:p>
            <w:pPr>
              <w:ind w:left="20"/>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28, 2014, and February 28, 2013</w:t>
              </w:r>
            </w:hyperlink>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6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Consolidated Schedules of Investments as of February 28, 2015 and February 28, 2014</w:t>
              </w:r>
            </w:hyperlink>
          </w:p>
        </w:tc>
        <w:tc>
          <w:tcPr>
            <w:tcW w:w="1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10360" w:type="dxa"/>
            <w:vAlign w:val="bottom"/>
            <w:gridSpan w:val="9"/>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Consolidated Statements of Changes in Net Assets for the years ended February 28, 2015, February 28, 2014, and February 28, 2013</w:t>
              </w:r>
            </w:hyperlink>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196"/>
        </w:trPr>
        <w:tc>
          <w:tcPr>
            <w:tcW w:w="64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Consolidated Statements of Cash Flows for the years ended February 28, 2015, February</w:t>
              </w:r>
            </w:hyperlink>
          </w:p>
        </w:tc>
        <w:tc>
          <w:tcPr>
            <w:tcW w:w="3200" w:type="dxa"/>
            <w:vAlign w:val="bottom"/>
            <w:tcBorders>
              <w:top w:val="single" w:sz="8" w:color="0000EE"/>
            </w:tcBorders>
            <w:gridSpan w:val="4"/>
          </w:tcPr>
          <w:p>
            <w:pPr>
              <w:ind w:left="80"/>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28, 2014, and February 28, 2013</w:t>
              </w:r>
            </w:hyperlink>
          </w:p>
        </w:tc>
        <w:tc>
          <w:tcPr>
            <w:tcW w:w="740" w:type="dxa"/>
            <w:vAlign w:val="bottom"/>
          </w:tcPr>
          <w:p>
            <w:pPr>
              <w:spacing w:after="0"/>
              <w:rPr>
                <w:sz w:val="17"/>
                <w:szCs w:val="17"/>
                <w:color w:val="auto"/>
              </w:rPr>
            </w:pPr>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F-8</w:t>
            </w:r>
          </w:p>
        </w:tc>
      </w:tr>
      <w:tr>
        <w:trPr>
          <w:trHeight w:val="196"/>
        </w:trPr>
        <w:tc>
          <w:tcPr>
            <w:tcW w:w="64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Notes to Consolidated Financial Statements</w:t>
              </w:r>
            </w:hyperlink>
          </w:p>
        </w:tc>
        <w:tc>
          <w:tcPr>
            <w:tcW w:w="6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87"/>
              </w:rPr>
              <w:t>F-9</w:t>
            </w: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F-1</w:t>
            </w: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20"/>
          </w:cols>
          <w:pgMar w:left="240" w:top="266" w:right="339" w:bottom="1440" w:gutter="0" w:footer="0" w:header="0"/>
        </w:sectPr>
      </w:pPr>
    </w:p>
    <w:bookmarkStart w:id="84" w:name="page85"/>
    <w:bookmarkEnd w:id="84"/>
    <w:p>
      <w:pPr>
        <w:ind w:left="3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Saratoga Investment Corp.</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assets and liabilities of Saratoga Investment Corp. (the “Company”) as of February 28, 2015 and February 28, 2014, including the consolidated schedule of investments, and the related consolidated statements of operations, cash flows and changes in net assets for the years ended February 28, 2015, February 28, 2014 and February 28, 2013.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entity’s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entity’s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February 28, 2015, by correspondence with the custodian, debt agents and lenders. We believe that our audits provide a reasonable basis for our opinion.</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Saratoga Investment Corp. at February 28, 2015 and February 28, 2014, and the consolidated results of its operations, changes in its net assets and its cash flows for the years ended February 28, 2015, February 28, 2014 and February 28, 2013,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2015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266"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388"/>
              <w:spacing w:after="0" w:line="119" w:lineRule="exact"/>
              <w:rPr>
                <w:sz w:val="20"/>
                <w:szCs w:val="20"/>
                <w:color w:val="auto"/>
              </w:rPr>
            </w:pPr>
            <w:r>
              <w:rPr>
                <w:rFonts w:ascii="Times New Roman" w:cs="Times New Roman" w:eastAsia="Times New Roman" w:hAnsi="Times New Roman"/>
                <w:sz w:val="13"/>
                <w:szCs w:val="13"/>
                <w:color w:val="auto"/>
              </w:rPr>
              <w:t>February 28,</w:t>
            </w:r>
          </w:p>
        </w:tc>
        <w:tc>
          <w:tcPr>
            <w:tcW w:w="80" w:type="dxa"/>
            <w:vAlign w:val="bottom"/>
          </w:tcPr>
          <w:p>
            <w:pPr>
              <w:spacing w:after="0"/>
              <w:rPr>
                <w:sz w:val="10"/>
                <w:szCs w:val="10"/>
                <w:color w:val="auto"/>
              </w:rPr>
            </w:pPr>
          </w:p>
        </w:tc>
        <w:tc>
          <w:tcPr>
            <w:tcW w:w="920" w:type="dxa"/>
            <w:vAlign w:val="bottom"/>
          </w:tcPr>
          <w:p>
            <w:pPr>
              <w:jc w:val="right"/>
              <w:ind w:right="51"/>
              <w:spacing w:after="0" w:line="119" w:lineRule="exact"/>
              <w:rPr>
                <w:sz w:val="20"/>
                <w:szCs w:val="20"/>
                <w:color w:val="auto"/>
              </w:rPr>
            </w:pPr>
            <w:r>
              <w:rPr>
                <w:rFonts w:ascii="Times New Roman" w:cs="Times New Roman" w:eastAsia="Times New Roman" w:hAnsi="Times New Roman"/>
                <w:sz w:val="13"/>
                <w:szCs w:val="13"/>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2015</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 (amortized cost of $222,505,383 and $185,266,607, respectively)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223,506,589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186,275,106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investments (cost of $15,953,001 and $16,555,808,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17,031,146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 (amortized cost of $238,458,384 and $201,822,415, respectively)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240,537,735</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205,844,702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1,888,158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reserve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18,175,214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 (net of reserve of $309,498 and $150,058,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263,560,055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215,168,133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financing costs, 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(594,845)</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79,000,000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financing costs, SBA debentures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(2,340,894)</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48,300,000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financing costs,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(1,847,564)</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and incentive fees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5,835,941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fees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1,405,466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manager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140,961,313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101,740,204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100,000,000 common shares authorized, 5,401,899 and 5,379,616 common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184,877,680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184,851,154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(23,905,603)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(31,123,667)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loss from investments and 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(40,458,088)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(44,327,225)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appreciation on investments and derivatives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122,598,742</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113,427,929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263,560,055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215,168,133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266"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4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4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20" w:type="dxa"/>
            <w:vAlign w:val="bottom"/>
          </w:tcPr>
          <w:p>
            <w:pPr>
              <w:spacing w:after="0"/>
              <w:rPr>
                <w:sz w:val="15"/>
                <w:szCs w:val="15"/>
                <w:color w:val="auto"/>
              </w:rPr>
            </w:pPr>
          </w:p>
        </w:tc>
        <w:tc>
          <w:tcPr>
            <w:tcW w:w="79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20,790,324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15,832,083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9,176,156</w:t>
            </w: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Payment-in-kind interest income from Non-control/Non-affiliate investments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1,186,657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936,208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1,062,687</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2,707,230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3,410,868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4,205,509</w:t>
            </w:r>
          </w:p>
        </w:tc>
      </w:tr>
      <w:tr>
        <w:trPr>
          <w:trHeight w:val="223"/>
        </w:trPr>
        <w:tc>
          <w:tcPr>
            <w:tcW w:w="20" w:type="dxa"/>
            <w:vAlign w:val="bottom"/>
          </w:tcPr>
          <w:p>
            <w:pPr>
              <w:spacing w:after="0"/>
              <w:rPr>
                <w:sz w:val="19"/>
                <w:szCs w:val="19"/>
                <w:color w:val="auto"/>
              </w:rPr>
            </w:pPr>
          </w:p>
        </w:tc>
        <w:tc>
          <w:tcPr>
            <w:tcW w:w="7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24,684,211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20,179,159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14,444,352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5,956</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1,520,205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1,775,141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2,000,072</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1,167,144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556,427</w:t>
            </w:r>
          </w:p>
        </w:tc>
      </w:tr>
      <w:tr>
        <w:trPr>
          <w:trHeight w:val="230"/>
        </w:trPr>
        <w:tc>
          <w:tcPr>
            <w:tcW w:w="20" w:type="dxa"/>
            <w:vAlign w:val="bottom"/>
          </w:tcPr>
          <w:p>
            <w:pPr>
              <w:spacing w:after="0"/>
              <w:rPr>
                <w:sz w:val="20"/>
                <w:szCs w:val="20"/>
                <w:color w:val="auto"/>
              </w:rPr>
            </w:pP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27,375,361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22,893,745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17,006,807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financing expenses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7,375,022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6,083,891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2,540,413</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4,156,955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3,326,879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2,107,378</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1,301,713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1,211,836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1,190,587</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Administrator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Incentive management fees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2,547,773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938,694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2,602,647</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442,977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516,121</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206,705</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368,815</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Excise tax expense</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293,653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30"/>
        </w:trPr>
        <w:tc>
          <w:tcPr>
            <w:tcW w:w="20" w:type="dxa"/>
            <w:vAlign w:val="bottom"/>
          </w:tcPr>
          <w:p>
            <w:pPr>
              <w:spacing w:after="0"/>
              <w:rPr>
                <w:sz w:val="20"/>
                <w:szCs w:val="20"/>
                <w:color w:val="auto"/>
              </w:rPr>
            </w:pP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17,701,511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14,019,299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10,537,100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9,673,850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8,874,446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6,469,707</w:t>
            </w:r>
          </w:p>
        </w:tc>
      </w:tr>
      <w:tr>
        <w:trPr>
          <w:trHeight w:val="223"/>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AND UNREALIZED GAIN/(LOSS) ON INVESTMENTS: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1,270,765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561,700</w:t>
            </w: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from derivatives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(131,000)</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appreciation/(depreciation) on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(1,942,936)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(1,648,046)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7,012,726</w:t>
            </w: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derivatives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gain/(loss) on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1,333,514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7,574,351</w:t>
            </w:r>
          </w:p>
        </w:tc>
      </w:tr>
      <w:tr>
        <w:trPr>
          <w:trHeight w:val="223"/>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11,007,364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8,497,165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14,044,058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AVERAGE—BASIC AND 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OUTSTANDING—BASIC AND DILUTED</w:t>
            </w: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5,385,049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4,920,517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4,110,484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266" w:right="239" w:bottom="1440" w:gutter="0" w:footer="0" w:header="0"/>
        </w:sectPr>
      </w:pPr>
    </w:p>
    <w:bookmarkStart w:id="87" w:name="page88"/>
    <w:bookmarkEnd w:id="8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2015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 Interest Rate</w:t>
            </w: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80" w:type="dxa"/>
            <w:vAlign w:val="bottom"/>
          </w:tcPr>
          <w:p>
            <w:pPr>
              <w:spacing w:after="0"/>
              <w:rPr>
                <w:sz w:val="12"/>
                <w:szCs w:val="12"/>
                <w:color w:val="auto"/>
              </w:rPr>
            </w:pPr>
          </w:p>
        </w:tc>
        <w:tc>
          <w:tcPr>
            <w:tcW w:w="2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900" w:type="dxa"/>
            <w:vAlign w:val="bottom"/>
            <w:gridSpan w:val="2"/>
            <w:vMerge w:val="continue"/>
          </w:tcPr>
          <w:p>
            <w:pPr>
              <w:spacing w:after="0"/>
              <w:rPr>
                <w:sz w:val="12"/>
                <w:szCs w:val="12"/>
                <w:color w:val="auto"/>
              </w:rPr>
            </w:pPr>
          </w:p>
        </w:tc>
        <w:tc>
          <w:tcPr>
            <w:tcW w:w="92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 Maturity</w:t>
            </w: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(c)</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Non-control/Non-affiliated investments—182.3% (b)</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National Truck Protection Co., Inc. (d), (g)</w:t>
            </w:r>
          </w:p>
        </w:tc>
        <w:tc>
          <w:tcPr>
            <w:tcW w:w="23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Automotive Aftermarket</w:t>
            </w: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1,116</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1,769,432</w:t>
            </w:r>
          </w:p>
        </w:tc>
        <w:tc>
          <w:tcPr>
            <w:tcW w:w="2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National Truck Protection Co., Inc.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Automotive Aftermarket</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7,737,848</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7,737,848</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7,737,848</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15.50% Cash, 9/13/2018</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Take 5 Oil Change, L.L.C. (d), (g)</w:t>
            </w:r>
          </w:p>
        </w:tc>
        <w:tc>
          <w:tcPr>
            <w:tcW w:w="23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Automotive Aftermarket</w:t>
            </w: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7,128</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480,535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1,472,502</w:t>
            </w:r>
          </w:p>
        </w:tc>
        <w:tc>
          <w:tcPr>
            <w:tcW w:w="2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9,218,383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10,979,782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Legacy Cabinets Holdings (d), (g)</w:t>
            </w:r>
          </w:p>
        </w:tc>
        <w:tc>
          <w:tcPr>
            <w:tcW w:w="2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Building Products</w:t>
            </w: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 Voting A-1</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4"/>
            <w:vMerge w:val="continue"/>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220,900</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1,493,470</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Legacy Cabinets Holdings (d), (g)</w:t>
            </w:r>
          </w:p>
        </w:tc>
        <w:tc>
          <w:tcPr>
            <w:tcW w:w="23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Building Products</w:t>
            </w: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Voting B-1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139,424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942,624</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Polar Holding Company, Ltd. (a), (i)</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Building Products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8/13/2016</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1,360,324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3,436,094</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BMC Software, Inc. (d)</w:t>
            </w:r>
          </w:p>
        </w:tc>
        <w:tc>
          <w:tcPr>
            <w:tcW w:w="2380" w:type="dxa"/>
            <w:vAlign w:val="bottom"/>
            <w:gridSpan w:val="3"/>
            <w:vMerge w:val="restart"/>
          </w:tcPr>
          <w:p>
            <w:pPr>
              <w:ind w:left="380"/>
              <w:spacing w:after="0" w:line="153"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First Lien Term Loan 5.00%</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20" w:type="dxa"/>
            <w:vAlign w:val="bottom"/>
            <w:gridSpan w:val="4"/>
            <w:vMerge w:val="continue"/>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5,731,667</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5,686,622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5,478,327</w:t>
            </w:r>
          </w:p>
        </w:tc>
        <w:tc>
          <w:tcPr>
            <w:tcW w:w="20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9/10/2020</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Dispensing Dynamics International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Note 12.50%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7,000,000</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6,910,112</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1/1/2018</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Easy Ice, LLC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9.50%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12,000,000</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11,872,639</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1/15/2020</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Easy Ice, LLC (m)</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Cash, 1/15/2020</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Emily Street Enterprises, L.L.C.</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Senior Secured Note 10.00%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8,400,000</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8,260,787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8,400,000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1/23/2020</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Emily Street Enterprises, L.L.C. (g)</w:t>
            </w:r>
          </w:p>
        </w:tc>
        <w:tc>
          <w:tcPr>
            <w:tcW w:w="23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Membership Interests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49,318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391,584</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Help/Systems Holdings, Inc.(Help/Systems, LLC)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5.50%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1,955,051</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1,941,417</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1,925,725</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6/28/2019</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Help/Systems Holdings, Inc.(Help/Systems, LLC)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2,000,000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1,975,767</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Cash, 6/28/2020</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Knowland Technology Holdings, L.L.C.</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11.00%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5,259,171</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5,205,142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5,259,171</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11/29/2017</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Knowland Technology Holdings, L.L.C. (j), (k), (l)</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11.00% Cash, 11/29/2017</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Vector Controls Holding Co., LLC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14.00%</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Cash/2.00% PIK),</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9,436,991</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9,312,095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9,295,437</w:t>
            </w:r>
          </w:p>
        </w:tc>
        <w:tc>
          <w:tcPr>
            <w:tcW w:w="2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3/6/2018</w:t>
            </w: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Vector Controls Holding Co., LLC (d), (g)</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62,341</w:t>
            </w:r>
          </w:p>
        </w:tc>
        <w:tc>
          <w:tcPr>
            <w:tcW w:w="20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Company Interests</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Total Business Services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51,564,581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52,127,585</w:t>
            </w:r>
          </w:p>
        </w:tc>
        <w:tc>
          <w:tcPr>
            <w:tcW w:w="200" w:type="dxa"/>
            <w:vAlign w:val="bottom"/>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Targus Group International, Inc.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12.00%</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Cash/1.00 PIK),</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3,569,127</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3,537,732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3,283,597</w:t>
            </w:r>
          </w:p>
        </w:tc>
        <w:tc>
          <w:tcPr>
            <w:tcW w:w="2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5/24/2016</w:t>
            </w: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Targus Holdings, Inc. (d), (g)</w:t>
            </w:r>
          </w:p>
        </w:tc>
        <w:tc>
          <w:tcPr>
            <w:tcW w:w="23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Consumer Products</w:t>
            </w: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62,413</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566,765</w:t>
            </w:r>
          </w:p>
        </w:tc>
        <w:tc>
          <w:tcPr>
            <w:tcW w:w="100" w:type="dxa"/>
            <w:vAlign w:val="bottom"/>
          </w:tcPr>
          <w:p>
            <w:pPr>
              <w:spacing w:after="0"/>
              <w:rPr>
                <w:sz w:val="12"/>
                <w:szCs w:val="12"/>
                <w:color w:val="auto"/>
              </w:rPr>
            </w:pPr>
          </w:p>
        </w:tc>
        <w:tc>
          <w:tcPr>
            <w:tcW w:w="9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Targus Holdings, Inc. (d), (g)</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10.00% PIK,</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2,054,158</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2,054,158</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6/14/2019</w:t>
            </w: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Targus Holdings, Inc. (d), (g)</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Unsecured Note 16.00% PIK,</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429,797</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425,227</w:t>
            </w:r>
          </w:p>
        </w:tc>
        <w:tc>
          <w:tcPr>
            <w:tcW w:w="1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10/26/2018</w:t>
            </w: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Consumer Products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6,583,882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3,283,597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Avionte Holdings, LLC (g)</w:t>
            </w:r>
          </w:p>
        </w:tc>
        <w:tc>
          <w:tcPr>
            <w:tcW w:w="23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4"/>
            <w:vMerge w:val="continue"/>
          </w:tcPr>
          <w:p>
            <w:pPr>
              <w:spacing w:after="0"/>
              <w:rPr>
                <w:sz w:val="13"/>
                <w:szCs w:val="13"/>
                <w:color w:val="auto"/>
              </w:rPr>
            </w:pPr>
          </w:p>
        </w:tc>
        <w:tc>
          <w:tcPr>
            <w:tcW w:w="238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163,000</w:t>
            </w:r>
          </w:p>
        </w:tc>
        <w:tc>
          <w:tcPr>
            <w:tcW w:w="20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Avionte Holdings, LLC</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9.75%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2,951,759</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1/8/2019</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Avionte Holdings, LLC (j), (l)</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9.75% Cash, 1/8/2019</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CFF Acquisition L.L.C.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7.50%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716,179</w:t>
            </w: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714,270</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716,179</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7/31/2015</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Expedited Travel L.L.C. (g)</w:t>
            </w:r>
          </w:p>
        </w:tc>
        <w:tc>
          <w:tcPr>
            <w:tcW w:w="23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1,069,157</w:t>
            </w:r>
          </w:p>
        </w:tc>
        <w:tc>
          <w:tcPr>
            <w:tcW w:w="2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Expedited Travel L.L.C.</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13,750,000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13,609,579</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10/10/2019</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PrePaid Legal Services, Inc.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6.25%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3,709,677</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3,680,863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3,652,919</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7/1/2019</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PrePaid Legal Services, Inc.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4,937,212</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9.75% Cash, 7/1/2020</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Total Consumer Services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26,993,683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27,332,255</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M/C Acquisition Corp., L.L.C. (d), (g)</w:t>
            </w:r>
          </w:p>
        </w:tc>
        <w:tc>
          <w:tcPr>
            <w:tcW w:w="23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Education</w:t>
            </w: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 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544,761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M/C Acquisition Corp., L.L.C.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Education</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2,362,978</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1,235,695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100,951</w:t>
            </w:r>
          </w:p>
        </w:tc>
        <w:tc>
          <w:tcPr>
            <w:tcW w:w="20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3/31/2015</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Education</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1,265,936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100,951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33"/>
        </w:trPr>
        <w:tc>
          <w:tcPr>
            <w:tcW w:w="362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rPr>
              <w:t>Group Dekko, Inc. (d)</w:t>
            </w:r>
          </w:p>
        </w:tc>
        <w:tc>
          <w:tcPr>
            <w:tcW w:w="2380" w:type="dxa"/>
            <w:vAlign w:val="bottom"/>
            <w:gridSpan w:val="3"/>
          </w:tcPr>
          <w:p>
            <w:pPr>
              <w:ind w:left="380"/>
              <w:spacing w:after="0" w:line="133" w:lineRule="exact"/>
              <w:rPr>
                <w:sz w:val="20"/>
                <w:szCs w:val="20"/>
                <w:color w:val="auto"/>
              </w:rPr>
            </w:pPr>
            <w:r>
              <w:rPr>
                <w:rFonts w:ascii="Times New Roman" w:cs="Times New Roman" w:eastAsia="Times New Roman" w:hAnsi="Times New Roman"/>
                <w:sz w:val="14"/>
                <w:szCs w:val="14"/>
                <w:color w:val="auto"/>
              </w:rPr>
              <w:t>Electronics</w:t>
            </w:r>
          </w:p>
        </w:tc>
        <w:tc>
          <w:tcPr>
            <w:tcW w:w="1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Second Lien Term Loan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11.00% (10.00% Cash/1.00%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6,950,048</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6,950,048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6,667,181</w:t>
            </w:r>
          </w:p>
        </w:tc>
        <w:tc>
          <w:tcPr>
            <w:tcW w:w="2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PIK), 5/1/2016</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Electronics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6,950,048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6,667,181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TB Corp. (d)</w:t>
            </w:r>
          </w:p>
        </w:tc>
        <w:tc>
          <w:tcPr>
            <w:tcW w:w="2380" w:type="dxa"/>
            <w:vAlign w:val="bottom"/>
            <w:gridSpan w:val="3"/>
            <w:vMerge w:val="restart"/>
          </w:tcPr>
          <w:p>
            <w:pPr>
              <w:ind w:left="380"/>
              <w:spacing w:after="0" w:line="153" w:lineRule="exact"/>
              <w:rPr>
                <w:sz w:val="20"/>
                <w:szCs w:val="20"/>
                <w:color w:val="auto"/>
              </w:rPr>
            </w:pPr>
            <w:r>
              <w:rPr>
                <w:rFonts w:ascii="Times New Roman" w:cs="Times New Roman" w:eastAsia="Times New Roman" w:hAnsi="Times New Roman"/>
                <w:sz w:val="14"/>
                <w:szCs w:val="14"/>
                <w:color w:val="auto"/>
              </w:rPr>
              <w:t>Food and Beverage</w:t>
            </w:r>
          </w:p>
        </w:tc>
        <w:tc>
          <w:tcPr>
            <w:tcW w:w="19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First Lien Term Loan 5.76%</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20" w:type="dxa"/>
            <w:vAlign w:val="bottom"/>
            <w:gridSpan w:val="4"/>
            <w:vMerge w:val="continue"/>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5,050,436</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5,038,131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5,037,810</w:t>
            </w:r>
          </w:p>
        </w:tc>
        <w:tc>
          <w:tcPr>
            <w:tcW w:w="200" w:type="dxa"/>
            <w:vAlign w:val="bottom"/>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6/19/2018</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TB Corp.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13.50%</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(12.00% Cash/1.50% PIK),</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2,546,121</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2,512,732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2,546,121</w:t>
            </w:r>
          </w:p>
        </w:tc>
        <w:tc>
          <w:tcPr>
            <w:tcW w:w="2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12/20/2018</w:t>
            </w: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TM Restaurant Group L.L.C.</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7.75%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2,791,595</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2,791,595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2,763,679</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7/16/2017</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Food and Beverage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10,342,458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10,347,610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33"/>
        </w:trPr>
        <w:tc>
          <w:tcPr>
            <w:tcW w:w="362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rPr>
              <w:t>Bristol Hospice, LLC</w:t>
            </w:r>
          </w:p>
        </w:tc>
        <w:tc>
          <w:tcPr>
            <w:tcW w:w="2380" w:type="dxa"/>
            <w:vAlign w:val="bottom"/>
            <w:gridSpan w:val="3"/>
          </w:tcPr>
          <w:p>
            <w:pPr>
              <w:ind w:left="380"/>
              <w:spacing w:after="0" w:line="133"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Senior Secured Note 11.00%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(10.00% Cash/1.00% PIK),</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5,459,134</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5,374,249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5,459,134</w:t>
            </w:r>
          </w:p>
        </w:tc>
        <w:tc>
          <w:tcPr>
            <w:tcW w:w="20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11/29/2018</w:t>
            </w: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Bristol Hospice, LLC (j), (l)</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(10.00% Cash/1.00%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PIK), 11/29/2018</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Roscoe Medical, Inc. (d), (g)</w:t>
            </w:r>
          </w:p>
        </w:tc>
        <w:tc>
          <w:tcPr>
            <w:tcW w:w="23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294,500</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Roscoe Medical, Inc.</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4,200,000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4,129,704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11.25% Cash, 9/26/2019</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Smile Brands Group Inc.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7.50%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4,443,750</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4,373,369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4,159,350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8/16/2019</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Surgical Specialties Corporation (US), Inc. (d)</w:t>
            </w:r>
          </w:p>
        </w:tc>
        <w:tc>
          <w:tcPr>
            <w:tcW w:w="23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2,312,500</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2,295,234</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2,277,813</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8/22/2018</w:t>
            </w: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Zest Holdings, LLC (d)</w:t>
            </w:r>
          </w:p>
        </w:tc>
        <w:tc>
          <w:tcPr>
            <w:tcW w:w="23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1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5.25%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4,443,919</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4,361,438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4,460,806</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8/16/2020</w:t>
            </w: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Total Healthcare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21,033,994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20,641,603</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33"/>
        </w:trPr>
        <w:tc>
          <w:tcPr>
            <w:tcW w:w="362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color w:val="auto"/>
              </w:rPr>
              <w:t>HMN Holdco, LLC</w:t>
            </w:r>
          </w:p>
        </w:tc>
        <w:tc>
          <w:tcPr>
            <w:tcW w:w="2380" w:type="dxa"/>
            <w:vAlign w:val="bottom"/>
            <w:gridSpan w:val="3"/>
          </w:tcPr>
          <w:p>
            <w:pPr>
              <w:ind w:left="380"/>
              <w:spacing w:after="0" w:line="133" w:lineRule="exact"/>
              <w:rPr>
                <w:sz w:val="20"/>
                <w:szCs w:val="20"/>
                <w:color w:val="auto"/>
              </w:rPr>
            </w:pPr>
            <w:r>
              <w:rPr>
                <w:rFonts w:ascii="Times New Roman" w:cs="Times New Roman" w:eastAsia="Times New Roman" w:hAnsi="Times New Roman"/>
                <w:sz w:val="14"/>
                <w:szCs w:val="14"/>
                <w:color w:val="auto"/>
              </w:rPr>
              <w:t>Media</w:t>
            </w:r>
          </w:p>
        </w:tc>
        <w:tc>
          <w:tcPr>
            <w:tcW w:w="1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First Lien Term Loan 14.00%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Cash/2.00% PIK),</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9,368,327</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9,206,438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9,579,115</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5/16/2019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gridSpan w:val="2"/>
            <w:vMerge w:val="continue"/>
          </w:tcPr>
          <w:p>
            <w:pPr>
              <w:spacing w:after="0"/>
              <w:rPr>
                <w:sz w:val="16"/>
                <w:szCs w:val="16"/>
                <w:color w:val="auto"/>
              </w:rPr>
            </w:pPr>
          </w:p>
        </w:tc>
        <w:tc>
          <w:tcPr>
            <w:tcW w:w="58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66"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HMN Holdco, LLC</w:t>
            </w:r>
          </w:p>
        </w:tc>
        <w:tc>
          <w:tcPr>
            <w:tcW w:w="2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First Lien Term Loan 12.00%</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1,600,000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1,569,149</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1,576,000</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5/16/2020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HMN Holdco, LLC (j), (k)</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Deferred Draw Term Loan</w:t>
            </w:r>
          </w:p>
        </w:tc>
        <w:tc>
          <w:tcPr>
            <w:tcW w:w="120" w:type="dxa"/>
            <w:vAlign w:val="bottom"/>
          </w:tcPr>
          <w:p>
            <w:pPr>
              <w:spacing w:after="0"/>
              <w:rPr>
                <w:sz w:val="10"/>
                <w:szCs w:val="10"/>
                <w:color w:val="auto"/>
              </w:rPr>
            </w:pPr>
          </w:p>
        </w:tc>
        <w:tc>
          <w:tcPr>
            <w:tcW w:w="8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12.00% Cash, 5/16/2020</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HMN Holdco, LLC</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Media</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Class A Series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4,264</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61,647</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223,604</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HMN Holdco, LLC</w:t>
            </w:r>
          </w:p>
        </w:tc>
        <w:tc>
          <w:tcPr>
            <w:tcW w:w="21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Media</w:t>
            </w:r>
          </w:p>
        </w:tc>
        <w:tc>
          <w:tcPr>
            <w:tcW w:w="20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Class A Warrant</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30,320</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438,353</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1,247,365</w:t>
            </w:r>
          </w:p>
        </w:tc>
        <w:tc>
          <w:tcPr>
            <w:tcW w:w="2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HMN Holdco, LLC (g)</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Liability Company Interests</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57,872</w:t>
            </w:r>
          </w:p>
        </w:tc>
        <w:tc>
          <w:tcPr>
            <w:tcW w:w="10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2,085,128</w:t>
            </w:r>
          </w:p>
        </w:tc>
        <w:tc>
          <w:tcPr>
            <w:tcW w:w="2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HMN Holdco, LLC (g)</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Media</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120" w:type="dxa"/>
            <w:vAlign w:val="bottom"/>
          </w:tcPr>
          <w:p>
            <w:pPr>
              <w:spacing w:after="0"/>
              <w:rPr>
                <w:sz w:val="10"/>
                <w:szCs w:val="10"/>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8,139</w:t>
            </w:r>
          </w:p>
        </w:tc>
        <w:tc>
          <w:tcPr>
            <w:tcW w:w="8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350,464</w:t>
            </w:r>
          </w:p>
        </w:tc>
        <w:tc>
          <w:tcPr>
            <w:tcW w:w="20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Liability Company Interests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Media</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11,275,587</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15,025,676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Elyria Foundry Company, L.L.C.</w:t>
            </w:r>
          </w:p>
        </w:tc>
        <w:tc>
          <w:tcPr>
            <w:tcW w:w="21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Metals</w:t>
            </w:r>
          </w:p>
        </w:tc>
        <w:tc>
          <w:tcPr>
            <w:tcW w:w="20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35,000</w:t>
            </w: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9,217,563</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6,762,000</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Elyria Foundry Company, L.L.C.</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Metals</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Revolver 9.00% Cash,</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8,500,000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12/31/2020</w:t>
            </w: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Metals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17,717,563</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15,262,000</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Network Communications, Inc. (d), (g)</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380,572</w:t>
            </w:r>
          </w:p>
        </w:tc>
        <w:tc>
          <w:tcPr>
            <w:tcW w:w="820" w:type="dxa"/>
            <w:vAlign w:val="bottom"/>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300,652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Network Communications, Inc. (d)</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Publishing</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Unsecured Notes 8.60% PIK,</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2,732,976</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2,374,260</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1,684,118</w:t>
            </w:r>
          </w:p>
        </w:tc>
        <w:tc>
          <w:tcPr>
            <w:tcW w:w="20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1/14/2020</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Publishing</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2,374,260</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1,984,770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Censis Technologies, Inc.</w:t>
            </w:r>
          </w:p>
        </w:tc>
        <w:tc>
          <w:tcPr>
            <w:tcW w:w="2100" w:type="dxa"/>
            <w:vAlign w:val="bottom"/>
            <w:vMerge w:val="restart"/>
          </w:tcPr>
          <w:p>
            <w:pPr>
              <w:ind w:left="260"/>
              <w:spacing w:after="0" w:line="153"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vMerge w:val="restart"/>
          </w:tcPr>
          <w:p>
            <w:pPr>
              <w:ind w:left="160"/>
              <w:spacing w:after="0" w:line="153" w:lineRule="exact"/>
              <w:rPr>
                <w:sz w:val="20"/>
                <w:szCs w:val="20"/>
                <w:color w:val="auto"/>
              </w:rPr>
            </w:pPr>
            <w:r>
              <w:rPr>
                <w:rFonts w:ascii="Times New Roman" w:cs="Times New Roman" w:eastAsia="Times New Roman" w:hAnsi="Times New Roman"/>
                <w:sz w:val="14"/>
                <w:szCs w:val="14"/>
                <w:color w:val="auto"/>
              </w:rPr>
              <w:t>First Lien Term Loan B</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40" w:type="dxa"/>
            <w:vAlign w:val="bottom"/>
            <w:gridSpan w:val="2"/>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11,850,000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11,634,939</w:t>
            </w:r>
          </w:p>
        </w:tc>
        <w:tc>
          <w:tcPr>
            <w:tcW w:w="18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11,850,000</w:t>
            </w:r>
          </w:p>
        </w:tc>
        <w:tc>
          <w:tcPr>
            <w:tcW w:w="200" w:type="dxa"/>
            <w:vAlign w:val="bottom"/>
            <w:vMerge w:val="restart"/>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11.00% Cash, 7/24/2019</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Censis Technologies, Inc. (g), (h)</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Limited Partner Interests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999,000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981,627</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 (g)</w:t>
            </w:r>
          </w:p>
        </w:tc>
        <w:tc>
          <w:tcPr>
            <w:tcW w:w="21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1,282</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1,769</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Community Investors, Inc.</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Last Out Term</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12,000,000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11.78% Cash, 9/30/2019</w:t>
            </w: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Community Investors, Inc.</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B</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2,500,000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12.25% Cash, 12/31/2020</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 (g)</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63,463</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149,138</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87,579</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w:t>
            </w:r>
          </w:p>
        </w:tc>
        <w:tc>
          <w:tcPr>
            <w:tcW w:w="21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Stock—A2</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38,641</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100,853</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53,325</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 (g)</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Stock—A Shares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135,584</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135,584</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187,106</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Finalsite Holdings, Inc.</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Second Lien Term Loan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7,500,000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7,429,305</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10.25% Cash, 5/21/2020</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Identity Automation Systems (g)</w:t>
            </w:r>
          </w:p>
        </w:tc>
        <w:tc>
          <w:tcPr>
            <w:tcW w:w="210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Class A Units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232,616</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232,616</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225,638</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Identity Automation Systems</w:t>
            </w:r>
          </w:p>
        </w:tc>
        <w:tc>
          <w:tcPr>
            <w:tcW w:w="2100" w:type="dxa"/>
            <w:vAlign w:val="bottom"/>
          </w:tcPr>
          <w:p>
            <w:pPr>
              <w:ind w:left="2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10.25%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4,475,000</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4,433,897</w:t>
            </w: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4,475,000</w:t>
            </w: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8/25/2019</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Pen-Link, Ltd. (d)</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Second Lien Term Loan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10,500,000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10,326,376</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10,500,000</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12.50% Cash, 5/26/2019</w:t>
            </w: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Software</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49,942,990</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50,362,044</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Advanced Air &amp; Heat of Florida, LLC</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Utilities</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10.00%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5,955,441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5,881,694</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5,955,441</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1/31/2019</w:t>
            </w: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Utilities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5,881,694</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5,955,441</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222,505,383</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223,506,589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182.3%</w:t>
            </w:r>
          </w:p>
        </w:tc>
        <w:tc>
          <w:tcPr>
            <w:tcW w:w="0" w:type="dxa"/>
            <w:vAlign w:val="bottom"/>
          </w:tcPr>
          <w:p>
            <w:pPr>
              <w:spacing w:after="0"/>
              <w:rPr>
                <w:sz w:val="1"/>
                <w:szCs w:val="1"/>
                <w:color w:val="auto"/>
              </w:rPr>
            </w:pPr>
          </w:p>
        </w:tc>
      </w:tr>
      <w:tr>
        <w:trPr>
          <w:trHeight w:val="156"/>
        </w:trPr>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Control investments—13.9% (b)</w:t>
            </w:r>
          </w:p>
        </w:tc>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Saratoga Investment Corp. CLO 2013-1, Ltd. (a), (d), (e), (f)</w:t>
            </w:r>
          </w:p>
        </w:tc>
        <w:tc>
          <w:tcPr>
            <w:tcW w:w="2100" w:type="dxa"/>
            <w:vAlign w:val="bottom"/>
            <w:shd w:val="clear" w:color="auto" w:fill="CCEEFF"/>
          </w:tcPr>
          <w:p>
            <w:pPr>
              <w:ind w:left="260"/>
              <w:spacing w:after="0" w:line="126" w:lineRule="exact"/>
              <w:rPr>
                <w:sz w:val="20"/>
                <w:szCs w:val="20"/>
                <w:color w:val="auto"/>
              </w:rPr>
            </w:pPr>
            <w:r>
              <w:rPr>
                <w:rFonts w:ascii="Times New Roman" w:cs="Times New Roman" w:eastAsia="Times New Roman" w:hAnsi="Times New Roman"/>
                <w:sz w:val="14"/>
                <w:szCs w:val="14"/>
                <w:color w:val="auto"/>
              </w:rPr>
              <w:t>Structured Finance Securities</w:t>
            </w:r>
          </w:p>
        </w:tc>
        <w:tc>
          <w:tcPr>
            <w:tcW w:w="202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Other/Structured Finance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30,000,000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15,953,001</w:t>
            </w:r>
          </w:p>
        </w:tc>
        <w:tc>
          <w:tcPr>
            <w:tcW w:w="1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17,031,146</w:t>
            </w: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14.32%, 10/17/2023</w:t>
            </w:r>
          </w:p>
        </w:tc>
        <w:tc>
          <w:tcPr>
            <w:tcW w:w="1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15,953,001</w:t>
            </w:r>
          </w:p>
        </w:tc>
        <w:tc>
          <w:tcPr>
            <w:tcW w:w="1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17,031,146</w:t>
            </w:r>
          </w:p>
        </w:tc>
        <w:tc>
          <w:tcPr>
            <w:tcW w:w="20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INVESTMENTS—196.2% (b)</w:t>
            </w:r>
          </w:p>
        </w:tc>
        <w:tc>
          <w:tcPr>
            <w:tcW w:w="2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xml:space="preserve"> 238,458,384</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xml:space="preserve"> 240,537,735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300" w:hanging="452"/>
        <w:spacing w:after="0" w:line="261"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non-qualifyng investment as defined under Section 55 (a) of the Investment Company Act of 1940, as amended. Non-qualifying assets represent 7.5% of the Company's portfolio at fair value. As a BDC, the Company can only invest 30% of its portfolio in non-qualifying assets.</w:t>
      </w: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$122,598,742, as of February 28, 2015.</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pledged as collateral under a senior secured revolving credit facility (see Note 6 to the consolidated financial statements).</w:t>
      </w:r>
    </w:p>
    <w:p>
      <w:pPr>
        <w:spacing w:after="0" w:line="9"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does not have a stated interest rate that is payable thereon. As a result, the 14.32% interest rate in the table above represents the interest rate currently earned on the investment cost and is based on the current cash interest and other income generated by the investment.</w:t>
      </w:r>
    </w:p>
    <w:p>
      <w:pPr>
        <w:ind w:left="460" w:right="220" w:hanging="452"/>
        <w:spacing w:after="0" w:line="25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fee income</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3"/>
                <w:szCs w:val="13"/>
                <w:color w:val="auto"/>
              </w:rPr>
            </w:pPr>
          </w:p>
        </w:tc>
        <w:tc>
          <w:tcPr>
            <w:tcW w:w="9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Saratoga Investment Corp. CLO 2013-1, Ltd.</w:t>
            </w: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$2,707,230</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$1,520,205</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$1,078,145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Non-income producing at February 28, 2015.</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issued by an affiliate of the company.</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company. The principal place of business for Polar Holding Company, Ltd. is Canada.</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has an unfunded commitment as of February 28, 2015 (See note 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analysis of the value of any unfunded loan commitments.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commitment was unfunded at February 28, 2015. As such, no interest is being earned on this investment.</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commitment was funded at February 28, 2015.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04" w:right="239" w:bottom="1440" w:gutter="0" w:footer="0" w:header="0"/>
        </w:sectPr>
      </w:pPr>
    </w:p>
    <w:bookmarkStart w:id="89" w:name="page90"/>
    <w:bookmarkEnd w:id="8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 Interest Rate /</w:t>
            </w:r>
          </w:p>
        </w:tc>
        <w:tc>
          <w:tcPr>
            <w:tcW w:w="60" w:type="dxa"/>
            <w:vAlign w:val="bottom"/>
          </w:tcPr>
          <w:p>
            <w:pPr>
              <w:spacing w:after="0"/>
              <w:rPr>
                <w:sz w:val="13"/>
                <w:szCs w:val="13"/>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6"/>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2"/>
                <w:szCs w:val="12"/>
                <w:color w:val="auto"/>
              </w:rPr>
            </w:pPr>
          </w:p>
        </w:tc>
        <w:tc>
          <w:tcPr>
            <w:tcW w:w="2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(c)</w:t>
            </w:r>
          </w:p>
        </w:tc>
        <w:tc>
          <w:tcPr>
            <w:tcW w:w="5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35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Non-control/Non-affiliated investments—164.2% (b)</w:t>
            </w:r>
          </w:p>
        </w:tc>
        <w:tc>
          <w:tcPr>
            <w:tcW w:w="3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PATS Aircraft, LLC</w:t>
            </w:r>
          </w:p>
        </w:tc>
        <w:tc>
          <w:tcPr>
            <w:tcW w:w="23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Aerospace</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51,813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89,636</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89,636</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PATS Aircraft, LLC</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Aerospace</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254,598</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254,598</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254,598</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8.50% Cash, 10/6/2016</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Total Aerospace</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344,234</w:t>
            </w:r>
          </w:p>
        </w:tc>
        <w:tc>
          <w:tcPr>
            <w:tcW w:w="2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344,234</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National Truck Protection Co., Inc. (d, g)</w:t>
            </w:r>
          </w:p>
        </w:tc>
        <w:tc>
          <w:tcPr>
            <w:tcW w:w="23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Automotive Aftermarket</w:t>
            </w: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1,116</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1,152,531</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National Truck Protection Co., Inc.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Automotive Aftermarket</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15.50%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(13.50% Cash/2.00% PIK),</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8,250,000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8,250,000</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8,250,000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9/13/2018</w:t>
            </w: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Take 5 Oil Change, L.L.C. (d, g)</w:t>
            </w:r>
          </w:p>
        </w:tc>
        <w:tc>
          <w:tcPr>
            <w:tcW w:w="23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Automotive Aftermarket</w:t>
            </w: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7,128</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712,800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1,217,747</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Total Automotive Aftermarket</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9,962,800</w:t>
            </w:r>
          </w:p>
        </w:tc>
        <w:tc>
          <w:tcPr>
            <w:tcW w:w="2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10,620,278</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Legacy Cabinets Holdings (d, g)</w:t>
            </w:r>
          </w:p>
        </w:tc>
        <w:tc>
          <w:tcPr>
            <w:tcW w:w="23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Building Products</w:t>
            </w: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Voting A-1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220,900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552,351</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Legacy Cabinets Holdings (d, g)</w:t>
            </w:r>
          </w:p>
        </w:tc>
        <w:tc>
          <w:tcPr>
            <w:tcW w:w="23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Building Products</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 Voting B-1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139,424</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348,624</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Total Building Products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360,324</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900,975</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ARSloane Acquistion, LLC</w:t>
            </w:r>
          </w:p>
        </w:tc>
        <w:tc>
          <w:tcPr>
            <w:tcW w:w="2340" w:type="dxa"/>
            <w:vAlign w:val="bottom"/>
            <w:gridSpan w:val="3"/>
            <w:vMerge w:val="restart"/>
          </w:tcPr>
          <w:p>
            <w:pPr>
              <w:ind w:left="320"/>
              <w:spacing w:after="0" w:line="153"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First Lien Term Loan 7.50%</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gridSpan w:val="3"/>
            <w:vMerge w:val="continue"/>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997,500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988,200</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1,004,981</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10/1/2019</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BMC Software,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5,943,801</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6,013,800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9/10/2020</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Dispensing Dynamics International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Senior Secured Note 12.50%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7,000,000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6,882,278</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7,525,000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1/1/2018</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Easy Ice,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14.00%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Cash/3.00% PIK),</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7,507,024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7,387,970</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7,507,024</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3/29/2018</w:t>
            </w: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Easy Ice, LLC (i), (j)</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14.00% (11.00% Cash/3.00%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PIK), 3/29/2018</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Emily Street Enterprises,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Note 12.00%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(11.00% Cash/1.00% PIK),</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5,767,983</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5,680,703</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5,767,983</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12/28/2017</w:t>
            </w: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Emily Street Enterprises, L.L.C. (d, g)</w:t>
            </w:r>
          </w:p>
        </w:tc>
        <w:tc>
          <w:tcPr>
            <w:tcW w:w="23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 Membership Interests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49,318</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601,679</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Help/Systems Holdings, Inc.(Help/Systems,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5.50%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3,990,000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3,954,385</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3,960,075</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6/28/2019</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Help/Systems Holdings, Inc.(Help/Systems, LLC)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 9.50%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2,000,000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1,972,758</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2,000,000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6/28/2020</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Knowland Technology Holdings,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6,200,000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6,107,034</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6,200,000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11/29/2017</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Trinet HR Corporation (SOI Holdings, Inc.)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4,987,500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4,941,335</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5,018,921</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8/20/2020</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Trinet HR Corporation (SOI Holdings,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 8.75%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2,453,145</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2,518,750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2/20/2021</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Vector Controls Holding Co., LLC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14.00%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(12.00% Cash/2.00% PIK),</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9,261,074</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9,115,415</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9,075,853</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3/6/2018</w:t>
            </w: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Vector Controls Holding Co., LLC (d, g)</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Business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136,217</w:t>
            </w:r>
          </w:p>
        </w:tc>
        <w:tc>
          <w:tcPr>
            <w:tcW w:w="18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Company Interests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Total Business Services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55,827,024</w:t>
            </w:r>
          </w:p>
        </w:tc>
        <w:tc>
          <w:tcPr>
            <w:tcW w:w="2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57,330,283</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Targus Group International,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3,738,369</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3,704,766</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3,663,602</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5/24/2016</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Targus Holdings, Inc. (d, g)</w:t>
            </w:r>
          </w:p>
        </w:tc>
        <w:tc>
          <w:tcPr>
            <w:tcW w:w="23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Consumer Products</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62,413</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566,765</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730,232</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Targus Holdings,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10.00% PIK,</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2,054,158</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2,054,158</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1,387,848</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6/14/2019</w:t>
            </w: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Targus Holdings, Inc.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Products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Unsecured Note 16.00% Cash,</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384,577</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379,471</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336,505</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10/26/2018</w:t>
            </w: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Total Consumer Products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6,705,160</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6,118,187</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Avionte Holdings, LLC</w:t>
            </w:r>
          </w:p>
        </w:tc>
        <w:tc>
          <w:tcPr>
            <w:tcW w:w="23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3"/>
            <w:vMerge w:val="continue"/>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w:t>
            </w:r>
          </w:p>
        </w:tc>
        <w:tc>
          <w:tcPr>
            <w:tcW w:w="2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100,000</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Avionte Holdings, LLC</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9.75%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2,940,000</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3,000,000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1/8/2019</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Avionte Holdings, LLC (i), (j)</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Delayed Draw Term Loan A</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9.75% Cash, 1/8/2019</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CFF Acquisition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7.50%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1,319,891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1,273,596</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1,319,891</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7/31/2015</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Expedited Travel L.L.C.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9.00%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4,580,000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4,501,104</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4,580,000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12/28/2017</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PrePaid Legal Services,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6.25%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4,274,194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4,236,035</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4,247,694</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12/31/2016</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PrePaid Legal Services, Inc.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Consumer Services</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 9.75%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5,000,000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4,931,888</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5,044,000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7/1/2020</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Total Consumer Services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17,982,623</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18,291,585</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M/C Acquisition Corp., L.L.C. (d, g)</w:t>
            </w:r>
          </w:p>
        </w:tc>
        <w:tc>
          <w:tcPr>
            <w:tcW w:w="23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auto"/>
              </w:rPr>
              <w:t>Education</w:t>
            </w: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544,761</w:t>
            </w: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3"/>
            <w:vMerge w:val="continue"/>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30,241</w:t>
            </w:r>
          </w:p>
        </w:tc>
        <w:tc>
          <w:tcPr>
            <w:tcW w:w="200" w:type="dxa"/>
            <w:vAlign w:val="bottom"/>
            <w:vMerge w:val="continue"/>
          </w:tcPr>
          <w:p>
            <w:pPr>
              <w:spacing w:after="0"/>
              <w:rPr>
                <w:sz w:val="13"/>
                <w:szCs w:val="13"/>
                <w:color w:val="auto"/>
              </w:rPr>
            </w:pPr>
          </w:p>
        </w:tc>
        <w:tc>
          <w:tcPr>
            <w:tcW w:w="840" w:type="dxa"/>
            <w:vAlign w:val="bottom"/>
          </w:tcPr>
          <w:p>
            <w:pPr>
              <w:ind w:left="6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M/C Acquisition Corp.,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Education</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2,512,184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1,358,250</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90,128</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3/13/14</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Total Education</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1,388,491</w:t>
            </w:r>
          </w:p>
        </w:tc>
        <w:tc>
          <w:tcPr>
            <w:tcW w:w="20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90,128</w:t>
            </w:r>
          </w:p>
        </w:tc>
        <w:tc>
          <w:tcPr>
            <w:tcW w:w="18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Group Dekko, Inc.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Electronics</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Second Lien Term Loan 11.00%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(10.00% Cash/1.00% PIK),</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6,901,547</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6,901,547</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6,741,431</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5/1/2016</w:t>
            </w: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Total Electronics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6,901,547</w:t>
            </w:r>
          </w:p>
        </w:tc>
        <w:tc>
          <w:tcPr>
            <w:tcW w:w="2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6,741,431</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USS Parent Holding Corp. (d, g)</w:t>
            </w:r>
          </w:p>
        </w:tc>
        <w:tc>
          <w:tcPr>
            <w:tcW w:w="234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 Voting 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765</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133,002</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220,992</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USS Parent Holding Corp. (d, g)</w:t>
            </w:r>
          </w:p>
        </w:tc>
        <w:tc>
          <w:tcPr>
            <w:tcW w:w="234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Voting Common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3,025,798</w:t>
            </w: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5,027,574</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Total Environmental</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3,158,800</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5,248,566</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DS Waters of America, Inc. (d)</w:t>
            </w:r>
          </w:p>
        </w:tc>
        <w:tc>
          <w:tcPr>
            <w:tcW w:w="2340" w:type="dxa"/>
            <w:vAlign w:val="bottom"/>
            <w:gridSpan w:val="3"/>
            <w:vMerge w:val="restart"/>
          </w:tcPr>
          <w:p>
            <w:pPr>
              <w:ind w:left="320"/>
              <w:spacing w:after="0" w:line="153" w:lineRule="exact"/>
              <w:rPr>
                <w:sz w:val="20"/>
                <w:szCs w:val="20"/>
                <w:color w:val="auto"/>
              </w:rPr>
            </w:pPr>
            <w:r>
              <w:rPr>
                <w:rFonts w:ascii="Times New Roman" w:cs="Times New Roman" w:eastAsia="Times New Roman" w:hAnsi="Times New Roman"/>
                <w:sz w:val="14"/>
                <w:szCs w:val="14"/>
                <w:color w:val="auto"/>
              </w:rPr>
              <w:t>Food and Beverage</w:t>
            </w:r>
          </w:p>
        </w:tc>
        <w:tc>
          <w:tcPr>
            <w:tcW w:w="194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First Lien Term Loan 5.25%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gridSpan w:val="3"/>
            <w:vMerge w:val="continue"/>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2,493,750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2,470,506</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2,531,156</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8/30/2020</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HOA Restaurant Group, L.L.C.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Senior Secured Note 11.25%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4,000,000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3,918,437</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4,240,000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4/1/2017</w:t>
            </w: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TB Corp.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5.75%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5,101,971</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5,082,013</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5,127,481</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6/19/2018</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TB Corp. (d)</w:t>
            </w:r>
          </w:p>
        </w:tc>
        <w:tc>
          <w:tcPr>
            <w:tcW w:w="2340" w:type="dxa"/>
            <w:vAlign w:val="bottom"/>
            <w:gridSpan w:val="3"/>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13.50%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(12.00% Cash/1.50% PIK),</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2,543,154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2,513,130</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2,555,870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12/20/2018</w:t>
            </w:r>
          </w:p>
        </w:tc>
        <w:tc>
          <w:tcPr>
            <w:tcW w:w="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TM Restaurant Group L.L.C. (d)</w:t>
            </w:r>
          </w:p>
        </w:tc>
        <w:tc>
          <w:tcPr>
            <w:tcW w:w="2340" w:type="dxa"/>
            <w:vAlign w:val="bottom"/>
            <w:gridSpan w:val="3"/>
          </w:tcPr>
          <w:p>
            <w:pPr>
              <w:ind w:left="320"/>
              <w:spacing w:after="0" w:line="126" w:lineRule="exact"/>
              <w:rPr>
                <w:sz w:val="20"/>
                <w:szCs w:val="20"/>
                <w:color w:val="auto"/>
              </w:rPr>
            </w:pPr>
            <w:r>
              <w:rPr>
                <w:rFonts w:ascii="Times New Roman" w:cs="Times New Roman" w:eastAsia="Times New Roman" w:hAnsi="Times New Roman"/>
                <w:sz w:val="14"/>
                <w:szCs w:val="14"/>
                <w:color w:val="auto"/>
              </w:rPr>
              <w:t>Food and Beverage</w:t>
            </w:r>
          </w:p>
        </w:tc>
        <w:tc>
          <w:tcPr>
            <w:tcW w:w="1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 Lien Term Loan 7.75%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2,845,690</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2,831,271</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2,831,462</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7/16/2017</w:t>
            </w: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Total Food and Beverage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16,815,357</w:t>
            </w: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17,285,969</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33"/>
        </w:trPr>
        <w:tc>
          <w:tcPr>
            <w:tcW w:w="356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color w:val="auto"/>
              </w:rPr>
              <w:t>Bristol Hospice, LLC</w:t>
            </w:r>
          </w:p>
        </w:tc>
        <w:tc>
          <w:tcPr>
            <w:tcW w:w="2340" w:type="dxa"/>
            <w:vAlign w:val="bottom"/>
            <w:gridSpan w:val="3"/>
          </w:tcPr>
          <w:p>
            <w:pPr>
              <w:ind w:left="320"/>
              <w:spacing w:after="0" w:line="133" w:lineRule="exact"/>
              <w:rPr>
                <w:sz w:val="20"/>
                <w:szCs w:val="20"/>
                <w:color w:val="auto"/>
              </w:rPr>
            </w:pPr>
            <w:r>
              <w:rPr>
                <w:rFonts w:ascii="Times New Roman" w:cs="Times New Roman" w:eastAsia="Times New Roman" w:hAnsi="Times New Roman"/>
                <w:sz w:val="14"/>
                <w:szCs w:val="14"/>
                <w:color w:val="auto"/>
              </w:rPr>
              <w:t>Healthcare Services</w:t>
            </w:r>
          </w:p>
        </w:tc>
        <w:tc>
          <w:tcPr>
            <w:tcW w:w="194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Senior Secured Note 11.00%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(10.00% Cash/1.00% PIK),</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5,509,782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5,405,325</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5,509,782</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11/29/2018</w:t>
            </w:r>
          </w:p>
        </w:tc>
        <w:tc>
          <w:tcPr>
            <w:tcW w:w="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Bristol Hospice, LLC (i), (j)</w:t>
            </w:r>
          </w:p>
        </w:tc>
        <w:tc>
          <w:tcPr>
            <w:tcW w:w="2340" w:type="dxa"/>
            <w:vAlign w:val="bottom"/>
            <w:gridSpan w:val="3"/>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Healthcare Services</w:t>
            </w:r>
          </w:p>
        </w:tc>
        <w:tc>
          <w:tcPr>
            <w:tcW w:w="19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Delayed Draw Term Loan</w:t>
            </w:r>
          </w:p>
        </w:tc>
        <w:tc>
          <w:tcPr>
            <w:tcW w:w="16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ind w:left="620"/>
              <w:spacing w:after="0" w:line="13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60"/>
              <w:spacing w:after="0" w:line="138"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ectPr>
          <w:pgSz w:w="11900" w:h="16900" w:orient="portrait"/>
          <w:cols w:equalWidth="0" w:num="1">
            <w:col w:w="11420"/>
          </w:cols>
          <w:pgMar w:left="240" w:top="266" w:right="2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11.00%(10.00% Cash/1.00%</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PIK), 11/29/2018</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Oceans Acquisition, Inc. (d)</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A Loan 10.75%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6,373,113</w:t>
            </w: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6,273,020</w:t>
            </w:r>
          </w:p>
        </w:tc>
        <w:tc>
          <w:tcPr>
            <w:tcW w:w="80" w:type="dxa"/>
            <w:vAlign w:val="bottom"/>
          </w:tcPr>
          <w:p>
            <w:pPr>
              <w:spacing w:after="0"/>
              <w:rPr>
                <w:sz w:val="10"/>
                <w:szCs w:val="10"/>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6,373,113</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12/27/2017</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Oceans Acquisition, Inc.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B Loan 10.75%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500,000</w:t>
            </w:r>
          </w:p>
        </w:tc>
        <w:tc>
          <w:tcPr>
            <w:tcW w:w="8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490,224</w:t>
            </w:r>
          </w:p>
        </w:tc>
        <w:tc>
          <w:tcPr>
            <w:tcW w:w="8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12/27/2017</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Oceans Acquisition, Inc. (i)</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Delayed Draw Term Loan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10.75% Cash, 12/27/2017</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Smile Brands Group Inc.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7.50%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4,488,750</w:t>
            </w:r>
          </w:p>
        </w:tc>
        <w:tc>
          <w:tcPr>
            <w:tcW w:w="8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4,406,559</w:t>
            </w:r>
          </w:p>
        </w:tc>
        <w:tc>
          <w:tcPr>
            <w:tcW w:w="8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4,488,750</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8/16/2019</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Surgical Specialties Corporation (US), Inc. (d)</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7.25%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2,437,500</w:t>
            </w: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2,415,591</w:t>
            </w:r>
          </w:p>
        </w:tc>
        <w:tc>
          <w:tcPr>
            <w:tcW w:w="80" w:type="dxa"/>
            <w:vAlign w:val="bottom"/>
          </w:tcPr>
          <w:p>
            <w:pPr>
              <w:spacing w:after="0"/>
              <w:rPr>
                <w:sz w:val="10"/>
                <w:szCs w:val="10"/>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2,449,688</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8/22/2018</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Zest Holdings, LLC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Healthcare Services</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6.50%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4,488,750</w:t>
            </w:r>
          </w:p>
        </w:tc>
        <w:tc>
          <w:tcPr>
            <w:tcW w:w="20" w:type="dxa"/>
            <w:vAlign w:val="bottom"/>
            <w:vMerge w:val="restart"/>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4,405,073</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4,488,750</w:t>
            </w:r>
          </w:p>
        </w:tc>
        <w:tc>
          <w:tcPr>
            <w:tcW w:w="18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8/16/2020</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Healthcare Services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23,395,792</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23,810,083</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McMillin Companies L.L.C. (d, g, h)</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Homebuilding</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Senior Secured Note 0% Cash,</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550,000</w:t>
            </w:r>
          </w:p>
        </w:tc>
        <w:tc>
          <w:tcPr>
            <w:tcW w:w="20" w:type="dxa"/>
            <w:vAlign w:val="bottom"/>
            <w:vMerge w:val="restart"/>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558,434</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344,355</w:t>
            </w:r>
          </w:p>
        </w:tc>
        <w:tc>
          <w:tcPr>
            <w:tcW w:w="18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12/31/2013</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Homebuilding</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558,434</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344,355</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Distribution International, Inc.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Manufacturing</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7.50%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5,970,000</w:t>
            </w:r>
          </w:p>
        </w:tc>
        <w:tc>
          <w:tcPr>
            <w:tcW w:w="20" w:type="dxa"/>
            <w:vAlign w:val="bottom"/>
            <w:vMerge w:val="restart"/>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5,916,094</w:t>
            </w:r>
          </w:p>
        </w:tc>
        <w:tc>
          <w:tcPr>
            <w:tcW w:w="20" w:type="dxa"/>
            <w:vAlign w:val="bottom"/>
            <w:vMerge w:val="restart"/>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5,970,000</w:t>
            </w:r>
          </w:p>
        </w:tc>
        <w:tc>
          <w:tcPr>
            <w:tcW w:w="180" w:type="dxa"/>
            <w:vAlign w:val="bottom"/>
            <w:vMerge w:val="restart"/>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7/16/2019</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Manufacturing</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5,916,094</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5,970,000</w:t>
            </w:r>
          </w:p>
        </w:tc>
        <w:tc>
          <w:tcPr>
            <w:tcW w:w="18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Elyria Foundry Company, L.L.C.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Metals</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Senior Secured Note 17.00%</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(13.00% Cash/4.00% PIK),</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8,859,614</w:t>
            </w:r>
          </w:p>
        </w:tc>
        <w:tc>
          <w:tcPr>
            <w:tcW w:w="8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8,859,614</w:t>
            </w:r>
          </w:p>
        </w:tc>
        <w:tc>
          <w:tcPr>
            <w:tcW w:w="80" w:type="dxa"/>
            <w:vAlign w:val="bottom"/>
            <w:shd w:val="clear" w:color="auto" w:fill="CCEEFF"/>
          </w:tcPr>
          <w:p>
            <w:pPr>
              <w:spacing w:after="0"/>
              <w:rPr>
                <w:sz w:val="12"/>
                <w:szCs w:val="12"/>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6,644,711</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9/14/2014</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Elyria Foundry Company, L.L.C. (d, g)</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Metals</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Liability Company Interests</w:t>
            </w:r>
          </w:p>
        </w:tc>
        <w:tc>
          <w:tcPr>
            <w:tcW w:w="140" w:type="dxa"/>
            <w:vAlign w:val="bottom"/>
          </w:tcPr>
          <w:p>
            <w:pPr>
              <w:spacing w:after="0"/>
              <w:rPr>
                <w:sz w:val="12"/>
                <w:szCs w:val="12"/>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7,000</w:t>
            </w: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(2008)</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Elyria Foundry Company, L.L.C. (d, g)</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Metals</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Warrants to Purchase Limited</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Liability Company Interests</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18,227</w:t>
            </w:r>
          </w:p>
        </w:tc>
        <w:tc>
          <w:tcPr>
            <w:tcW w:w="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(2013)</w:t>
            </w: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Metals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8,859,634</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6,644,711</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Network Communications, Inc. (d, g)</w:t>
            </w:r>
          </w:p>
        </w:tc>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21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380,572</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Network Communications, Inc. (d)</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Publishing</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Unsecured Notes 8.60% PIK,</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2,601,736</w:t>
            </w:r>
          </w:p>
        </w:tc>
        <w:tc>
          <w:tcPr>
            <w:tcW w:w="2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2,202,168</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1,190,888</w:t>
            </w:r>
          </w:p>
        </w:tc>
        <w:tc>
          <w:tcPr>
            <w:tcW w:w="18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1/14/2020</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Publishing</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2,202,168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1,190,888</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Community Investors, Inc. (d, g)</w:t>
            </w:r>
          </w:p>
        </w:tc>
        <w:tc>
          <w:tcPr>
            <w:tcW w:w="2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Software</w:t>
            </w:r>
          </w:p>
        </w:tc>
        <w:tc>
          <w:tcPr>
            <w:tcW w:w="21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1,282</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1,449</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Community Investors, Inc. (d)</w:t>
            </w:r>
          </w:p>
        </w:tc>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10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First Lien Term Loan 9.75%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6,983,333</w:t>
            </w:r>
          </w:p>
        </w:tc>
        <w:tc>
          <w:tcPr>
            <w:tcW w:w="8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6,863,915</w:t>
            </w:r>
          </w:p>
        </w:tc>
        <w:tc>
          <w:tcPr>
            <w:tcW w:w="8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6,983,333</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5/9/2018</w:t>
            </w: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 (d), (i), (j)</w:t>
            </w:r>
          </w:p>
        </w:tc>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Revolver</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166,667</w:t>
            </w:r>
          </w:p>
        </w:tc>
        <w:tc>
          <w:tcPr>
            <w:tcW w:w="20" w:type="dxa"/>
            <w:vAlign w:val="bottom"/>
          </w:tcPr>
          <w:p>
            <w:pPr>
              <w:spacing w:after="0"/>
              <w:rPr>
                <w:sz w:val="12"/>
                <w:szCs w:val="12"/>
                <w:color w:val="auto"/>
              </w:rPr>
            </w:pPr>
          </w:p>
        </w:tc>
        <w:tc>
          <w:tcPr>
            <w:tcW w:w="880" w:type="dxa"/>
            <w:vAlign w:val="bottom"/>
            <w:gridSpan w:val="3"/>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Community Investors, Inc. (d, g)</w:t>
            </w:r>
          </w:p>
        </w:tc>
        <w:tc>
          <w:tcPr>
            <w:tcW w:w="20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1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135,584</w:t>
            </w:r>
          </w:p>
        </w:tc>
        <w:tc>
          <w:tcPr>
            <w:tcW w:w="8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135,584</w:t>
            </w: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153,210</w:t>
            </w: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Pen-Link, Ltd.</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Second Lien Term Loan 12.50%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98"/>
              </w:rPr>
              <w:t>11,500,000</w:t>
            </w:r>
          </w:p>
        </w:tc>
        <w:tc>
          <w:tcPr>
            <w:tcW w:w="20" w:type="dxa"/>
            <w:vAlign w:val="bottom"/>
            <w:vMerge w:val="restart"/>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11,280,887</w:t>
            </w: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11,500,000</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5/26/2019</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Software</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18,281,668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18,637,992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Advanced Air &amp; Heat of Florida, LLC</w:t>
            </w:r>
          </w:p>
        </w:tc>
        <w:tc>
          <w:tcPr>
            <w:tcW w:w="2040" w:type="dxa"/>
            <w:vAlign w:val="bottom"/>
            <w:vMerge w:val="restart"/>
          </w:tcPr>
          <w:p>
            <w:pPr>
              <w:ind w:left="180"/>
              <w:spacing w:after="0" w:line="153" w:lineRule="exact"/>
              <w:rPr>
                <w:sz w:val="20"/>
                <w:szCs w:val="20"/>
                <w:color w:val="auto"/>
              </w:rPr>
            </w:pPr>
            <w:r>
              <w:rPr>
                <w:rFonts w:ascii="Times New Roman" w:cs="Times New Roman" w:eastAsia="Times New Roman" w:hAnsi="Times New Roman"/>
                <w:sz w:val="14"/>
                <w:szCs w:val="14"/>
                <w:color w:val="auto"/>
              </w:rPr>
              <w:t>Utilities</w:t>
            </w:r>
          </w:p>
        </w:tc>
        <w:tc>
          <w:tcPr>
            <w:tcW w:w="2100" w:type="dxa"/>
            <w:vAlign w:val="bottom"/>
            <w:vMerge w:val="restart"/>
          </w:tcPr>
          <w:p>
            <w:pPr>
              <w:ind w:left="160"/>
              <w:spacing w:after="0" w:line="153" w:lineRule="exact"/>
              <w:rPr>
                <w:sz w:val="20"/>
                <w:szCs w:val="20"/>
                <w:color w:val="auto"/>
              </w:rPr>
            </w:pPr>
            <w:r>
              <w:rPr>
                <w:rFonts w:ascii="Times New Roman" w:cs="Times New Roman" w:eastAsia="Times New Roman" w:hAnsi="Times New Roman"/>
                <w:sz w:val="14"/>
                <w:szCs w:val="14"/>
                <w:color w:val="auto"/>
              </w:rPr>
              <w:t>First Lien Term Loan 10.00%</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700" w:type="dxa"/>
            <w:vAlign w:val="bottom"/>
            <w:gridSpan w:val="2"/>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6,705,441</w:t>
            </w:r>
          </w:p>
        </w:tc>
        <w:tc>
          <w:tcPr>
            <w:tcW w:w="2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6,606,457</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6,705,441</w:t>
            </w:r>
          </w:p>
        </w:tc>
        <w:tc>
          <w:tcPr>
            <w:tcW w:w="180" w:type="dxa"/>
            <w:vAlign w:val="bottom"/>
            <w:vMerge w:val="restart"/>
          </w:tcPr>
          <w:p>
            <w:pPr>
              <w:spacing w:after="0"/>
              <w:rPr>
                <w:sz w:val="11"/>
                <w:szCs w:val="11"/>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1/31/2019</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Total Utilities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6,606,457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6,705,441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 Total Non-control/Non-affiliated investments</w:t>
            </w: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0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185,266,607</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186,275,106</w:t>
            </w:r>
          </w:p>
        </w:tc>
        <w:tc>
          <w:tcPr>
            <w:tcW w:w="180" w:type="dxa"/>
            <w:vAlign w:val="bottom"/>
            <w:vMerge w:val="continue"/>
          </w:tcPr>
          <w:p>
            <w:pPr>
              <w:spacing w:after="0"/>
              <w:rPr>
                <w:sz w:val="14"/>
                <w:szCs w:val="14"/>
                <w:color w:val="auto"/>
              </w:rPr>
            </w:pPr>
          </w:p>
        </w:tc>
        <w:tc>
          <w:tcPr>
            <w:tcW w:w="5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 investments—17.3% (b)</w:t>
            </w: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Saratoga Investment Corp. CLO 2013-1, Ltd. (a), (d), (e), (f)</w:t>
            </w:r>
          </w:p>
        </w:tc>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Structured Finance Securities</w:t>
            </w:r>
          </w:p>
        </w:tc>
        <w:tc>
          <w:tcPr>
            <w:tcW w:w="21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Other/Structured Finance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w w:val="98"/>
              </w:rPr>
              <w:t>30,000,000</w:t>
            </w:r>
          </w:p>
        </w:tc>
        <w:tc>
          <w:tcPr>
            <w:tcW w:w="2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16,555,808</w:t>
            </w:r>
          </w:p>
        </w:tc>
        <w:tc>
          <w:tcPr>
            <w:tcW w:w="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19,569,596</w:t>
            </w:r>
          </w:p>
        </w:tc>
        <w:tc>
          <w:tcPr>
            <w:tcW w:w="180" w:type="dxa"/>
            <w:vAlign w:val="bottom"/>
            <w:vMerge w:val="restart"/>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15.16%, 10/17/2023</w:t>
            </w: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Sub Total Control investments</w:t>
            </w:r>
          </w:p>
        </w:tc>
        <w:tc>
          <w:tcPr>
            <w:tcW w:w="20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16,555,808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19,569,596</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INVESTMENTS—181.5% (b)</w:t>
            </w: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 xml:space="preserve"> 201,822,415</w:t>
            </w: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$ 205,844,702</w:t>
            </w:r>
          </w:p>
        </w:tc>
        <w:tc>
          <w:tcPr>
            <w:tcW w:w="180" w:type="dxa"/>
            <w:vAlign w:val="bottom"/>
            <w:vMerge w:val="continue"/>
          </w:tcPr>
          <w:p>
            <w:pPr>
              <w:spacing w:after="0"/>
              <w:rPr>
                <w:sz w:val="13"/>
                <w:szCs w:val="13"/>
                <w:color w:val="auto"/>
              </w:rPr>
            </w:pPr>
          </w:p>
        </w:tc>
        <w:tc>
          <w:tcPr>
            <w:tcW w:w="58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300" w:hanging="452"/>
        <w:spacing w:after="0" w:line="261"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non-qualifyng investment as defined under Section 55 (a) of the Investment Company Act of 1940, as amended. Non-qualifying assets represent 9.5% of the Company's portfolio at fair value. As a BDC, the Company can only invest 30% of its portfolio in non-qualifying assets.</w:t>
      </w: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based on net assets of $113,427,929 as of February 28, 2014.</w:t>
      </w:r>
    </w:p>
    <w:p>
      <w:pPr>
        <w:spacing w:after="0" w:line="9" w:lineRule="exact"/>
        <w:rPr>
          <w:rFonts w:ascii="Times New Roman" w:cs="Times New Roman" w:eastAsia="Times New Roman" w:hAnsi="Times New Roman"/>
          <w:sz w:val="18"/>
          <w:szCs w:val="18"/>
          <w:color w:val="auto"/>
        </w:rPr>
      </w:pPr>
    </w:p>
    <w:p>
      <w:pPr>
        <w:ind w:left="460" w:right="220" w:hanging="452"/>
        <w:spacing w:after="0" w:line="250"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pledged as collateral under a senior secured revolving credit facility (see Note 6 to the consolidated financial statements).</w:t>
      </w:r>
    </w:p>
    <w:p>
      <w:pPr>
        <w:spacing w:after="0" w:line="9"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does not have a stated interest rate that is payable thereon. As a result, the 15.16% interest rate in the table above represents the interest rate currently earned on the investment cost and is based on the current cash interest and other income generated by the investment.</w:t>
      </w:r>
    </w:p>
    <w:p>
      <w:pPr>
        <w:ind w:left="460" w:right="220" w:hanging="452"/>
        <w:spacing w:after="0" w:line="255"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fee income</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3"/>
                <w:szCs w:val="13"/>
                <w:color w:val="auto"/>
              </w:rPr>
            </w:pPr>
          </w:p>
        </w:tc>
        <w:tc>
          <w:tcPr>
            <w:tcW w:w="9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Saratoga Investment Corp. CLO 2013-1, Ltd.</w:t>
            </w: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$3,410,868</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$1,775,141</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$3,013,788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Non-income producing at February 28, 2014.</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restructuring of this investment, the Company agreed to forego the receipt of any interest payments thereon.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has an unfunded commitment as of February 28, 2015 (See note 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commitment was unfunded at February 28, 2015. As such, no interest is being earned on this investment.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04"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20" w:type="dxa"/>
            <w:vAlign w:val="bottom"/>
          </w:tcPr>
          <w:p>
            <w:pPr>
              <w:spacing w:after="0"/>
              <w:rPr>
                <w:sz w:val="15"/>
                <w:szCs w:val="15"/>
                <w:color w:val="auto"/>
              </w:rPr>
            </w:pPr>
          </w:p>
        </w:tc>
        <w:tc>
          <w:tcPr>
            <w:tcW w:w="7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9,673,850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8,874,446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6,469,707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3,276,450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561,700</w:t>
            </w: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realized loss from derivatives</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(1,942,936)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(1,648,046)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7,012,726</w:t>
            </w:r>
          </w:p>
        </w:tc>
      </w:tr>
      <w:tr>
        <w:trPr>
          <w:trHeight w:val="223"/>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unrealized appreciation on derivatives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11,007,364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8,497,165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14,044,058</w:t>
            </w: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FROM SHAREHOLDER DISTRIBUTIONS: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declared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(2,156,740)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(12,534,807)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(16,475,809)</w:t>
            </w: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decrease in net assets from shareholder distributions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(2,156,740)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(12,534,807</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(16,475,809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SHARE TRANSACTIONS: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dividend distribution</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10,027,697</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13,180,503</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increase in net assets from capital share transactions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10,027,697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13,180,503</w:t>
            </w:r>
          </w:p>
        </w:tc>
      </w:tr>
      <w:tr>
        <w:trPr>
          <w:trHeight w:val="223"/>
        </w:trPr>
        <w:tc>
          <w:tcPr>
            <w:tcW w:w="20" w:type="dxa"/>
            <w:vAlign w:val="bottom"/>
          </w:tcPr>
          <w:p>
            <w:pPr>
              <w:spacing w:after="0"/>
              <w:rPr>
                <w:sz w:val="19"/>
                <w:szCs w:val="19"/>
                <w:color w:val="auto"/>
              </w:rPr>
            </w:pPr>
          </w:p>
        </w:tc>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9,170,813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5,990,055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10,748,752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113,427,929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107,437,874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96,689,122</w:t>
            </w: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122,598,742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113,427,929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107,437,874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22.71</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end of period</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5,401,899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4,730,116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(23,905,603)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(31,123,667)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(25,771,838)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66"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Saratoga Investment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00" w:type="dxa"/>
            <w:vAlign w:val="bottom"/>
          </w:tcPr>
          <w:p>
            <w:pPr>
              <w:spacing w:after="0"/>
              <w:rPr>
                <w:sz w:val="13"/>
                <w:szCs w:val="13"/>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11,007,364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8,497,165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14,044,058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FROM OPERATIONS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NET CASH USED BY OPERATING ACTIVITIES: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(1,204,458)</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(1,007,494)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accretion of discount on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(540,069)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(666,849)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debt financing costs</w:t>
            </w:r>
          </w:p>
        </w:tc>
        <w:tc>
          <w:tcPr>
            <w:tcW w:w="1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929,773</w:t>
            </w: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903,289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(3,276,450)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(1,270,765)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realized loss from derivatives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1,942,936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1,648,046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unrealized appreciation on derivatives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73,257,332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71,606,736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(104,872,326)</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(121,073,990)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(71,595,649)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Cash and cash equivalents, reserve accounts</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(14,882,101)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8,793,029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102,455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317,505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Management fee receivable</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65,747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68,946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Receivable from unsettled trades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Payable for unsettled trades</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482,890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(405,158)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389,530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and debt fees payable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532,331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615,339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Due to manager</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175,641</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(36,598,773)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(29,526,209)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(36,808,367)</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52,300,000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Paydowns on debt</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(13,700,000)</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(28,300,000)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notes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48,300,000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cost</w:t>
            </w: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(1,972,618)</w:t>
            </w: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(2,821,806)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(1,434,349)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(2,507,112)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(3,295,306)</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35,193,033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32,671,082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35,631,694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(1,405,740)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3,293,898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149,025</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1,888,158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3,293,898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5,912,862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4,565,262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1,204,458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accretion of discount on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540,069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666,849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debt financing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929,773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903,289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482,306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dividend distribution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320,189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10,027,697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13,180,503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266" w:right="2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GSC Investment, LLC (the “LLC”) was organized in May 2006 as a Maryland limited liability company. As of February 28, 2007, the LLC had not yet commenced its operations and investment activities.</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are externally managed and advised by our investment adviser, Saratoga Investment Advisors, LLC (the “Manager”), pursuant to the Management Agreement. Prior to July 30, 2010, we were managed and advised by GSCP (NJ), L.P.</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On March 28, 2012, our wholly-owned subsidiary, Saratoga Investment Corp. SBIC, LP (“SBIC LP”), received a Small Business Investment Company (“SBIC”) license from the Small Business Administration (“SBA”).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conformity with U.S. generally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principles (“U.S. GAAP”) and include the accounts of the Company and its special purpose financing subsidiary, Saratoga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LLC (previously known as GSC Investment Funding LLC). All intercompany accounts and transactions have been eliminated in consolidation.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made to the “Company,” “we,” and “us” herein include Saratoga Investment Corp. and its consolidated subsidiary, except as stated otherwise.</w:t>
      </w:r>
    </w:p>
    <w:p>
      <w:pPr>
        <w:spacing w:after="0" w:line="20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and SBIC are both considered to be investment companies for financial reporting purposes and have applied the guidance in Topic 946, “Financial Services — Investment Companies”. There have been no changes to the Company or SBIC’s status as investment companies during the year ended February 28,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Immaterial Errors Related to Prior Period</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February 28, 2015, the Company identified errors related to the accounting for the capital gains portion of the incentive fee for the years ended February 28, 2014, February 28, 2013, February 29, 2012 and February 28, 2011, as well as the cumulative impact of these errors as of February 28, 2014.</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266" w:right="239" w:bottom="1440" w:gutter="0" w:footer="0" w:header="0"/>
        </w:sectPr>
      </w:pPr>
    </w:p>
    <w:bookmarkStart w:id="94" w:name="page95"/>
    <w:bookmarkEnd w:id="94"/>
    <w:p>
      <w:pPr>
        <w:ind w:firstLine="45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assessed the materiality of these errors and concluded they were not material to any prior annual periods, but the cumulative impact of correcting them in the current period would be quantitatively material to the results of operations of the Company for the year ended February 28, 2015, if the entire adjustment was recorded in that period. Therefore, the consolidated financial statements as of and for the years ended February 28, 2014 and 2013 have been corrected.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effects of these prior period errors on the consolidated financial statements are as follows (in thousands, except per share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Consolidated Statement of Assets and Liabilities</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February 28, 2014</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8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104,253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105,749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(29,628)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(31,124)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34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114,924</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113,428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November 30, 2014</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8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140,238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(23,753)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122,316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120,762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August 31, 2014</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127,412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128,885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(25,494)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(26,967)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34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119,818</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118,345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May 31, 2014</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3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3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44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122,552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124,046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ASSETS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(27,567)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234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116,682</w:t>
            </w: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115,188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372"/>
        </w:trPr>
        <w:tc>
          <w:tcPr>
            <w:tcW w:w="4040" w:type="dxa"/>
            <w:vAlign w:val="bottom"/>
          </w:tcPr>
          <w:p>
            <w:pPr>
              <w:spacing w:after="0"/>
              <w:rPr>
                <w:sz w:val="24"/>
                <w:szCs w:val="24"/>
                <w:color w:val="auto"/>
              </w:rPr>
            </w:pPr>
          </w:p>
        </w:tc>
        <w:tc>
          <w:tcPr>
            <w:tcW w:w="2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F-10</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Revised 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February 28, 2014</w:t>
            </w: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1"/>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Year Ended February 28, 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5"/>
            <w:vMerge w:val="continue"/>
          </w:tcPr>
          <w:p>
            <w:pPr>
              <w:spacing w:after="0"/>
              <w:rPr>
                <w:sz w:val="15"/>
                <w:szCs w:val="15"/>
                <w:color w:val="auto"/>
              </w:rPr>
            </w:pP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8"/>
                <w:szCs w:val="18"/>
                <w:color w:val="auto"/>
              </w:rPr>
            </w:pP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10,537</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8"/>
                <w:szCs w:val="18"/>
                <w:color w:val="auto"/>
              </w:rPr>
            </w:pPr>
          </w:p>
        </w:tc>
        <w:tc>
          <w:tcPr>
            <w:tcW w:w="7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CEEFF"/>
          </w:tcPr>
          <w:p>
            <w:pPr>
              <w:spacing w:after="0"/>
              <w:rPr>
                <w:sz w:val="18"/>
                <w:szCs w:val="18"/>
                <w:color w:val="auto"/>
              </w:rPr>
            </w:pPr>
          </w:p>
        </w:tc>
        <w:tc>
          <w:tcPr>
            <w:tcW w:w="74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$ 8,497</w:t>
            </w: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$ 14,602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$14,044</w:t>
            </w: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AVERAGE—BASIC AND DILUTED EARNINGS PER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55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0"/>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November 30,</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Previously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5"/>
            <w:vMerge w:val="continue"/>
          </w:tcPr>
          <w:p>
            <w:pPr>
              <w:spacing w:after="0"/>
              <w:rPr>
                <w:sz w:val="15"/>
                <w:szCs w:val="15"/>
                <w:color w:val="auto"/>
              </w:rPr>
            </w:pP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4,676</w:t>
            </w: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13,139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8"/>
              </w:rPr>
              <w:t>2,629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44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gridSpan w:val="8"/>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$3,385</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8,360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AVERAGE—BASIC AND DILUTED EARNINGS PER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0.63</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0"/>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August 31, 2014</w:t>
            </w:r>
          </w:p>
        </w:tc>
        <w:tc>
          <w:tcPr>
            <w:tcW w:w="3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Six Months Ended August 31, 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10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80" w:type="dxa"/>
            <w:vAlign w:val="bottom"/>
          </w:tcPr>
          <w:p>
            <w:pPr>
              <w:spacing w:after="0"/>
              <w:rPr>
                <w:sz w:val="15"/>
                <w:szCs w:val="15"/>
                <w:color w:val="auto"/>
              </w:rPr>
            </w:pPr>
          </w:p>
        </w:tc>
        <w:tc>
          <w:tcPr>
            <w:tcW w:w="10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  769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8,486</w:t>
            </w:r>
          </w:p>
        </w:tc>
        <w:tc>
          <w:tcPr>
            <w:tcW w:w="80" w:type="dxa"/>
            <w:vAlign w:val="bottom"/>
            <w:shd w:val="clear" w:color="auto" w:fill="CCEEFF"/>
          </w:tcPr>
          <w:p>
            <w:pPr>
              <w:spacing w:after="0"/>
              <w:rPr>
                <w:sz w:val="18"/>
                <w:szCs w:val="18"/>
                <w:color w:val="auto"/>
              </w:rPr>
            </w:pP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2,093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left w:val="single" w:sz="8" w:color="CCEEFF"/>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righ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4,894</w:t>
            </w:r>
          </w:p>
        </w:tc>
        <w:tc>
          <w:tcPr>
            <w:tcW w:w="80" w:type="dxa"/>
            <w:vAlign w:val="bottom"/>
            <w:shd w:val="clear" w:color="auto" w:fill="CCEEFF"/>
          </w:tcPr>
          <w:p>
            <w:pPr>
              <w:spacing w:after="0"/>
              <w:rPr>
                <w:sz w:val="20"/>
                <w:szCs w:val="20"/>
                <w:color w:val="auto"/>
              </w:rPr>
            </w:pPr>
          </w:p>
        </w:tc>
        <w:tc>
          <w:tcPr>
            <w:tcW w:w="320" w:type="dxa"/>
            <w:vAlign w:val="bottom"/>
            <w:tcBorders>
              <w:left w:val="single" w:sz="8" w:color="CCEEFF"/>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 AVERAGE—BASIC AND DILUTED EARNINGS PER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$ 0.59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May 31, 2014</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6"/>
          </w:tcPr>
          <w:p>
            <w:pPr>
              <w:jc w:val="center"/>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Previously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8"/>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EXPENSES</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Incentive management fees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380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4,083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4,081</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2,061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2,063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58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color w:val="auto"/>
              </w:rPr>
              <w:t>WEIGHTED AVERAGE—BASIC AND DILUTED EARNINGS PER</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F-11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Revised Consolidated Statements of Changes in Net Assets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February 28, 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1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 February 28, 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4"/>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0" w:type="dxa"/>
            <w:vAlign w:val="bottom"/>
          </w:tcPr>
          <w:p>
            <w:pPr>
              <w:spacing w:after="0"/>
              <w:rPr>
                <w:sz w:val="12"/>
                <w:szCs w:val="12"/>
                <w:color w:val="auto"/>
              </w:rPr>
            </w:pPr>
          </w:p>
        </w:tc>
        <w:tc>
          <w:tcPr>
            <w:tcW w:w="11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Revised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10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Revised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3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40" w:type="dxa"/>
            <w:vAlign w:val="bottom"/>
          </w:tcPr>
          <w:p>
            <w:pPr>
              <w:spacing w:after="0"/>
              <w:rPr>
                <w:sz w:val="18"/>
                <w:szCs w:val="18"/>
                <w:color w:val="auto"/>
              </w:rPr>
            </w:pPr>
          </w:p>
        </w:tc>
        <w:tc>
          <w:tcPr>
            <w:tcW w:w="3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14,044</w:t>
            </w:r>
          </w:p>
        </w:tc>
        <w:tc>
          <w:tcPr>
            <w:tcW w:w="0" w:type="dxa"/>
            <w:vAlign w:val="bottom"/>
          </w:tcPr>
          <w:p>
            <w:pPr>
              <w:spacing w:after="0"/>
              <w:rPr>
                <w:sz w:val="1"/>
                <w:szCs w:val="1"/>
                <w:color w:val="auto"/>
              </w:rPr>
            </w:pPr>
          </w:p>
        </w:tc>
      </w:tr>
      <w:tr>
        <w:trPr>
          <w:trHeight w:val="324"/>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108,687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107,438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97,380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96,689</w:t>
            </w:r>
          </w:p>
        </w:tc>
        <w:tc>
          <w:tcPr>
            <w:tcW w:w="0" w:type="dxa"/>
            <w:vAlign w:val="bottom"/>
          </w:tcPr>
          <w:p>
            <w:pPr>
              <w:spacing w:after="0"/>
              <w:rPr>
                <w:sz w:val="1"/>
                <w:szCs w:val="1"/>
                <w:color w:val="auto"/>
              </w:rPr>
            </w:pPr>
          </w:p>
        </w:tc>
      </w:tr>
      <w:tr>
        <w:trPr>
          <w:trHeight w:val="230"/>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114,924</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113,428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108,687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(29,628)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(31,124)</w:t>
            </w:r>
          </w:p>
        </w:tc>
        <w:tc>
          <w:tcPr>
            <w:tcW w:w="104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 (24,523)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(25,772)</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November 30, 2014</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8"/>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60" w:type="dxa"/>
            <w:vAlign w:val="bottom"/>
          </w:tcPr>
          <w:p>
            <w:pPr>
              <w:spacing w:after="0"/>
              <w:rPr>
                <w:sz w:val="12"/>
                <w:szCs w:val="12"/>
                <w:color w:val="auto"/>
              </w:rPr>
            </w:pPr>
          </w:p>
        </w:tc>
        <w:tc>
          <w:tcPr>
            <w:tcW w:w="98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5"/>
                <w:szCs w:val="15"/>
                <w:color w:val="auto"/>
              </w:rPr>
            </w:pPr>
          </w:p>
        </w:tc>
        <w:tc>
          <w:tcPr>
            <w:tcW w:w="98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113,428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122,316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120,762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9"/>
          </w:tcPr>
          <w:p>
            <w:pPr>
              <w:ind w:left="620"/>
              <w:spacing w:after="0"/>
              <w:rPr>
                <w:sz w:val="20"/>
                <w:szCs w:val="20"/>
                <w:color w:val="auto"/>
              </w:rPr>
            </w:pPr>
            <w:r>
              <w:rPr>
                <w:rFonts w:ascii="Times New Roman" w:cs="Times New Roman" w:eastAsia="Times New Roman" w:hAnsi="Times New Roman"/>
                <w:sz w:val="18"/>
                <w:szCs w:val="18"/>
                <w:color w:val="auto"/>
              </w:rPr>
              <w:t>$ (23,753)</w:t>
            </w:r>
          </w:p>
        </w:tc>
        <w:tc>
          <w:tcPr>
            <w:tcW w:w="140" w:type="dxa"/>
            <w:vAlign w:val="bottom"/>
          </w:tcPr>
          <w:p>
            <w:pPr>
              <w:spacing w:after="0"/>
              <w:rPr>
                <w:sz w:val="20"/>
                <w:szCs w:val="20"/>
                <w:color w:val="auto"/>
              </w:rPr>
            </w:pP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(1,554)</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August 31, 2014</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4,133</w:t>
            </w:r>
          </w:p>
        </w:tc>
        <w:tc>
          <w:tcPr>
            <w:tcW w:w="140" w:type="dxa"/>
            <w:vAlign w:val="bottom"/>
          </w:tcPr>
          <w:p>
            <w:pPr>
              <w:spacing w:after="0"/>
              <w:rPr>
                <w:sz w:val="18"/>
                <w:szCs w:val="18"/>
                <w:color w:val="auto"/>
              </w:rPr>
            </w:pPr>
          </w:p>
        </w:tc>
        <w:tc>
          <w:tcPr>
            <w:tcW w:w="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4,894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114,924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113,428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119,818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3"/>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118,345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shd w:val="clear" w:color="auto" w:fill="CCEEFF"/>
          </w:tcPr>
          <w:p>
            <w:pPr>
              <w:spacing w:after="0"/>
              <w:rPr>
                <w:sz w:val="18"/>
                <w:szCs w:val="18"/>
                <w:color w:val="auto"/>
              </w:rPr>
            </w:pPr>
          </w:p>
        </w:tc>
        <w:tc>
          <w:tcPr>
            <w:tcW w:w="3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 (25,494)</w:t>
            </w:r>
          </w:p>
        </w:tc>
        <w:tc>
          <w:tcPr>
            <w:tcW w:w="140" w:type="dxa"/>
            <w:vAlign w:val="bottom"/>
          </w:tcPr>
          <w:p>
            <w:pPr>
              <w:spacing w:after="0"/>
              <w:rPr>
                <w:sz w:val="20"/>
                <w:szCs w:val="20"/>
                <w:color w:val="auto"/>
              </w:rPr>
            </w:pPr>
          </w:p>
        </w:tc>
        <w:tc>
          <w:tcPr>
            <w:tcW w:w="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(1,473)</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May 31, 2014</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5"/>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tcPr>
          <w:p>
            <w:pPr>
              <w:spacing w:after="0"/>
              <w:rPr>
                <w:sz w:val="18"/>
                <w:szCs w:val="18"/>
                <w:color w:val="auto"/>
              </w:rPr>
            </w:pPr>
          </w:p>
        </w:tc>
        <w:tc>
          <w:tcPr>
            <w:tcW w:w="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114,924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113,428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116,682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3"/>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115,188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21.69</w:t>
            </w:r>
          </w:p>
        </w:tc>
        <w:tc>
          <w:tcPr>
            <w:tcW w:w="140" w:type="dxa"/>
            <w:vAlign w:val="bottom"/>
            <w:shd w:val="clear" w:color="auto" w:fill="CCEEFF"/>
          </w:tcPr>
          <w:p>
            <w:pPr>
              <w:spacing w:after="0"/>
              <w:rPr>
                <w:sz w:val="18"/>
                <w:szCs w:val="18"/>
                <w:color w:val="auto"/>
              </w:rPr>
            </w:pPr>
          </w:p>
        </w:tc>
        <w:tc>
          <w:tcPr>
            <w:tcW w:w="3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in excess of net investment income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 (27,567)</w:t>
            </w:r>
          </w:p>
        </w:tc>
        <w:tc>
          <w:tcPr>
            <w:tcW w:w="140" w:type="dxa"/>
            <w:vAlign w:val="bottom"/>
          </w:tcPr>
          <w:p>
            <w:pPr>
              <w:spacing w:after="0"/>
              <w:rPr>
                <w:sz w:val="20"/>
                <w:szCs w:val="20"/>
                <w:color w:val="auto"/>
              </w:rPr>
            </w:pPr>
          </w:p>
        </w:tc>
        <w:tc>
          <w:tcPr>
            <w:tcW w:w="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(1,494)</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F-12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Revised 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tcBorders>
              <w:bottom w:val="single" w:sz="8" w:color="auto"/>
            </w:tcBorders>
            <w:gridSpan w:val="10"/>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February 28, 2014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bottom w:val="single" w:sz="8" w:color="auto"/>
            </w:tcBorders>
            <w:gridSpan w:val="11"/>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February 28, 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5"/>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0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4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8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8,744</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8,497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w w:val="98"/>
              </w:rPr>
              <w:t>$ 14,602</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6"/>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Nine Months Ended November 30, 2014</w:t>
            </w:r>
          </w:p>
        </w:tc>
        <w:tc>
          <w:tcPr>
            <w:tcW w:w="3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6"/>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6"/>
          </w:tcPr>
          <w:p>
            <w:pPr>
              <w:jc w:val="right"/>
              <w:ind w:right="428"/>
              <w:spacing w:after="0"/>
              <w:rPr>
                <w:sz w:val="20"/>
                <w:szCs w:val="20"/>
                <w:color w:val="auto"/>
              </w:rPr>
            </w:pPr>
            <w:r>
              <w:rPr>
                <w:rFonts w:ascii="Times New Roman" w:cs="Times New Roman" w:eastAsia="Times New Roman" w:hAnsi="Times New Roman"/>
                <w:sz w:val="18"/>
                <w:szCs w:val="18"/>
                <w:color w:val="auto"/>
              </w:rPr>
              <w:t>$  8,360</w:t>
            </w:r>
          </w:p>
        </w:tc>
        <w:tc>
          <w:tcPr>
            <w:tcW w:w="40" w:type="dxa"/>
            <w:vAlign w:val="bottom"/>
          </w:tcPr>
          <w:p>
            <w:pPr>
              <w:spacing w:after="0"/>
              <w:rPr>
                <w:sz w:val="19"/>
                <w:szCs w:val="19"/>
                <w:color w:val="auto"/>
              </w:rPr>
            </w:pPr>
          </w:p>
        </w:tc>
        <w:tc>
          <w:tcPr>
            <w:tcW w:w="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8,302</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6"/>
          </w:tcPr>
          <w:p>
            <w:pPr>
              <w:jc w:val="right"/>
              <w:ind w:right="428"/>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August 31, 2014</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8"/>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8"/>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jc w:val="right"/>
              <w:ind w:right="10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4,917</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Three Months Ended May 31, 2014</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Revised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1,758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6"/>
          </w:tcPr>
          <w:p>
            <w:pPr>
              <w:jc w:val="right"/>
              <w:ind w:right="388"/>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2" w:lineRule="exact"/>
        <w:rPr>
          <w:sz w:val="20"/>
          <w:szCs w:val="20"/>
          <w:color w:val="auto"/>
        </w:rPr>
      </w:pPr>
    </w:p>
    <w:p>
      <w:pPr>
        <w:ind w:left="5540" w:right="3580" w:hanging="4965"/>
        <w:spacing w:after="0" w:line="454" w:lineRule="auto"/>
        <w:tabs>
          <w:tab w:leader="none" w:pos="8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to own more than 3.0% of the total outstanding voting stock of the money market fund; F-13</w:t>
      </w:r>
    </w:p>
    <w:p>
      <w:pPr>
        <w:sectPr>
          <w:pgSz w:w="11900" w:h="16838" w:orient="portrait"/>
          <w:cols w:equalWidth="0" w:num="1">
            <w:col w:w="11420"/>
          </w:cols>
          <w:pgMar w:left="240" w:top="266" w:right="239" w:bottom="1440" w:gutter="0" w:footer="0" w:header="0"/>
        </w:sectPr>
      </w:pPr>
    </w:p>
    <w:bookmarkStart w:id="98" w:name="page99"/>
    <w:bookmarkEnd w:id="98"/>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were to hold securities in the money market fund having an aggregate value in excess of 5.0% of the value of our total assets; or</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to hold securities in money market funds and other registered investment companies and BDCs having an aggregate value in excess of 10.0% of the value of our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Classification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investments at fair value in accordance with the Financial Accounting Standards Board (“FASB”) Accounting Standards Codification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8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undertake a multi-step valuation process each quarter when valuing investments for which market quotations are not readily available, as described below:</w:t>
      </w:r>
    </w:p>
    <w:p>
      <w:pPr>
        <w:spacing w:after="0" w:line="67" w:lineRule="exact"/>
        <w:rPr>
          <w:sz w:val="20"/>
          <w:szCs w:val="20"/>
          <w:color w:val="auto"/>
        </w:rPr>
      </w:pPr>
    </w:p>
    <w:p>
      <w:pPr>
        <w:ind w:left="900" w:right="62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6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all our investments are subject to the following valuation process:</w:t>
      </w:r>
    </w:p>
    <w:p>
      <w:pPr>
        <w:spacing w:after="0" w:line="131" w:lineRule="exact"/>
        <w:rPr>
          <w:sz w:val="20"/>
          <w:szCs w:val="20"/>
          <w:color w:val="auto"/>
        </w:rPr>
      </w:pPr>
    </w:p>
    <w:p>
      <w:pPr>
        <w:ind w:left="900" w:right="20" w:hanging="325"/>
        <w:spacing w:after="0" w:line="282"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270" w:right="239" w:bottom="1440" w:gutter="0" w:footer="0" w:header="0"/>
        </w:sectPr>
      </w:pPr>
    </w:p>
    <w:bookmarkStart w:id="99" w:name="page100"/>
    <w:bookmarkEnd w:id="99"/>
    <w:p>
      <w:pPr>
        <w:ind w:left="900" w:right="120" w:hanging="325"/>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8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1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account for derivative financial instruments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on our investment in Saratoga CLO is recorded using the effective interest method in accordance with the provisions of ASC</w:t>
      </w:r>
    </w:p>
    <w:p>
      <w:pPr>
        <w:spacing w:after="0" w:line="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Topic 325-40, </w:t>
      </w:r>
      <w:r>
        <w:rPr>
          <w:rFonts w:ascii="Times New Roman" w:cs="Times New Roman" w:eastAsia="Times New Roman" w:hAnsi="Times New Roman"/>
          <w:sz w:val="18"/>
          <w:szCs w:val="18"/>
          <w:i w:val="1"/>
          <w:iCs w:val="1"/>
          <w:color w:val="auto"/>
        </w:rPr>
        <w:t>Investments-Other, Beneficial Interests in Securitized Financial Assets</w:t>
      </w:r>
      <w:r>
        <w:rPr>
          <w:rFonts w:ascii="Times New Roman" w:cs="Times New Roman" w:eastAsia="Times New Roman" w:hAnsi="Times New Roman"/>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income includes dividends received, origination fees, structuring fees and advisory fees, and is recorded in income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Paid-in-Kind Interest</w:t>
      </w:r>
    </w:p>
    <w:p>
      <w:pPr>
        <w:spacing w:after="0" w:line="121" w:lineRule="exact"/>
        <w:rPr>
          <w:sz w:val="20"/>
          <w:szCs w:val="20"/>
          <w:color w:val="auto"/>
        </w:rPr>
      </w:pPr>
    </w:p>
    <w:p>
      <w:pPr>
        <w:ind w:right="200" w:firstLine="456"/>
        <w:spacing w:after="0" w:line="289" w:lineRule="auto"/>
        <w:rPr>
          <w:sz w:val="20"/>
          <w:szCs w:val="20"/>
          <w:color w:val="auto"/>
        </w:rPr>
      </w:pPr>
      <w:r>
        <w:rPr>
          <w:rFonts w:ascii="Times New Roman" w:cs="Times New Roman" w:eastAsia="Times New Roman" w:hAnsi="Times New Roman"/>
          <w:sz w:val="17"/>
          <w:szCs w:val="17"/>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00"/>
          </w:cols>
          <w:pgMar w:left="240" w:top="270"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Debt Financing Costs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7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April 2015, the FASB has issued Accounting Standards Update (“ASU”) No. 2015-03, </w:t>
      </w:r>
      <w:r>
        <w:rPr>
          <w:rFonts w:ascii="Times New Roman" w:cs="Times New Roman" w:eastAsia="Times New Roman" w:hAnsi="Times New Roman"/>
          <w:sz w:val="18"/>
          <w:szCs w:val="18"/>
          <w:i w:val="1"/>
          <w:iCs w:val="1"/>
          <w:color w:val="auto"/>
        </w:rPr>
        <w:t>Interest—Imputation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the Presentation of Debt Issuance Costs </w:t>
      </w:r>
      <w:r>
        <w:rPr>
          <w:rFonts w:ascii="Times New Roman" w:cs="Times New Roman" w:eastAsia="Times New Roman" w:hAnsi="Times New Roman"/>
          <w:sz w:val="18"/>
          <w:szCs w:val="18"/>
          <w:color w:val="auto"/>
        </w:rPr>
        <w:t>(“ASU 2015-03”). The amendments in this ASU require that debt issuance costs related to a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liability 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The Company has adopted the provisions of ASU 2015-03 as of February 28, 2015, by reclassifying deferred debt financing costs from within total assets to within total liabilities as a contra-liability. The adoption of the provisions of ASU 2015-03 did not materially impact the Company’s consolidated financial position or results of operations. Prior period amounts were reclassified to conform to the current period presentation.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76"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87" w:lineRule="exact"/>
        <w:rPr>
          <w:sz w:val="20"/>
          <w:szCs w:val="20"/>
          <w:color w:val="auto"/>
        </w:rPr>
      </w:pPr>
    </w:p>
    <w:p>
      <w:pPr>
        <w:jc w:val="both"/>
        <w:ind w:right="140" w:firstLine="456"/>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266" w:right="239" w:bottom="1440" w:gutter="0" w:footer="0" w:header="0"/>
        </w:sectPr>
      </w:pPr>
    </w:p>
    <w:bookmarkStart w:id="101" w:name="page102"/>
    <w:bookmarkEnd w:id="10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2015, the Company did not incur any interest or penalties. Although we file federal and state tax returns, our major tax jurisdiction is federal. The 2012, 2013 and 2014 federal tax years for the Company remain subject to examination by the IRS. As of February 28, 2015 and February 28, 2014, there were no uncertain tax positions.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3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Incentive Fee</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Consolidation (ASC Topic 810): Amendments to the Consolidation Analysis</w:t>
      </w:r>
      <w:r>
        <w:rPr>
          <w:rFonts w:ascii="Times New Roman" w:cs="Times New Roman" w:eastAsia="Times New Roman" w:hAnsi="Times New Roman"/>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8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w:t>
      </w:r>
    </w:p>
    <w:p>
      <w:pPr>
        <w:spacing w:after="0" w:line="186"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June 2014, the FASB issued ASU 2014-11, </w:t>
      </w:r>
      <w:r>
        <w:rPr>
          <w:rFonts w:ascii="Times New Roman" w:cs="Times New Roman" w:eastAsia="Times New Roman" w:hAnsi="Times New Roman"/>
          <w:sz w:val="18"/>
          <w:szCs w:val="18"/>
          <w:i w:val="1"/>
          <w:iCs w:val="1"/>
          <w:color w:val="auto"/>
        </w:rPr>
        <w:t>Repurchase-to-Maturity Transactions, Repurchase Financings, and Disclosures,</w:t>
      </w:r>
      <w:r>
        <w:rPr>
          <w:rFonts w:ascii="Times New Roman" w:cs="Times New Roman" w:eastAsia="Times New Roman" w:hAnsi="Times New Roman"/>
          <w:sz w:val="18"/>
          <w:szCs w:val="18"/>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Company’s consolidated financial statement disclosures.</w:t>
      </w:r>
    </w:p>
    <w:p>
      <w:pPr>
        <w:spacing w:after="0" w:line="18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w:t>
      </w:r>
      <w:r>
        <w:rPr>
          <w:rFonts w:ascii="Times New Roman" w:cs="Times New Roman" w:eastAsia="Times New Roman" w:hAnsi="Times New Roman"/>
          <w:sz w:val="18"/>
          <w:szCs w:val="18"/>
          <w:i w:val="1"/>
          <w:iCs w:val="1"/>
          <w:color w:val="auto"/>
        </w:rPr>
        <w:t>2014-09,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which supersedes the revenue recognition requirements in Revenue Recognition (Topic 605). Under the new guidance,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270"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Management</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0"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2" w:lineRule="exact"/>
        <w:rPr>
          <w:sz w:val="20"/>
          <w:szCs w:val="20"/>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inputs other than quoted prices in active markets, which are either directly or indirectly observable.</w:t>
      </w:r>
    </w:p>
    <w:p>
      <w:pPr>
        <w:spacing w:after="0" w:line="130"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February 28, 2015 (dollars in thousands), according to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3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3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145,207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145,207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3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3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3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3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240,538</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240,538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20" w:type="dxa"/>
            <w:vAlign w:val="bottom"/>
            <w:gridSpan w:val="2"/>
          </w:tcPr>
          <w:p>
            <w:pPr>
              <w:jc w:val="right"/>
              <w:ind w:right="1892"/>
              <w:spacing w:after="0"/>
              <w:rPr>
                <w:sz w:val="20"/>
                <w:szCs w:val="20"/>
                <w:color w:val="auto"/>
              </w:rPr>
            </w:pPr>
            <w:r>
              <w:rPr>
                <w:rFonts w:ascii="Times New Roman" w:cs="Times New Roman" w:eastAsia="Times New Roman" w:hAnsi="Times New Roman"/>
                <w:sz w:val="18"/>
                <w:szCs w:val="18"/>
                <w:color w:val="auto"/>
              </w:rPr>
              <w:t>F-18</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66" w:right="299" w:bottom="1440" w:gutter="0" w:footer="0" w:header="0"/>
        </w:sectPr>
      </w:pPr>
    </w:p>
    <w:bookmarkStart w:id="103" w:name="page104"/>
    <w:bookmarkEnd w:id="103"/>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presents fair value measurements of investments, by major class, as of February 28, 2014 (dollars in thousands), according to the fair value hierarchy:</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2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110,278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205,845</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205,845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Syndicated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2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equities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$ 110,278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$10,332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other adjustments to cost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83,456</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18,667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and redemptions</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(42,445)</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(10,522)</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(6,226)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from investments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In/Out</w:t>
            </w:r>
          </w:p>
        </w:tc>
        <w:tc>
          <w:tcPr>
            <w:tcW w:w="1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145,207</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$ 35,603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17,031</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20,165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net change in unrealized gain/(loss) for the year ended February 28, 2015 on investments held as of February 28, 2015 is ($1,456,791) and is included in net unrealized appreciation (depreciation) on investments in the consolidated statements of operations.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270" w:right="239"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a reconciliation of the beginning and ending balances for investments that use Level 3 inputs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 (dollars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Syndicated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lien</w:t>
            </w: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equities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2013</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$107,097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37,048</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20,727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(5,138)</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(2,389)</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(71,607)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2014</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110,278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10,332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205,845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net change in unrealized gain/(loss) for the year ended February 28, 2014 on investments held as of February 28, 2014 is $(1,767,285) and is included in net unrealized appreciation (depreciation) on investments in the consolidated statements of operations.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valuation techniques and significant unobservable inputs used in recurring Level 3 fair value measurements of assets as of February 28, 2015 were as follows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2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Bid</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93.6% -100.4%</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145,206</w:t>
            </w:r>
          </w:p>
        </w:tc>
        <w:tc>
          <w:tcPr>
            <w:tcW w:w="20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 Yield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 Multiples (x)</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Third-Party Bid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35,603</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 Yield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Third-Party Bid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98.3% - 98.3%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 Yield (%)</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 - 20.3%</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17,031</w:t>
            </w: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Discounted Cash Flow</w:t>
            </w:r>
          </w:p>
        </w:tc>
        <w:tc>
          <w:tcPr>
            <w:tcW w:w="2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Discount Rate (%)</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20,165</w:t>
            </w: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 Multiples (x)</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5.0x</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- 12.1x</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F-20</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5" w:name="page106"/>
    <w:bookmarkEnd w:id="105"/>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valuation techniques and significant unobservable inputs used in recurring Level 3 fair value measurements of assets as of February 28, 2014 were as follows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1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$ 32,390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Comparables</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Bid</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- 100.6</w:t>
            </w:r>
          </w:p>
        </w:tc>
        <w:tc>
          <w:tcPr>
            <w:tcW w:w="0" w:type="dxa"/>
            <w:vAlign w:val="bottom"/>
          </w:tcPr>
          <w:p>
            <w:pPr>
              <w:spacing w:after="0"/>
              <w:rPr>
                <w:sz w:val="1"/>
                <w:szCs w:val="1"/>
                <w:color w:val="auto"/>
              </w:rPr>
            </w:pPr>
          </w:p>
        </w:tc>
      </w:tr>
      <w:tr>
        <w:trPr>
          <w:trHeight w:val="32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2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110,278</w:t>
            </w: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Multiples (x)</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3.0x</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- 5.0x</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Bid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- 107.5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2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27,804</w:t>
            </w:r>
          </w:p>
        </w:tc>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Yield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Bid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5,471</w:t>
            </w:r>
          </w:p>
        </w:tc>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Yield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- 20.3%</w:t>
            </w:r>
          </w:p>
        </w:tc>
        <w:tc>
          <w:tcPr>
            <w:tcW w:w="0" w:type="dxa"/>
            <w:vAlign w:val="bottom"/>
          </w:tcPr>
          <w:p>
            <w:pPr>
              <w:spacing w:after="0"/>
              <w:rPr>
                <w:sz w:val="1"/>
                <w:szCs w:val="1"/>
                <w:color w:val="auto"/>
              </w:rPr>
            </w:pPr>
          </w:p>
        </w:tc>
      </w:tr>
      <w:tr>
        <w:trPr>
          <w:trHeight w:val="32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19,570</w:t>
            </w: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Discounted Cash Flow</w:t>
            </w: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 (%)</w:t>
            </w: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interests</w:t>
            </w:r>
          </w:p>
        </w:tc>
        <w:tc>
          <w:tcPr>
            <w:tcW w:w="2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10,332</w:t>
            </w:r>
          </w:p>
        </w:tc>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 Comparables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Multiples (x)</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6.3x</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composition of our investments as of February 28, 2015, at amortized cost and fair value were as follows (dollars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144,959</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145,207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35,748</w:t>
            </w:r>
          </w:p>
        </w:tc>
        <w:tc>
          <w:tcPr>
            <w:tcW w:w="1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35,603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7,366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4,230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15,953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17,031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20,165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240,538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composition of our investments as of February 28, 2014, at amortized cost and fair value were as follows (dollars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Syndicated loans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First lien term loans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112,039</w:t>
            </w: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110,278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27,540</w:t>
            </w:r>
          </w:p>
        </w:tc>
        <w:tc>
          <w:tcPr>
            <w:tcW w:w="17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27,804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Unsecured notes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7,149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16,556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19,570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10,332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205,845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270" w:right="239" w:bottom="1440" w:gutter="0" w:footer="0" w:header="0"/>
        </w:sectPr>
      </w:pPr>
    </w:p>
    <w:bookmarkStart w:id="106" w:name="page107"/>
    <w:bookmarkEnd w:id="106"/>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86"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February 28, 2015. The significant inputs for the valuation model include:</w:t>
      </w:r>
    </w:p>
    <w:p>
      <w:pPr>
        <w:spacing w:after="0" w:line="98" w:lineRule="exact"/>
        <w:rPr>
          <w:sz w:val="20"/>
          <w:szCs w:val="20"/>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rates: 2.0%</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rates: 35-75%</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 25.0%</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rate / price: L+375bps / $99.75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in Saratoga Investment Corp. CLO 2013-1, Ltd. (“Saratoga CLO”)</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28, 2015, February 28, 2014 and February 28, 2013, we accrued $1.5 million, $1.8 million, and $2.0 million in management fee income, respectively, and $2.7 million, $3.4 million, and $4.2 million in interest income, respectively, from Saratoga CLO. We did not accrue any amounts related to the incentive management fee as the 12.0% hurdle rate has not yet been achieved.</w:t>
      </w:r>
    </w:p>
    <w:p>
      <w:pPr>
        <w:spacing w:after="0" w:line="193"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At February 28, 2015, the Company determined that the fair value of its investment in the subordinated notes of Saratoga CLO was $17.0 million. The Company determines the fair value of its investment in the subordinated notes of Saratoga CLO based on the present value of the projected future cash flows of the subordinated notes over the life of Saratoga CLO. At February 28, 2015, Saratoga CLO had investments with a principal balance of $296.9 million and a weighted average spread over LIBOR of 4.3%,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270" w:right="239" w:bottom="1440" w:gutter="0" w:footer="0" w:header="0"/>
        </w:sectPr>
      </w:pPr>
    </w:p>
    <w:bookmarkStart w:id="107" w:name="page108"/>
    <w:bookmarkEnd w:id="10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had debt with a principal balance of $282.4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February 28, 2015, the total “spread”, or projected future cash flows of the subordinated notes, over the life of Saratoga CLO was $17.3 million, which had a present value of approximately $17.0 million, using a 12.0% discount rate.</w:t>
      </w:r>
    </w:p>
    <w:p>
      <w:pPr>
        <w:spacing w:after="0" w:line="180" w:lineRule="exact"/>
        <w:rPr>
          <w:sz w:val="20"/>
          <w:szCs w:val="20"/>
          <w:color w:val="auto"/>
        </w:rPr>
      </w:pPr>
    </w:p>
    <w:p>
      <w:pPr>
        <w:jc w:val="both"/>
        <w:ind w:right="60" w:firstLine="456"/>
        <w:spacing w:after="0" w:line="255" w:lineRule="auto"/>
        <w:rPr>
          <w:sz w:val="20"/>
          <w:szCs w:val="20"/>
          <w:color w:val="auto"/>
        </w:rPr>
      </w:pPr>
      <w:r>
        <w:rPr>
          <w:rFonts w:ascii="Times New Roman" w:cs="Times New Roman" w:eastAsia="Times New Roman" w:hAnsi="Times New Roman"/>
          <w:sz w:val="18"/>
          <w:szCs w:val="18"/>
          <w:color w:val="auto"/>
        </w:rPr>
        <w:t>At February 28, 2014, the Company determined that the fair value of its investment in the subordinated notes of Saratoga CLO was $19.6 million. The Company determines the fair value of its investment in the subordinated notes of Saratoga CLO based on the present value of the projected future cash flows of the subordinated notes over the life of Saratoga CLO. At February 28, 2014, Saratoga CLO had investments with a principal balance of $301.1 million and a weighted average spread over LIBOR of 1.8%, and had debt with a principal balance of $284.1 million with a weighted average spread over LIBOR of</w:t>
      </w:r>
    </w:p>
    <w:p>
      <w:pPr>
        <w:spacing w:after="0" w:line="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1.8%. As a result, Saratoga CLO earns a “spread” between the interest income it receives on its investments and the interest expense it pays on its debt and other operating expenses, which is distributed quarterly to the Company as the holder of its subordinated notes. At February 28, 2014, the total “spread”, or projected future cash flows of the subordinated notes, over the life of Saratoga CLO was $24.9 million, which had a present value of approximately $20.2 million, using a 9.0% discount rate.</w:t>
      </w:r>
    </w:p>
    <w:p>
      <w:pPr>
        <w:spacing w:after="0" w:line="18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separate audited financial statements of Saratoga CLO as of February 28, 2015 and 2014, pursuant to Rule 3-09 of SEC rules Regulation S-X, and for the twelve months ended February 28, 2015, 2014 and 2013, are presented on page S-1.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Company intends to operate so as to qualify to be taxed as a RIC under Subchapter M of the Code and, as such, will not be subject to federal income tax on the portion of taxable income and gains distributed to stockholders.</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Company owns 100.0% of Saratoga CLO, an exempted company incorporated in the Cayman Islands. For financial reporting purposes, the Saratoga CLO is not included as part of the consolidated financial statements. For federal income tax purposes, the Company has requested and received approval from the Internal Revenue Service to treat the Saratoga CLO as a disregarded entity. As such, for federal income tax purposes and for purposes of meeting the RIC qualification and diversification tests, the results of operations of the Saratoga CLO are included with those of the Company.</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To qualify as a RIC, the Company is required to meet certain income and asset diversification tests in addition to distributing at least 90.0% of its investment company taxable income, as defined by the Code. Because federal income tax regulations differ from U.S. GAAP,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tax character. Differences in classification may also result from the treatment of short-term gains as ordinary income for tax purposes. As of February 28, 2015 and February 28, 2014, the Company reclassified for book purposes amounts arising from permanent book/tax differences primarily related to nondeductible excise tax, meals &amp; entertainment, market discount, interest income with respect to the Saratoga CLO which is consolidated for tax purposes, and the tax character of distributions as follows (dollars in thousands):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32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5"/>
                <w:szCs w:val="15"/>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investment income/(loss)</w:t>
            </w: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realized gains (losses) on investments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income tax purposes, distributions paid to shareholders are reported as ordinary income, return of capital, long term capital gains or a combination thereof. The tax character of distributions paid for the years ended February 28, 2015 and February 28, 2014 was as follows (dollars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4360" w:type="dxa"/>
            <w:vAlign w:val="bottom"/>
            <w:gridSpan w:val="3"/>
          </w:tcPr>
          <w:p>
            <w:pPr>
              <w:ind w:left="35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270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3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3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37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F-23</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08" w:name="page109"/>
    <w:bookmarkEnd w:id="108"/>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federal income tax purposes, as of February 28, 2015, the aggregate net unrealized depreciation for all securities is $3.6 million. The aggregate cost of securities for federal income tax purposes is $522.4 million.</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For federal income tax purposes, as of February 28, 2014, the aggregate net unrealized depreciation for all securities is $0.04 million. The aggregate cost of securities for federal income tax purposes is $486.8 million.</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At February 28, 2015 and February 28, 2014, the components of accumulated losses on a tax basis as detailed below differ from the amounts reflected per the Company’s consolidated statements of assets and liabilities by temporary book/tax differences primarily arising from the consolidation of the Saratoga CLO for tax purposes, market discount and original issue discount income, interest income accrual on defaulted bonds, write-off of investments, and amortization of organizational expenditures (dollars in 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6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 October loss deferred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capital losses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(64,101)</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ordinary income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components of accumulated losses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Capital losses incurred after October 31 (“post-October losses”) within the taxable year are deemed to arise on the first business day of the Company’s next taxable year. For the year ended February 28, 2015, the Company will elect to defer $27.3 million of current year post-October losses.</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Company has incurred capital losses of $19.3, $13.0 million for the years ended February 28, 2011 and 2010. Such capital losses will be available to offset future capital gains if any and if unused, will expire on February 28, 2019, 2018.</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utilized $4.3 million of capital loss carryovers and $27.4 million of Post RIC-modernization act capital loss carryovers.</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At February 28, 2015 and February 28, 2014, the Company had a short term capital loss of $0 million and $11.2 million, respectively, and a long-term capital loss of $0 million and $16.3 million, respectively, available to offset future capital gains. Post RIC-modernization act losses are deemed to arise on the first day of the fund’s following fiscal year and there is no expiration for these losses.</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is subject to a nondeductible U.S. federal excise tax of 4% on undistributed income if it does not distribute at least 98% of its ordinary income in any calendar year and 98.2% of its capital gain net income for each one-year period ending on October 31 of such calendar year. Depending on the level of Investment Company Taxable Income (“ICTI”) earned in a tax year, the Company may choose to carry forward ICTI in excess of current year dividend distributions into the next tax year and pay a 4%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Any such carryover ICTI must be distributed before the end of that next tax year through a dividend declared prior to filing the final tax return related to the year which generated such ICTI. For the calendar year ended December 31, 2014, the Company did not distribute at least 98% of its ordinary income and 98.2% of its capital gains and subsequently paid $293,653 in federal excise taxes.</w:t>
      </w:r>
    </w:p>
    <w:p>
      <w:pPr>
        <w:spacing w:after="0" w:line="189"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Management has analyzed the Company’s tax positions taken on federal income tax returns for all open years (fiscal years 2011-2015), and has concluded that no provision for uncertain income tax positions is required in the Company’s financial statements.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December 22, 2010, the Regulated Investment Company Modernization Act of 2010 (the “Modernization Act”) was enacted, and the provisions with the Modernization Act are effective for the Company for the year ended February 29, 2012. The Modernization Act is the first major piece of legislation affecting RICs since 1986 and it modernizes several of the federal income and excise tax provisions related to RICs. Some highlights of the enacted provisions are as follows:</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New capital losses may now be carried forward indefinitely, and retain the character of the original loss. Under pre-enactment law, capital losses could be carried forward for eight years, and carried forward as short-term capital, irrespective of the character of the original loss.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00"/>
          </w:cols>
          <w:pgMar w:left="240" w:top="270" w:right="259" w:bottom="1440" w:gutter="0" w:footer="0" w:header="0"/>
        </w:sectPr>
      </w:pPr>
    </w:p>
    <w:bookmarkStart w:id="109" w:name="page110"/>
    <w:bookmarkEnd w:id="109"/>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Modernization Act contains simplification provisions, which are aimed at preventing disqualification of a RIC for “inadvertent” failures of the asset diversification and/or qualifying income tests. Additionally, the Modernization Act exempts RICs from the preferential dividend rule, and repealed the 60-day designation requirement for certain types of pay-through income and gains.</w:t>
      </w:r>
    </w:p>
    <w:p>
      <w:pPr>
        <w:spacing w:after="0" w:line="176"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Finally, the Modernization Act contains several provisions aimed at preserving the character of distributions made by a fiscal year RIC during the portion of its taxable year ending after October 31 or December 31, reducing the circumstances under which a RIC might be required to file amended Forms 1099 to restate previously reported distributions.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Agreements and-Related Party Transactions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10, 2014,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8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the following two parts: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8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8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For the years ended February 28, 2015, February 28, 2014 and February 28, 2013, we incurred $4.2 million, $3.3 million and $2.1 million in base management fees, respectively. For the years ended February 28, 2015, February 28, 2014 and February 28, 2013, we incurred $2.2 million, $1.0 million and $1.0 million in incentive fees related to pre-incentive fee net investment income. For the year ended February 28, 2015, we accrued of $0.3 million in incentive fees related to capital gains. For the year ended February 28, 2014, there was a reduction of $0.1 million in incentive fees related to capital gains. For the year ended February 28, 2013, we accrued $1.6 million in incentive management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February 28, 2015, the base management fees accrual was $1.0 million and the incentive fees accrual was $4.8 million and is included in base management and incentive fees payable in the accompanying consolidated statements of assets and liabilities. As of February 28, 2014, the base management fees accrual was $0.9 million and the incentive fees accrual was $4.5 million and is included in base management and incentive fees payable in the accompanying consolidated statements of assets and liabilities.</w:t>
      </w:r>
    </w:p>
    <w:p>
      <w:pPr>
        <w:spacing w:after="0" w:line="18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270" w:right="259" w:bottom="1440" w:gutter="0" w:footer="0" w:header="0"/>
        </w:sectPr>
      </w:pPr>
    </w:p>
    <w:bookmarkStart w:id="110" w:name="page111"/>
    <w:bookmarkEnd w:id="1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conduct our day-to-day operations and provide managerial assistance on our behalf to those portfolio companies to which we are required to provide such assistance. The initial term of the Administration Agreement is two years, with automatic, one-year renewals at the end of each year subject to certain approvals by our board of directors and/or our stockholders. The amount of expenses payable or reimbursable thereunder by the Company is capped at $1.0 million for the initial two year term of the administration agreement. On July 10, 2014, our board of directors approved the renewal of the Administration Agreement for an additional one-year term and determined to maintain the cap on the payment or reimbursement of expenses by the Company thereunder to $1.0 million for the additional one-year term.</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 years ended February 28, 2015, February 28, 2014 and February 28, 2013, we recognized $1.0 million, $1.0 million and $1.0 million, in administrator expenses for the periods, respectively, pertaining to bookkeeping, record keeping and other administrative services provided to us in addition to our allocable portion of rent and other overhead related expenses. As of February 28, 2015, $0.4 million of administrator expenses were accrued and included in due to manager in the accompanying consolidated statements of assets and liabilities. As of February 28, 2014, $0.4 million of administrator expenses were accrued and included in due to manager in the accompanying consolidated statements of assets and liabilities. For the years ended February 28, 2015, 2014 and 2013, the Company bought investments fair valued at $0.0 million, $0.3 million, and $0.0 million, respectively, from the Saratoga CLO and sold no investments to related parties.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76"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9"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described in “Note 14.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5540" w:right="3880" w:hanging="4965"/>
        <w:spacing w:after="0" w:line="454" w:lineRule="auto"/>
        <w:tabs>
          <w:tab w:leader="none" w:pos="8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borrowing capacity under the credit facility from $40.0 million to $45.0 million; F-26</w:t>
      </w:r>
    </w:p>
    <w:p>
      <w:pPr>
        <w:sectPr>
          <w:pgSz w:w="11900" w:h="16838" w:orient="portrait"/>
          <w:cols w:equalWidth="0" w:num="1">
            <w:col w:w="11400"/>
          </w:cols>
          <w:pgMar w:left="240" w:top="270" w:right="259" w:bottom="1440" w:gutter="0" w:footer="0" w:header="0"/>
        </w:sectPr>
      </w:pPr>
    </w:p>
    <w:bookmarkStart w:id="111" w:name="page112"/>
    <w:bookmarkEnd w:id="111"/>
    <w:p>
      <w:pPr>
        <w:jc w:val="both"/>
        <w:ind w:left="900" w:right="580" w:hanging="325"/>
        <w:spacing w:after="0" w:line="266"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condition that we may not acquire additional loan assets without the prior written consent of Madison Capital Funding LLC.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September 17, 2014, we entered into a second amendment to the Revolving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commitment termination date from February 24, 2015 to September 17, 2017;</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Revolving Facility from February 24, 2020 to September 17, 2022 (unless terminated sooner upon certain events);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applicable margin rate on base rate borrowings from 4.50% to 3.75%, and on LIBOR borrowings from 5.50% to 4.75%;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floor on base rate borrowings from 3.00% to 2.25%; and on LIBOR borrowings from 2.00% to 1.25%.</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February 28, 2015, there was $9.6 million outstanding under the Credit Facility and the Company was in compliance with all of the limitations and requirements of the Credit Facility. $2.7 million of financing costs related to the Credit Facility have been capitalized and are being amortized over the term of the facility. For the years ended February 28, 2015, February 28, 2014 and February 28, 2013, we recorded $0.9 million, $1.0 million and $2.0 million of interest expense, respectively. For the years ended February 28, 2015, February 28, 2014 and February 28, 2013, we recorded $0.3 million, $0.4 million and $0.4 million of amortization of deferred financing costs related to the Credit Facility and Revolving Facility, respectively. The interest rates during the years ended February 28, 2015, February 28, 2014 and February 28, 2013 on the outstanding borrowings under the Credit Facility were 6.00%, 7.50% and 7.50%, respectively.</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8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borrowing base under the Credit Facility was $36.3 million subject to the Credit Facility cap of $45.0 million at February 28, 2015. For purposes of determining the borrowing base, most assets are assigned the values set forth in our most recent Annual Report on Form 10-K or Quarterly Report on</w:t>
      </w:r>
    </w:p>
    <w:p>
      <w:pPr>
        <w:ind w:right="80"/>
        <w:spacing w:after="0" w:line="255" w:lineRule="auto"/>
        <w:rPr>
          <w:sz w:val="20"/>
          <w:szCs w:val="20"/>
          <w:color w:val="auto"/>
        </w:rPr>
      </w:pPr>
      <w:r>
        <w:rPr>
          <w:rFonts w:ascii="Times New Roman" w:cs="Times New Roman" w:eastAsia="Times New Roman" w:hAnsi="Times New Roman"/>
          <w:sz w:val="18"/>
          <w:szCs w:val="18"/>
          <w:color w:val="auto"/>
        </w:rPr>
        <w:t>Form 10-Q filed with the SEC. Accordingly, the February 28, 2015 borrowing base relies upon the valuations set forth in the Quarterly Report on Form 10-Q for the quarter ended November 30, 2014. The valuations presented in this Annual Report on Form 10-K will not be incorporated into the borrowing base until after this Annual Report on Form 10-K is filed with the SEC.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SBA Debentures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February 28, 2015, we have funded SBIC LP with $59.3 million of equity capital, and have $79.0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270" w:right="239" w:bottom="1440" w:gutter="0" w:footer="0" w:header="0"/>
        </w:sectPr>
      </w:pPr>
    </w:p>
    <w:bookmarkStart w:id="112" w:name="page113"/>
    <w:bookmarkEnd w:id="112"/>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As of February 28, 2015 and February 28, 2014, there was $79.0 million and $50.0 million outstanding of SBA debentures, respectively. The carrying amount of the amount outstanding of SBA debentures approximates its fair value. $3.0 million of financing costs related to the SBA debentures have been capitalized and are being amortized over the term of the commitment and drawdown. For the years ended February 28, 2015 and February 28, 2014, we recorded $2.0 million and $1.3 million of interest expense related to the SBA debentures, respectively. For the years ended February 28, 2015 and February 28, 2014, we recorded $0.3 million and $0.2 million of amortization of deferred financing costs related to the SBA debentures, respectively. The weighted average interest rate during the years ended February 28, 2015 and February 28, 2014 on the outstanding borrowings of the SBA debentures was 2.93% and 3.03%,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On May 17, 2013, the Company closed an additional $6.3 million in aggregate principal amount of the Notes, pursuant to the full exercise of the underwriters’ option to purchase additional Notes.</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of February 28, 2015, the carrying amount and fair value of the Notes was $48.3 million and $49.8 million, respectively. The fair value of the Notes, which are publicly traded, is based upon closing market quotes as of the measurement date and would be classified as a level 1 liability within the fair value hierarchy. As of February 28, 2015, $2.5 million of financing costs related to the Notes have been capitalized and are being amortized over the term of the Notes. For the year ended February 28, 2015, we recorded $3.6 million of interest expense and $0.3 million of amortization of deferred financing costs related to the Notes.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payment obligations for repayment of debt and other contractual obligations at February 28,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1 - 3</w:t>
            </w:r>
          </w:p>
        </w:tc>
        <w:tc>
          <w:tcPr>
            <w:tcW w:w="400" w:type="dxa"/>
            <w:vAlign w:val="bottom"/>
          </w:tcPr>
          <w:p>
            <w:pPr>
              <w:spacing w:after="0"/>
              <w:rPr>
                <w:sz w:val="10"/>
                <w:szCs w:val="10"/>
                <w:color w:val="auto"/>
              </w:rPr>
            </w:pPr>
          </w:p>
        </w:tc>
        <w:tc>
          <w:tcPr>
            <w:tcW w:w="3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3 - 5</w:t>
            </w:r>
          </w:p>
        </w:tc>
        <w:tc>
          <w:tcPr>
            <w:tcW w:w="38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43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136,900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$ 136,900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430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F-28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Off-balance sheet arrangements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off-balance sheet arrangements consisted of $11.2 million and $12.2 million of unfunded commitments to provide debt financing to its portfolio companies or to fund limited partnership interests as of February 28, 2015 and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composition of the unfunded commitments as of February 28, 2015 and 2014 is shown in the table below (dollars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440" w:type="dxa"/>
            <w:vAlign w:val="bottom"/>
            <w:gridSpan w:val="3"/>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00" w:type="dxa"/>
            <w:vAlign w:val="bottom"/>
          </w:tcPr>
          <w:p>
            <w:pPr>
              <w:spacing w:after="0"/>
              <w:rPr>
                <w:sz w:val="10"/>
                <w:szCs w:val="10"/>
                <w:color w:val="auto"/>
              </w:rPr>
            </w:pPr>
          </w:p>
        </w:tc>
      </w:tr>
      <w:tr>
        <w:trPr>
          <w:trHeight w:val="173"/>
        </w:trPr>
        <w:tc>
          <w:tcPr>
            <w:tcW w:w="6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Bristol Hospice,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HMN Holdco,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Knowland Technology Holdings,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Easy 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Oceans Acquisition,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Investors, Inc.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Directors Fees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years ended February 28, 2015, February 28, 2014, and February 28, 2013, we accrued $0.2 million, $0.2 million, and $0.2 million for directors’ fees expense, respectively. As of February 28, 2015 and February 28, 2014, $0.02 million and $0.05 million in directors’ fees expense were unpaid and included in accounts payable and accrued expenses in the consolidated statements of assets and liabilities. As of February 28, 2015, we had not issued any common stock to our directors as compensation for their services.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21"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On May 16, 2006, GSC Group, Inc. capitalized the LLC, by contributing $1,000 in exchange for 67 shares, constituting all of the issued and outstanding shares of the LLC.</w:t>
      </w:r>
    </w:p>
    <w:p>
      <w:pPr>
        <w:spacing w:after="0" w:line="162"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60"/>
          </w:cols>
          <w:pgMar w:left="240" w:top="266" w:right="299" w:bottom="1440" w:gutter="0" w:footer="0" w:header="0"/>
        </w:sectPr>
      </w:pPr>
    </w:p>
    <w:bookmarkStart w:id="114" w:name="page115"/>
    <w:bookmarkEnd w:id="114"/>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July 30, 2010, our Manager and its affiliates purchased 986,842 shares of common stock at $15.20 per share. Total proceeds received from this sale were $15.0 million. See “Note 14. Recapitalization Transaction.”</w:t>
      </w:r>
    </w:p>
    <w:p>
      <w:pPr>
        <w:spacing w:after="0" w:line="162"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0"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million in cash and 596,235 shares of common stock.</w:t>
      </w:r>
    </w:p>
    <w:p>
      <w:pPr>
        <w:spacing w:after="0" w:line="207"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in cash and 599,584 shares of common stock.</w:t>
      </w:r>
    </w:p>
    <w:p>
      <w:pPr>
        <w:spacing w:after="0" w:line="207"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2014, the Company declared a dividend of $0.22 per share payable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76"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February 28, 2015, the Company had not purchased any shares of common stock pursuant to this repurchase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the weighted average basic and diluted net decrease in net assets per share from operations for the years ended February 28, 2015, February 28, 2014, and February 28, 2013 (dollars in thousands except share and per share amounts):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2900" w:type="dxa"/>
            <w:vAlign w:val="bottom"/>
            <w:vMerge w:val="restart"/>
          </w:tcPr>
          <w:p>
            <w:pPr>
              <w:spacing w:after="0"/>
              <w:rPr>
                <w:sz w:val="13"/>
                <w:szCs w:val="13"/>
                <w:color w:val="auto"/>
              </w:rPr>
            </w:pPr>
          </w:p>
        </w:tc>
        <w:tc>
          <w:tcPr>
            <w:tcW w:w="176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32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4"/>
              <w:spacing w:after="0" w:line="160" w:lineRule="exact"/>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11,007</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8,497</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5,385,049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7"/>
              </w:rPr>
              <w:t>4,920,517</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4"/>
              </w:rPr>
              <w:t>4,110,484</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F-30</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12. Dividend</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24, 2014, the Company declared a dividend of $0.22 per share payable on February 27, 2015. Shareholders have the option to receive payment of the dividend in cash, or receive shares of common stock pursuant to the Company’s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88" w:lineRule="exact"/>
        <w:rPr>
          <w:sz w:val="20"/>
          <w:szCs w:val="20"/>
          <w:color w:val="auto"/>
        </w:rPr>
      </w:pPr>
    </w:p>
    <w:p>
      <w:pPr>
        <w:jc w:val="both"/>
        <w:ind w:right="320" w:firstLine="456"/>
        <w:spacing w:after="0" w:line="289" w:lineRule="auto"/>
        <w:rPr>
          <w:sz w:val="20"/>
          <w:szCs w:val="20"/>
          <w:color w:val="auto"/>
        </w:rPr>
      </w:pPr>
      <w:r>
        <w:rPr>
          <w:rFonts w:ascii="Times New Roman" w:cs="Times New Roman" w:eastAsia="Times New Roman" w:hAnsi="Times New Roman"/>
          <w:sz w:val="17"/>
          <w:szCs w:val="17"/>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13, and 16, 2013.</w:t>
      </w:r>
    </w:p>
    <w:p>
      <w:pPr>
        <w:spacing w:after="0" w:line="15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$13.1171 per share, which equaled the volume weighted average trading price per share of the common stock on December 20, 21 and 22, 2011.</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On November 12, 2010, we declared a dividend of $4.40 per share payable on December 23, 2010. Shareholders had the option to receive payment of the dividend in cash, shares of common stock, or a combination of cash and shares of common stock, provided that the aggregate cash payable to all shareholders was limited to approximately $1.2 million or $0.44 per share.</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Based on shareholder elections, the dividend consisted of approximately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 The financial statements for the period ended November 30, 2010 have been retroactively adjusted to reflect the increase in common stock as a result of the dividend in accordance with the provisions of ASC 505-20-S50 regarding disclosure of a capital structure change after the interim balance sheet but before the release of the financial statements.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266" w:right="239" w:bottom="1440" w:gutter="0" w:footer="0" w:header="0"/>
        </w:sectPr>
      </w:pPr>
    </w:p>
    <w:bookmarkStart w:id="116" w:name="page117"/>
    <w:bookmarkEnd w:id="116"/>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tables summarize dividends declared during the years ended February 28, 2015, February 28, 2014, February 28, 2013, February 29, 2012 and February 28, 2011 (dollars in thousands except per share amounts):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4160" w:type="dxa"/>
            <w:vAlign w:val="bottom"/>
            <w:vMerge w:val="restart"/>
          </w:tcPr>
          <w:p>
            <w:pPr>
              <w:spacing w:after="0"/>
              <w:rPr>
                <w:sz w:val="13"/>
                <w:szCs w:val="13"/>
                <w:color w:val="auto"/>
              </w:rPr>
            </w:pPr>
          </w:p>
        </w:tc>
        <w:tc>
          <w:tcPr>
            <w:tcW w:w="1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6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24, 2014</w:t>
            </w:r>
          </w:p>
        </w:tc>
        <w:tc>
          <w:tcPr>
            <w:tcW w:w="1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30, 2014</w:t>
            </w:r>
          </w:p>
        </w:tc>
        <w:tc>
          <w:tcPr>
            <w:tcW w:w="4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28, 2014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88"/>
              </w:rPr>
              <w:t>0.18</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24, 2014</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29, 2015</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2015</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1,189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dividends declared</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2,157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0" w:type="dxa"/>
            <w:vAlign w:val="bottom"/>
          </w:tcPr>
          <w:p>
            <w:pPr>
              <w:spacing w:after="0"/>
              <w:rPr>
                <w:sz w:val="13"/>
                <w:szCs w:val="13"/>
                <w:color w:val="auto"/>
              </w:rPr>
            </w:pPr>
          </w:p>
        </w:tc>
        <w:tc>
          <w:tcPr>
            <w:tcW w:w="14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0"/>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6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30, 2013</w:t>
            </w:r>
          </w:p>
        </w:tc>
        <w:tc>
          <w:tcPr>
            <w:tcW w:w="15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13, 2013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27, 2013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12,535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dividends declared</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0" w:type="dxa"/>
            <w:vAlign w:val="bottom"/>
          </w:tcPr>
          <w:p>
            <w:pPr>
              <w:spacing w:after="0"/>
              <w:rPr>
                <w:sz w:val="24"/>
                <w:szCs w:val="24"/>
                <w:color w:val="auto"/>
              </w:rPr>
            </w:pPr>
          </w:p>
        </w:tc>
        <w:tc>
          <w:tcPr>
            <w:tcW w:w="14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0"/>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6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9, 2012</w:t>
            </w:r>
          </w:p>
        </w:tc>
        <w:tc>
          <w:tcPr>
            <w:tcW w:w="15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20, 2012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31, 2012</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16,476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dividends declared</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0" w:type="dxa"/>
            <w:vAlign w:val="bottom"/>
          </w:tcPr>
          <w:p>
            <w:pPr>
              <w:spacing w:after="0"/>
              <w:rPr>
                <w:sz w:val="24"/>
                <w:szCs w:val="24"/>
                <w:color w:val="auto"/>
              </w:rPr>
            </w:pPr>
          </w:p>
        </w:tc>
        <w:tc>
          <w:tcPr>
            <w:tcW w:w="14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0"/>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15, 2011</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25, 2011</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December 30, 2011</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dividends declared</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vMerge w:val="restart"/>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80" w:type="dxa"/>
            <w:vAlign w:val="bottom"/>
          </w:tcPr>
          <w:p>
            <w:pPr>
              <w:spacing w:after="0"/>
              <w:rPr>
                <w:sz w:val="24"/>
                <w:szCs w:val="24"/>
                <w:color w:val="auto"/>
              </w:rPr>
            </w:pPr>
          </w:p>
        </w:tc>
        <w:tc>
          <w:tcPr>
            <w:tcW w:w="146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0"/>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6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12, 2010</w:t>
            </w:r>
          </w:p>
        </w:tc>
        <w:tc>
          <w:tcPr>
            <w:tcW w:w="15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19, 2010</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29, 2010</w:t>
            </w:r>
          </w:p>
        </w:tc>
        <w:tc>
          <w:tcPr>
            <w:tcW w:w="420" w:type="dxa"/>
            <w:vAlign w:val="bottom"/>
            <w:tcBorders>
              <w:top w:val="single" w:sz="8" w:color="CCEEFF"/>
            </w:tcBorders>
            <w:gridSpan w:val="3"/>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11,796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dividends declared</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540" w:right="3420" w:hanging="5532"/>
        <w:spacing w:after="0" w:line="454" w:lineRule="auto"/>
        <w:tabs>
          <w:tab w:leader="none" w:pos="4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per share is calculated based on the number of shares outstanding at the date of declaration. F-32</w:t>
      </w:r>
    </w:p>
    <w:p>
      <w:pPr>
        <w:sectPr>
          <w:pgSz w:w="11900" w:h="16838" w:orient="portrait"/>
          <w:cols w:equalWidth="0" w:num="1">
            <w:col w:w="11080"/>
          </w:cols>
          <w:pgMar w:left="240" w:top="270" w:right="5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13. Financial Highlights –</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schedule of financial highlights for the years ended February 28, 2015, February 28, 2014, February 28, 2013, February 29, 2012, and February 28,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00" w:type="dxa"/>
            <w:vAlign w:val="bottom"/>
          </w:tcPr>
          <w:p>
            <w:pPr>
              <w:spacing w:after="0"/>
              <w:rPr>
                <w:sz w:val="13"/>
                <w:szCs w:val="13"/>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60" w:type="dxa"/>
            <w:vAlign w:val="bottom"/>
          </w:tcPr>
          <w:p>
            <w:pPr>
              <w:spacing w:after="0"/>
              <w:rPr>
                <w:sz w:val="13"/>
                <w:szCs w:val="13"/>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data: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realized and unrealized gains and losses 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and derivatives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net assets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from net investment income</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 from net realized capital gains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distributions to stockholders</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21. 08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122,598,742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113,427,929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107,437,874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96,689,122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85,844,605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5,401,899</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5,379,616</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4,730,116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3,876,661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market value(2)</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net asset value(3)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Ratio/Supplemental data: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Ratio of operating expenses to average net assets(4)</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incentive management fees to average net assets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credit facility related expenses to average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total expenses to average net assets(4)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rate(6)</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and notes thereto, we identified errors that impacted the years ended February 28, 2014, February 28, 2013, February 29, 2012 and February 28, 2011. The corrections for the errors, which we have concluded are immaterial to all prior period consolidated financial statements, are reflected in the consolidated financial statements and selected financial data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460" w:right="460" w:hanging="452"/>
        <w:spacing w:after="0" w:line="282"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per share is calculated using the weighted average shares outstanding during the period. Net investment income excluding expense waiver and reimbursement equals $2.05 per share for the year ended February 28, 2011.</w:t>
      </w:r>
    </w:p>
    <w:p>
      <w:pPr>
        <w:spacing w:after="0" w:line="67"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20"/>
          </w:cols>
          <w:pgMar w:left="240" w:top="266" w:right="239" w:bottom="1440" w:gutter="0" w:footer="0" w:header="0"/>
        </w:sectPr>
      </w:pPr>
    </w:p>
    <w:bookmarkStart w:id="118" w:name="page119"/>
    <w:bookmarkEnd w:id="118"/>
    <w:p>
      <w:pPr>
        <w:jc w:val="both"/>
        <w:ind w:left="460" w:right="80" w:hanging="452"/>
        <w:spacing w:after="0" w:line="266"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81" w:lineRule="exact"/>
        <w:rPr>
          <w:rFonts w:ascii="Times New Roman" w:cs="Times New Roman" w:eastAsia="Times New Roman" w:hAnsi="Times New Roman"/>
          <w:sz w:val="18"/>
          <w:szCs w:val="18"/>
          <w:color w:val="auto"/>
        </w:rPr>
      </w:pPr>
    </w:p>
    <w:p>
      <w:pPr>
        <w:ind w:left="460" w:right="500" w:hanging="452"/>
        <w:spacing w:after="0" w:line="282"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February 28, 2011, net of the expense waiver and reimbursement arrangement, the ratio of net investment income, operating expenses, total expenses to average net assets is 6.24%, 12.36%, and 12.33%, respectively.</w:t>
      </w:r>
    </w:p>
    <w:p>
      <w:pPr>
        <w:spacing w:after="0" w:line="67" w:lineRule="exact"/>
        <w:rPr>
          <w:rFonts w:ascii="Times New Roman" w:cs="Times New Roman" w:eastAsia="Times New Roman" w:hAnsi="Times New Roman"/>
          <w:sz w:val="18"/>
          <w:szCs w:val="18"/>
          <w:color w:val="auto"/>
        </w:rPr>
      </w:pPr>
    </w:p>
    <w:p>
      <w:pPr>
        <w:ind w:left="460" w:right="340" w:hanging="452"/>
        <w:spacing w:after="0" w:line="282"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dilutive effect of issuing common stock below net asset value per share during the period in connection with the satisfaction of the Company’s annual RIC distribution requirement. See Note 12, Dividend.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Portfolio turnover rate is calculated using the lesser of year-to-date sales or year-to-date purchases over the average of the invested assets at fair value.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Selected Quarterly Data (Unaudited)</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numbers)</w:t>
            </w:r>
          </w:p>
        </w:tc>
        <w:tc>
          <w:tcPr>
            <w:tcW w:w="3820" w:type="dxa"/>
            <w:vAlign w:val="bottom"/>
            <w:vMerge w:val="restart"/>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right"/>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Qtr 4</w:t>
            </w:r>
          </w:p>
        </w:tc>
        <w:tc>
          <w:tcPr>
            <w:tcW w:w="52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Qtr 3</w:t>
            </w:r>
          </w:p>
        </w:tc>
        <w:tc>
          <w:tcPr>
            <w:tcW w:w="360" w:type="dxa"/>
            <w:vAlign w:val="bottom"/>
          </w:tcPr>
          <w:p>
            <w:pPr>
              <w:spacing w:after="0"/>
              <w:rPr>
                <w:sz w:val="12"/>
                <w:szCs w:val="12"/>
                <w:color w:val="auto"/>
              </w:rPr>
            </w:pPr>
          </w:p>
        </w:tc>
        <w:tc>
          <w:tcPr>
            <w:tcW w:w="700" w:type="dxa"/>
            <w:vAlign w:val="bottom"/>
            <w:gridSpan w:val="3"/>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Qtr 2</w:t>
            </w:r>
          </w:p>
        </w:tc>
        <w:tc>
          <w:tcPr>
            <w:tcW w:w="200" w:type="dxa"/>
            <w:vAlign w:val="bottom"/>
          </w:tcPr>
          <w:p>
            <w:pPr>
              <w:spacing w:after="0"/>
              <w:rPr>
                <w:sz w:val="12"/>
                <w:szCs w:val="12"/>
                <w:color w:val="auto"/>
              </w:rPr>
            </w:pPr>
          </w:p>
        </w:tc>
        <w:tc>
          <w:tcPr>
            <w:tcW w:w="500" w:type="dxa"/>
            <w:vAlign w:val="bottom"/>
            <w:gridSpan w:val="2"/>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Qtr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and related portfolio income</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7,451</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7,305</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6,475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6,144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3"/>
              </w:rPr>
              <w:t>2,889</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2,629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2,093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2,063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1,064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3"/>
              </w:rPr>
              <w:t>2,705</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3,385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3,157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1,760</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common share at end of each quarter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 (loss) per common share at end of each quarter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tcPr>
          <w:p>
            <w:pPr>
              <w:spacing w:after="0"/>
              <w:rPr>
                <w:sz w:val="20"/>
                <w:szCs w:val="20"/>
                <w:color w:val="auto"/>
              </w:rPr>
            </w:pP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$22.45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Pr>
          <w:p>
            <w:pPr>
              <w:spacing w:after="0"/>
              <w:rPr>
                <w:sz w:val="20"/>
                <w:szCs w:val="20"/>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6"/>
              </w:rPr>
              <w:t>$21.41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numbers)</w:t>
            </w:r>
          </w:p>
        </w:tc>
        <w:tc>
          <w:tcPr>
            <w:tcW w:w="416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540" w:type="dxa"/>
            <w:vAlign w:val="bottom"/>
            <w:gridSpan w:val="4"/>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Qtr 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tcPr>
          <w:p>
            <w:pPr>
              <w:jc w:val="right"/>
              <w:ind w:right="6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Qtr 3</w:t>
            </w:r>
          </w:p>
        </w:tc>
        <w:tc>
          <w:tcPr>
            <w:tcW w:w="80" w:type="dxa"/>
            <w:vAlign w:val="bottom"/>
          </w:tcPr>
          <w:p>
            <w:pPr>
              <w:spacing w:after="0"/>
              <w:rPr>
                <w:sz w:val="12"/>
                <w:szCs w:val="12"/>
                <w:color w:val="auto"/>
              </w:rPr>
            </w:pPr>
          </w:p>
        </w:tc>
        <w:tc>
          <w:tcPr>
            <w:tcW w:w="780" w:type="dxa"/>
            <w:vAlign w:val="bottom"/>
            <w:gridSpan w:val="5"/>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Qtr 2</w:t>
            </w:r>
          </w:p>
        </w:tc>
        <w:tc>
          <w:tcPr>
            <w:tcW w:w="180" w:type="dxa"/>
            <w:vAlign w:val="bottom"/>
          </w:tcPr>
          <w:p>
            <w:pPr>
              <w:spacing w:after="0"/>
              <w:rPr>
                <w:sz w:val="12"/>
                <w:szCs w:val="12"/>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Qtr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and related portfolio income</w:t>
            </w:r>
          </w:p>
        </w:tc>
        <w:tc>
          <w:tcPr>
            <w:tcW w:w="50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6"/>
              </w:rPr>
              <w:t>$5,687</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$ 5,801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$ 5,388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6,018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3"/>
              </w:rPr>
              <w:t>1,525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2,407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2,313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2,236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(1,630)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(2,313)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1,330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3"/>
              </w:rPr>
              <w:t>3,761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3,644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common share at end of each quarter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 (loss) per common share at end of each quarter</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6"/>
              </w:rPr>
              <w:t>$21.08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w w:val="99"/>
              </w:rPr>
              <w:t>$ 20.39</w:t>
            </w:r>
          </w:p>
        </w:tc>
        <w:tc>
          <w:tcPr>
            <w:tcW w:w="220" w:type="dxa"/>
            <w:vAlign w:val="bottom"/>
          </w:tcPr>
          <w:p>
            <w:pPr>
              <w:spacing w:after="0"/>
              <w:rPr>
                <w:sz w:val="20"/>
                <w:szCs w:val="20"/>
                <w:color w:val="auto"/>
              </w:rPr>
            </w:pPr>
          </w:p>
        </w:tc>
        <w:tc>
          <w:tcPr>
            <w:tcW w:w="6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$ 23.55</w:t>
            </w:r>
          </w:p>
        </w:tc>
        <w:tc>
          <w:tcPr>
            <w:tcW w:w="2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23.48</w:t>
            </w:r>
          </w:p>
        </w:tc>
        <w:tc>
          <w:tcPr>
            <w:tcW w:w="0" w:type="dxa"/>
            <w:vAlign w:val="bottom"/>
          </w:tcPr>
          <w:p>
            <w:pPr>
              <w:spacing w:after="0"/>
              <w:rPr>
                <w:sz w:val="1"/>
                <w:szCs w:val="1"/>
                <w:color w:val="auto"/>
              </w:rPr>
            </w:pPr>
          </w:p>
        </w:tc>
      </w:tr>
      <w:tr>
        <w:trPr>
          <w:trHeight w:val="373"/>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 except per share numbers)</w:t>
            </w:r>
          </w:p>
        </w:tc>
        <w:tc>
          <w:tcPr>
            <w:tcW w:w="41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tcPr>
          <w:p>
            <w:pPr>
              <w:jc w:val="right"/>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Qtr 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Qtr 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Qtr 2</w:t>
            </w:r>
          </w:p>
        </w:tc>
        <w:tc>
          <w:tcPr>
            <w:tcW w:w="180" w:type="dxa"/>
            <w:vAlign w:val="bottom"/>
          </w:tcPr>
          <w:p>
            <w:pPr>
              <w:spacing w:after="0"/>
              <w:rPr>
                <w:sz w:val="12"/>
                <w:szCs w:val="12"/>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Qtr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and related portfolio income</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$5,191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$ 4,034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$4,163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3,619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1,169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(1,744)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1,918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4,735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3,087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common share at end of each quarter</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 (loss) per common share at end of each quarter</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100" w:type="dxa"/>
            <w:vAlign w:val="bottom"/>
          </w:tcPr>
          <w:p>
            <w:pPr>
              <w:spacing w:after="0"/>
              <w:rPr>
                <w:sz w:val="20"/>
                <w:szCs w:val="20"/>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20"/>
                <w:szCs w:val="20"/>
                <w:color w:val="auto"/>
              </w:rPr>
            </w:pPr>
          </w:p>
        </w:tc>
        <w:tc>
          <w:tcPr>
            <w:tcW w:w="9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$ 21.52</w:t>
            </w:r>
          </w:p>
        </w:tc>
        <w:tc>
          <w:tcPr>
            <w:tcW w:w="80" w:type="dxa"/>
            <w:vAlign w:val="bottom"/>
          </w:tcPr>
          <w:p>
            <w:pPr>
              <w:spacing w:after="0"/>
              <w:rPr>
                <w:sz w:val="20"/>
                <w:szCs w:val="20"/>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2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25.74</w:t>
            </w:r>
          </w:p>
        </w:tc>
        <w:tc>
          <w:tcPr>
            <w:tcW w:w="0" w:type="dxa"/>
            <w:vAlign w:val="bottom"/>
          </w:tcPr>
          <w:p>
            <w:pPr>
              <w:spacing w:after="0"/>
              <w:rPr>
                <w:sz w:val="1"/>
                <w:szCs w:val="1"/>
                <w:color w:val="auto"/>
              </w:rPr>
            </w:pPr>
          </w:p>
        </w:tc>
      </w:tr>
      <w:tr>
        <w:trPr>
          <w:trHeight w:val="346"/>
        </w:trPr>
        <w:tc>
          <w:tcPr>
            <w:tcW w:w="2660" w:type="dxa"/>
            <w:vAlign w:val="bottom"/>
          </w:tcPr>
          <w:p>
            <w:pPr>
              <w:spacing w:after="0"/>
              <w:rPr>
                <w:sz w:val="24"/>
                <w:szCs w:val="24"/>
                <w:color w:val="auto"/>
              </w:rPr>
            </w:pPr>
          </w:p>
        </w:tc>
        <w:tc>
          <w:tcPr>
            <w:tcW w:w="41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F-34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270" w:right="379" w:bottom="1440" w:gutter="0" w:footer="0" w:header="0"/>
        </w:sectPr>
      </w:pPr>
    </w:p>
    <w:bookmarkStart w:id="119" w:name="page120"/>
    <w:bookmarkEnd w:id="119"/>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described in Note 2 to the consolidated financial statements and notes thereto, we identified errors that impacted the years ended February 28, 2014, February 28, 2013, February 29, 2012 and February 28, 2011. The corrections for the errors, which we have concluded are immaterial to all prior period consolidated financial statements, are reflected in the consolidated financial statements and selected financial data included in this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On May 14, 2015, the Company announced that its Board of Directors has declared a special dividend to shareholders of $1.00 per share, payable on June 5, 2015 to all stockholders of record at the close of business on May 26, 2015. Shareholders will have the option to receive payment of the dividend in cash, or receive shares of common stock pursuant to the Company’s DRIP.</w:t>
      </w:r>
    </w:p>
    <w:p>
      <w:pPr>
        <w:spacing w:after="0" w:line="176"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On April 9, 2015, the Company declared a dividend of $0.27 per share payable for the fiscal quarter ended February 28, 2015, payable on May 29, 2015 to all stockholders of record at the close of business on May 4, 2015. Shareholders will have the option to receive payment of the dividend in cash, or receive shares of common stock pursuant to the Company’s dividend reinvestment plan.</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270"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560" w:type="dxa"/>
            <w:vAlign w:val="bottom"/>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INDEX TO OTHER FINANCIAL STATEMENTS</w:t>
            </w:r>
          </w:p>
        </w:tc>
        <w:tc>
          <w:tcPr>
            <w:tcW w:w="1560" w:type="dxa"/>
            <w:vAlign w:val="bottom"/>
          </w:tcPr>
          <w:p>
            <w:pPr>
              <w:spacing w:after="0"/>
              <w:rPr>
                <w:sz w:val="20"/>
                <w:szCs w:val="20"/>
                <w:color w:val="auto"/>
              </w:rPr>
            </w:pPr>
          </w:p>
        </w:tc>
      </w:tr>
      <w:tr>
        <w:trPr>
          <w:trHeight w:val="432"/>
        </w:trPr>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Saratoga Investment Corp. CLO 2013-1, Ltd.</w:t>
            </w:r>
          </w:p>
        </w:tc>
        <w:tc>
          <w:tcPr>
            <w:tcW w:w="1560" w:type="dxa"/>
            <w:vAlign w:val="bottom"/>
          </w:tcPr>
          <w:p>
            <w:pPr>
              <w:spacing w:after="0"/>
              <w:rPr>
                <w:sz w:val="24"/>
                <w:szCs w:val="24"/>
                <w:color w:val="auto"/>
              </w:rPr>
            </w:pPr>
          </w:p>
        </w:tc>
      </w:tr>
      <w:tr>
        <w:trPr>
          <w:trHeight w:val="419"/>
        </w:trPr>
        <w:tc>
          <w:tcPr>
            <w:tcW w:w="9860" w:type="dxa"/>
            <w:vAlign w:val="bottom"/>
            <w:gridSpan w:val="7"/>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Report of Independent Auditors</w:t>
              </w:r>
            </w:hyperlink>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5"/>
              </w:rPr>
              <w:t>S-2</w:t>
            </w:r>
          </w:p>
        </w:tc>
      </w:tr>
      <w:tr>
        <w:trPr>
          <w:trHeight w:val="20"/>
        </w:trPr>
        <w:tc>
          <w:tcPr>
            <w:tcW w:w="2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Statements of Assets and Liabilities as of February 28, 2015 and 2014</w:t>
              </w:r>
            </w:hyperlink>
          </w:p>
        </w:tc>
        <w:tc>
          <w:tcPr>
            <w:tcW w:w="4800" w:type="dxa"/>
            <w:vAlign w:val="bottom"/>
            <w:gridSpan w:val="3"/>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S-3</w:t>
            </w:r>
          </w:p>
        </w:tc>
      </w:tr>
      <w:tr>
        <w:trPr>
          <w:trHeight w:val="196"/>
        </w:trPr>
        <w:tc>
          <w:tcPr>
            <w:tcW w:w="7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Statements of Operations for the years ended February 28, 2015, February 28, 2014, and February 28, 2013</w:t>
              </w:r>
            </w:hyperlink>
          </w:p>
        </w:tc>
        <w:tc>
          <w:tcPr>
            <w:tcW w:w="2100" w:type="dxa"/>
            <w:vAlign w:val="bottom"/>
            <w:gridSpan w:val="2"/>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S-4</w:t>
            </w:r>
          </w:p>
        </w:tc>
      </w:tr>
      <w:tr>
        <w:trPr>
          <w:trHeight w:val="196"/>
        </w:trPr>
        <w:tc>
          <w:tcPr>
            <w:tcW w:w="4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Schedules of Investments as of February 28, 2015 and 2014</w:t>
              </w:r>
            </w:hyperlink>
          </w:p>
        </w:tc>
        <w:tc>
          <w:tcPr>
            <w:tcW w:w="5540" w:type="dxa"/>
            <w:vAlign w:val="bottom"/>
            <w:gridSpan w:val="4"/>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S-5</w:t>
            </w:r>
          </w:p>
        </w:tc>
      </w:tr>
      <w:tr>
        <w:trPr>
          <w:trHeight w:val="196"/>
        </w:trPr>
        <w:tc>
          <w:tcPr>
            <w:tcW w:w="9860" w:type="dxa"/>
            <w:vAlign w:val="bottom"/>
            <w:gridSpan w:val="7"/>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Statements of Changes in Net Assets for the years ended February 28, 2015, February 28, 2014 and February 28, 2013</w:t>
              </w:r>
            </w:hyperlink>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S-7</w:t>
            </w:r>
          </w:p>
        </w:tc>
      </w:tr>
      <w:tr>
        <w:trPr>
          <w:trHeight w:val="196"/>
        </w:trPr>
        <w:tc>
          <w:tcPr>
            <w:tcW w:w="85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Statements of Cash Flows for the years ended February 28, 2015, February 28, 2014 and February 28, 2013</w:t>
              </w:r>
            </w:hyperlink>
          </w:p>
        </w:tc>
        <w:tc>
          <w:tcPr>
            <w:tcW w:w="1320" w:type="dxa"/>
            <w:vAlign w:val="bottom"/>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S-8</w:t>
            </w:r>
          </w:p>
        </w:tc>
      </w:tr>
      <w:tr>
        <w:trPr>
          <w:trHeight w:val="196"/>
        </w:trPr>
        <w:tc>
          <w:tcPr>
            <w:tcW w:w="77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Notes to Financial Statements</w:t>
              </w:r>
            </w:hyperlink>
          </w:p>
        </w:tc>
        <w:tc>
          <w:tcPr>
            <w:tcW w:w="2100" w:type="dxa"/>
            <w:vAlign w:val="bottom"/>
            <w:gridSpan w:val="2"/>
          </w:tcPr>
          <w:p>
            <w:pPr>
              <w:spacing w:after="0"/>
              <w:rPr>
                <w:sz w:val="17"/>
                <w:szCs w:val="17"/>
                <w:color w:val="auto"/>
              </w:rPr>
            </w:pPr>
          </w:p>
        </w:tc>
        <w:tc>
          <w:tcPr>
            <w:tcW w:w="1560" w:type="dxa"/>
            <w:vAlign w:val="bottom"/>
          </w:tcPr>
          <w:p>
            <w:pPr>
              <w:ind w:left="1300"/>
              <w:spacing w:after="0" w:line="19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NOTE</w:t>
      </w:r>
    </w:p>
    <w:p>
      <w:pPr>
        <w:spacing w:after="0" w:line="22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certain SEC rules, Saratoga Investment Corp. (the “Company”) is providing additional information regarding one of its portfolio companies, Saratoga Investment Corp. CLO 2013-1, Ltd. (“Saratoga CLO”). The Company owns 100% of the subordinated notes of the Saratoga CLO. The additional financial information regarding the Saratoga CLO does not directly impact the Company’s financial position, results of operations or cash flows.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266" w:right="2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Manager and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Investment Corp. CLO 2013-1, Ltd.</w:t>
      </w:r>
    </w:p>
    <w:p>
      <w:pPr>
        <w:spacing w:after="0" w:line="207"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financial statements of Saratoga Investment Corp. CLO 2013-1, Ltd., which comprise the statements of assets and liabilities, as of February 28, 2015 and February 28, 2014, including the schedules of investments, and the statements of operations, changes in net assets and cash flows for the years ended February 28, 2015, February 28, 2014 and February 28, 2013, and the related notes to the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the Financial Statements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Responsibility</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Saratoga Investment Corp. CLO 2013-1, Ltd. at February 28, 2015 and February 28, 2014, and the results of its operations, changes in its net assets and its cash flows for the years ended February 28, 2015, February 28, 2014 and February 28, 2013,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2015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266" w:right="2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As of</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8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368"/>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80" w:type="dxa"/>
            <w:vAlign w:val="bottom"/>
          </w:tcPr>
          <w:p>
            <w:pPr>
              <w:spacing w:after="0"/>
              <w:rPr>
                <w:sz w:val="10"/>
                <w:szCs w:val="10"/>
                <w:color w:val="auto"/>
              </w:rPr>
            </w:pPr>
          </w:p>
        </w:tc>
        <w:tc>
          <w:tcPr>
            <w:tcW w:w="920" w:type="dxa"/>
            <w:vAlign w:val="bottom"/>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loans (amortized cost of $295,193,588 and $299,137,566, respectively)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294,621,817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300,491,077</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other/structured finance securities (amortized cost of $2,566,752 and $0, respectively)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617,451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 at fair value (amortized cost of $297,760,340 and $299,137,566,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295,239,268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300,491,077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5,831,797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8,018,933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open trades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1,801,266</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1,450,952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91,336</w:t>
            </w:r>
          </w:p>
        </w:tc>
        <w:tc>
          <w:tcPr>
            <w:tcW w:w="0" w:type="dxa"/>
            <w:vAlign w:val="bottom"/>
          </w:tcPr>
          <w:p>
            <w:pPr>
              <w:spacing w:after="0"/>
              <w:rPr>
                <w:sz w:val="1"/>
                <w:szCs w:val="1"/>
                <w:color w:val="auto"/>
              </w:rPr>
            </w:pPr>
          </w:p>
        </w:tc>
      </w:tr>
      <w:tr>
        <w:trPr>
          <w:trHeight w:val="223"/>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304,481,389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311,853,564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631,886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622,476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from open trades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5,214,331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9,445,000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Accrued base management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85,957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75,053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subordinated management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85,957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75,053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Class X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1,666,666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A-1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170,000,000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170,000,000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A-1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(1,495,802)</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(1,671,864)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A-2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A-2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(155,050)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(173,300)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44,800,000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B Notes — 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(1,007,205)</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(1,125,757)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16,000,000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C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(627,091)</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(700,902)</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14,000,000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D Notes — 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(814,013)</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(909,825)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E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13,100,000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E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(1,534,650)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(1,715,285)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Notes—SIC CLO 2013-1, Ltd.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Class F Notes—SIC CLO 2013-1, Ltd.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(558,180)</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(623,880)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financing costs, SIC CLO 2013-1, Ltd.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(1,941,595)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(2,166,633)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30,000,000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310,284,545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315,196,802</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Ordinary equity, par value $1.00, 250 ordinary shares authorized, 250 and 250 issued and outstanding, respectively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gain/(loss)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(3,343,488)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838,567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(2,459,918)</w:t>
            </w: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(4,182,055)</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(5,803,156)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(3,343,238)</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304,481,389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311,853,564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266"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13"/>
                <w:szCs w:val="13"/>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2015</w:t>
            </w:r>
          </w:p>
        </w:tc>
        <w:tc>
          <w:tcPr>
            <w:tcW w:w="26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2014</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2013</w:t>
            </w: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 INCOME</w:t>
            </w: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13,091,019</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15,486,413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19,328,855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6,792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945,441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967,991</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13,280,645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16,438,646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20,313,433</w:t>
            </w: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9,635,136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11,678,514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15,613,003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219,293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433,073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 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175,283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760,102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517,563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management fee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760,102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1,257,578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Trustee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123,999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83,221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953,862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994,602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3,442,442</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12,486,797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18,582,276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19,280,106</w:t>
            </w:r>
          </w:p>
        </w:tc>
      </w:tr>
      <w:tr>
        <w:trPr>
          <w:trHeight w:val="230"/>
        </w:trPr>
        <w:tc>
          <w:tcPr>
            <w:tcW w:w="2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793,848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(2,143,630)</w:t>
            </w:r>
          </w:p>
        </w:tc>
        <w:tc>
          <w:tcPr>
            <w:tcW w:w="6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GAIN (LOSS) ON INVESTMENTS: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620,817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(8,815,296)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appreciation/(depreciation) on investments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(3,874,583)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6,776,871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3,235,774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(loss) on investments</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(3,253,766)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(2,038,425)</w:t>
            </w:r>
          </w:p>
        </w:tc>
        <w:tc>
          <w:tcPr>
            <w:tcW w:w="6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5,768,332</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(DECREASE) IN NET ASSETS RESULTING FROM</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(2,459,918)</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(4,182,055)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6,801,659</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20"/>
          </w:cols>
          <w:pgMar w:left="240" w:top="266" w:right="239" w:bottom="1440" w:gutter="0" w:footer="0" w:header="0"/>
        </w:sectPr>
      </w:pPr>
    </w:p>
    <w:bookmarkStart w:id="124" w:name="page125"/>
    <w:bookmarkEnd w:id="1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2015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1260" w:type="dxa"/>
            <w:vAlign w:val="bottom"/>
            <w:vMerge w:val="restart"/>
          </w:tcPr>
          <w:p>
            <w:pPr>
              <w:spacing w:after="0"/>
              <w:rPr>
                <w:sz w:val="12"/>
                <w:szCs w:val="12"/>
                <w:color w:val="auto"/>
              </w:rPr>
            </w:pPr>
          </w:p>
        </w:tc>
        <w:tc>
          <w:tcPr>
            <w:tcW w:w="20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19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Asset Name</w:t>
            </w:r>
          </w:p>
        </w:tc>
        <w:tc>
          <w:tcPr>
            <w:tcW w:w="5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40" w:type="dxa"/>
            <w:vAlign w:val="bottom"/>
            <w:gridSpan w:val="2"/>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Education Management II LLC</w:t>
            </w:r>
          </w:p>
        </w:tc>
        <w:tc>
          <w:tcPr>
            <w:tcW w:w="2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40" w:type="dxa"/>
            <w:vAlign w:val="bottom"/>
            <w:gridSpan w:val="2"/>
            <w:vMerge w:val="continue"/>
            <w:shd w:val="clear" w:color="auto" w:fill="CCEEFF"/>
          </w:tcPr>
          <w:p>
            <w:pPr>
              <w:spacing w:after="0"/>
              <w:rPr>
                <w:sz w:val="11"/>
                <w:szCs w:val="11"/>
                <w:color w:val="auto"/>
              </w:rPr>
            </w:pPr>
          </w:p>
        </w:tc>
        <w:tc>
          <w:tcPr>
            <w:tcW w:w="20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00" w:type="dxa"/>
            <w:vAlign w:val="bottom"/>
            <w:vMerge w:val="continue"/>
            <w:shd w:val="clear" w:color="auto" w:fill="CCEEFF"/>
          </w:tcPr>
          <w:p>
            <w:pPr>
              <w:spacing w:after="0"/>
              <w:rPr>
                <w:sz w:val="11"/>
                <w:szCs w:val="11"/>
                <w:color w:val="auto"/>
              </w:rPr>
            </w:pPr>
          </w:p>
        </w:tc>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A-1 Preferred Shares</w:t>
            </w:r>
          </w:p>
        </w:tc>
        <w:tc>
          <w:tcPr>
            <w:tcW w:w="10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0.00%</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6,692</w:t>
            </w:r>
          </w:p>
        </w:tc>
        <w:tc>
          <w:tcPr>
            <w:tcW w:w="10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669,214</w:t>
            </w:r>
          </w:p>
        </w:tc>
        <w:tc>
          <w:tcPr>
            <w:tcW w:w="10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437,188</w:t>
            </w:r>
          </w:p>
        </w:tc>
        <w:tc>
          <w:tcPr>
            <w:tcW w:w="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Education Management II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A-2 Preferred Shares</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180,263</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24 Hour Holdings III LLC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5/28/2021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493,004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492,276</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Acosta Holdco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Media</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9/27/2021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1,995,000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1,981,328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2,004,416</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Aderant North America,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12/20/2018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3,260,898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3,260,898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3,240,517</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Advantage Sales &amp; Marketing</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7/25/2021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1,995,000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1,993,940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1,984,287</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AECOM Technology</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319,903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318,380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321,304</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Aegis Toxicology Science</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2/24/2021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995,000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995,000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997,488</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Akorn,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4/16/2021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496,691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500,411</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Albertson's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B-4</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8/25/2021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3,410,000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3,389,632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3,437,723</w:t>
            </w: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Alere Inc. (fka IM US Holdings,</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Incremental B-1 Term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6/30/2017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1,529,610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1,529,610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1,529,610</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American Tire Distributors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6/1/2018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496,487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496,486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497,108</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LC-2 Facility</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79,187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79,178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78,395</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LC-3 Facility</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43,521</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U.S. Term F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3,182,489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3,182,489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3,168,581</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ARG IH Corp</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11/15/2020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494,038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495,312</w:t>
            </w: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Asurion, LLC (fka Asurion</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20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Incremental Tranche B-1 Term</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5/24/2019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5,412,086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5,370,590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5,424,642</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w:t>
            </w: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Auction.Com,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A-4</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2/28/2017</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914,567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914,567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905,422</w:t>
            </w: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Avantor Performance Materials</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6/24/2017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4,319,115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4,309,242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4,297,520</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Holdings, Inc.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Avast Software</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3/20/2020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1,925,000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1,923,275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1,937,031</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AZ Chem US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6/12/2021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467,123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464,958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466,614</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Bass Pro Group,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New 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11/20/2019</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493,623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493,111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492,236</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Bayonne Energy Center</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8/19/2021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969,671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965,093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964,416</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Belmond Hotels</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3/19/2021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494,055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495,009</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Berry Plastics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E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1,814,499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1,802,403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1,812,648</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Big Heart Pet Brands (fka Del</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Food/Drug Retailers</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Initial Term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3/9/2020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2,977,500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2,996,769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2,971,307</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Monte Corporation)</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Biomet,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Dollar Term B-2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7/25/2017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1,840,718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1,840,718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1,838,601</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BJ's Wholesale Club, Inc.</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Food/Drug Retailers</w:t>
            </w:r>
          </w:p>
        </w:tc>
        <w:tc>
          <w:tcPr>
            <w:tcW w:w="20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New 2013 (November)</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9/26/2019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1,489,975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1,488,922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1,483,374</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Replacement Loan (First Lien)</w:t>
            </w: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Bombardier Recreational</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1/30/2019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754,286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750,287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747,120</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Products Inc.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Brickman Group Holdings,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Brokers/Dealers/Investment Houses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12/18/2020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1,491,237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1,478,800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1,478,935</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Brock Holdings III,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3/16/2017</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1,938,503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1,952,391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1,904,580</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Burlington Coat Factory</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B-2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8/13/2021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1,945,000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1,935,814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1,942,219</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Warehouse Corporation</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BWAY</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8/14/2020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985,881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998,423</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Caesars Entertainment Corp.</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B-7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1/28/2018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989,028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917,141</w:t>
            </w: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Camp International Holding</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20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2013 Replacement Term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5/31/2019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1,960,046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1,965,495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1,969,846</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Company</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 Lien)</w:t>
            </w: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Capital Automotive L.P.</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Conglomerate</w:t>
            </w:r>
          </w:p>
        </w:tc>
        <w:tc>
          <w:tcPr>
            <w:tcW w:w="20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Tranche B-1 Term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4/10/2019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2,079,313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2,083,783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2,084,511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Facility</w:t>
            </w: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Catalent Pharma Solutions,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Initial Term B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5/20/2021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495,170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498,401</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Celanese US Holdings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Dollar Term C-2 Commitment</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10/31/2018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2,154,560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2,180,598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2,157,533</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Cengage Learning</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3/31/2020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2,731,869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2,761,735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2,733,235</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Charter Communications</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Cable and Satellite Television</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F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12/31/2020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2,655,745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2,646,932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2,646,344</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LLC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CHS/Community Health</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2017 Term E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3.49%</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1/25/2017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1,097,818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1,074,945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1,097,193</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Systems, Inc.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CHS/Community Health</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2021 Term D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1/27/2021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2,926,052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2,844,886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2,935,210</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Systems, Inc.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Cinedigm Digital Funding I,</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2/28/2018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562,001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557,872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561,298</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CITGO Petroleum</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7/29/2021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994,095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979,106</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ClubCorp Club Operations,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7/24/2020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500,315</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CPI International Acquisition,</w:t>
            </w: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Inc. (f/k/a Catalyst Holdings,</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Electronics/Electric</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11/17/2017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3,595,331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3,595,331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3,570,631</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Crosby US Acquisition Corp.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11/23/2020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742,500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741,718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681,244</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Crown Castle Operating</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Telecommunications/Cellular</w:t>
            </w:r>
          </w:p>
        </w:tc>
        <w:tc>
          <w:tcPr>
            <w:tcW w:w="20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Extended Incremental Tranche</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1/31/2021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2,435,594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2,433,546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2,430,723</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Company</w:t>
            </w:r>
          </w:p>
        </w:tc>
        <w:tc>
          <w:tcPr>
            <w:tcW w:w="2080" w:type="dxa"/>
            <w:vAlign w:val="bottom"/>
            <w:vMerge w:val="continue"/>
          </w:tcPr>
          <w:p>
            <w:pPr>
              <w:spacing w:after="0"/>
              <w:rPr>
                <w:sz w:val="14"/>
                <w:szCs w:val="14"/>
                <w:color w:val="auto"/>
              </w:rPr>
            </w:pP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B-2 Term Loan</w:t>
            </w: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CT Technologies Intermediate</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12/1/2021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1,500,000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1,485,423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1,505,625</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Hldgs, Inc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Culligan International Company</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Dollar Loan (First Lien)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12/19/2017</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779,642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736,275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765,998</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Culligan International Company</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Dollar Loan (Second Lien)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6/19/2018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783,162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739,367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727,033</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Cumulus Media Holdings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Broadcast Radio and Television</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12/23/2020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470,093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466,100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466,863</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 Sensors</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9/30/2021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497,651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DaVita HealthCare Partners Inc.</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Tranche B Term Loan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6/24/2021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497,500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495,228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498,062</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(fka DaVita Inc.)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DCS Business Services,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3/19/2018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3,460,027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3,436,485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3,413,835</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Dealertrack Technologies,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477,011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475,991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474,230</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Dell International LLC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4/29/2020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2,969,962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2,957,576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2,980,684</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Delos Finance SARL</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3/6/2021</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497,835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499,790</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Delta 2 (Lux) S.a.r.l.</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B-3</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7/30/2021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1,000,000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995,314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995,630</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Deluxe Entertainment Service</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2/28/2020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9"/>
              </w:rPr>
              <w:t>1,882,983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1,884,624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1,835,908</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Group, Inc.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Devix US,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250,938</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Devix US,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(Second Lien)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5/2/2022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495,324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Diamond Resorts International</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990,370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999,975</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Dollar Tree</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 (3950MM)</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3/9/2022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1,000,000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1,007,500</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DPX Holdings B.V.</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3/11/2021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2,985,000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2,978,605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2,962,075</w:t>
            </w:r>
          </w:p>
        </w:tc>
        <w:tc>
          <w:tcPr>
            <w:tcW w:w="0" w:type="dxa"/>
            <w:vAlign w:val="bottom"/>
          </w:tcPr>
          <w:p>
            <w:pPr>
              <w:spacing w:after="0"/>
              <w:rPr>
                <w:sz w:val="1"/>
                <w:szCs w:val="1"/>
                <w:color w:val="auto"/>
              </w:rPr>
            </w:pPr>
          </w:p>
        </w:tc>
      </w:tr>
      <w:tr>
        <w:trPr>
          <w:trHeight w:val="149"/>
        </w:trPr>
        <w:tc>
          <w:tcPr>
            <w:tcW w:w="2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Drew Marine Group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11/19/2020</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9"/>
              </w:rPr>
              <w:t>1,489,975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1,495,721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1,473,213</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Education Management LLC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A</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7/2/2020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501,970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457,295</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Education Management LLC</w:t>
            </w: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8.5%</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 Cash/</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Leisure Goods/Activities/Movies</w:t>
            </w:r>
          </w:p>
        </w:tc>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6.50% PIK)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7/2/2020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836,617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805,283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672,882</w:t>
            </w:r>
          </w:p>
        </w:tc>
        <w:tc>
          <w:tcPr>
            <w:tcW w:w="0" w:type="dxa"/>
            <w:vAlign w:val="bottom"/>
          </w:tcPr>
          <w:p>
            <w:pPr>
              <w:spacing w:after="0"/>
              <w:rPr>
                <w:sz w:val="1"/>
                <w:szCs w:val="1"/>
                <w:color w:val="auto"/>
              </w:rPr>
            </w:pPr>
          </w:p>
        </w:tc>
      </w:tr>
      <w:tr>
        <w:trPr>
          <w:trHeight w:val="149"/>
        </w:trPr>
        <w:tc>
          <w:tcPr>
            <w:tcW w:w="2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EIG Investors Corp.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6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11/8/2019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983,552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989,969</w:t>
            </w:r>
          </w:p>
        </w:tc>
        <w:tc>
          <w:tcPr>
            <w:tcW w:w="0" w:type="dxa"/>
            <w:vAlign w:val="bottom"/>
          </w:tcPr>
          <w:p>
            <w:pPr>
              <w:spacing w:after="0"/>
              <w:rPr>
                <w:sz w:val="1"/>
                <w:szCs w:val="1"/>
                <w:color w:val="auto"/>
              </w:rPr>
            </w:pPr>
          </w:p>
        </w:tc>
      </w:tr>
      <w:tr>
        <w:trPr>
          <w:trHeight w:val="126"/>
        </w:trPr>
        <w:tc>
          <w:tcPr>
            <w:tcW w:w="2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Emerald Performance Materials,</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Term Loan (First Lien)</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8/1/2021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498,750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496,403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496,102</w:t>
            </w:r>
          </w:p>
        </w:tc>
        <w:tc>
          <w:tcPr>
            <w:tcW w:w="0" w:type="dxa"/>
            <w:vAlign w:val="bottom"/>
          </w:tcPr>
          <w:p>
            <w:pPr>
              <w:spacing w:after="0"/>
              <w:rPr>
                <w:sz w:val="1"/>
                <w:szCs w:val="1"/>
                <w:color w:val="auto"/>
              </w:rPr>
            </w:pPr>
          </w:p>
        </w:tc>
      </w:tr>
      <w:tr>
        <w:trPr>
          <w:trHeight w:val="171"/>
        </w:trPr>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080" w:type="dxa"/>
            <w:vAlign w:val="bottom"/>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Emerald Performance Materials,</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Chemicals/Plastics</w:t>
            </w:r>
          </w:p>
        </w:tc>
        <w:tc>
          <w:tcPr>
            <w:tcW w:w="20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Term Loan (Second Lien)</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7.75%</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8/1/2022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497,553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484,845</w:t>
            </w:r>
          </w:p>
        </w:tc>
        <w:tc>
          <w:tcPr>
            <w:tcW w:w="0" w:type="dxa"/>
            <w:vAlign w:val="bottom"/>
          </w:tcPr>
          <w:p>
            <w:pPr>
              <w:spacing w:after="0"/>
              <w:rPr>
                <w:sz w:val="1"/>
                <w:szCs w:val="1"/>
                <w:color w:val="auto"/>
              </w:rPr>
            </w:pPr>
          </w:p>
        </w:tc>
      </w:tr>
      <w:tr>
        <w:trPr>
          <w:trHeight w:val="171"/>
        </w:trPr>
        <w:tc>
          <w:tcPr>
            <w:tcW w:w="2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080" w:type="dxa"/>
            <w:vAlign w:val="bottom"/>
            <w:vMerge w:val="continue"/>
            <w:shd w:val="clear" w:color="auto" w:fill="CCEEFF"/>
          </w:tcPr>
          <w:p>
            <w:pPr>
              <w:spacing w:after="0"/>
              <w:rPr>
                <w:sz w:val="14"/>
                <w:szCs w:val="14"/>
                <w:color w:val="auto"/>
              </w:rPr>
            </w:pPr>
          </w:p>
        </w:tc>
        <w:tc>
          <w:tcPr>
            <w:tcW w:w="2060" w:type="dxa"/>
            <w:vAlign w:val="bottom"/>
            <w:gridSpan w:val="3"/>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EnergySolutions, LLC</w:t>
            </w:r>
          </w:p>
        </w:tc>
        <w:tc>
          <w:tcPr>
            <w:tcW w:w="2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2060" w:type="dxa"/>
            <w:vAlign w:val="bottom"/>
            <w:tcBorders>
              <w:bottom w:val="single" w:sz="8" w:color="CCEEFF"/>
            </w:tcBorders>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5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1100" w:type="dxa"/>
            <w:vAlign w:val="bottom"/>
            <w:tcBorders>
              <w:bottom w:val="single" w:sz="8" w:color="CCEEFF"/>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900" w:type="dxa"/>
            <w:vAlign w:val="bottom"/>
            <w:tcBorders>
              <w:bottom w:val="single" w:sz="8" w:color="CCEEFF"/>
            </w:tcBorders>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5/29/2020</w:t>
            </w:r>
          </w:p>
        </w:tc>
        <w:tc>
          <w:tcPr>
            <w:tcW w:w="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937,857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921,126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942,546</w:t>
            </w:r>
          </w:p>
        </w:tc>
        <w:tc>
          <w:tcPr>
            <w:tcW w:w="0" w:type="dxa"/>
            <w:vAlign w:val="bottom"/>
          </w:tcPr>
          <w:p>
            <w:pPr>
              <w:spacing w:after="0"/>
              <w:rPr>
                <w:sz w:val="1"/>
                <w:szCs w:val="1"/>
                <w:color w:val="auto"/>
              </w:rPr>
            </w:pPr>
          </w:p>
        </w:tc>
      </w:tr>
    </w:tbl>
    <w:p>
      <w:pPr>
        <w:sectPr>
          <w:pgSz w:w="11900" w:h="16900" w:orient="portrait"/>
          <w:cols w:equalWidth="0" w:num="1">
            <w:col w:w="11420"/>
          </w:cols>
          <w:pgMar w:left="240" w:top="266" w:right="239" w:bottom="0" w:gutter="0" w:footer="0" w:header="0"/>
        </w:sectPr>
      </w:pPr>
    </w:p>
    <w:bookmarkStart w:id="125" w:name="page126"/>
    <w:bookmarkEnd w:id="125"/>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Enviromental Resources</w:t>
            </w:r>
          </w:p>
        </w:tc>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5/14/2021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1,000,000</w:t>
            </w: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990,000</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985,000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Management</w:t>
            </w:r>
          </w:p>
        </w:tc>
        <w:tc>
          <w:tcPr>
            <w:tcW w:w="21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Evergreen Acqco 1 LP</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New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975,056</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972,887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955,555</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EWT Holdings III Corp. (fka</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Industrial Equipment</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1,987,481</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1,982,274</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1,972,575</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WTG Holdings III Corp.)</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Federal-Mogul Corporation</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Tranche C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4/15/2021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2,985,000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2,971,883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2,975,687</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Data Corporation</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Financial Intermediaries</w:t>
            </w:r>
          </w:p>
        </w:tc>
        <w:tc>
          <w:tcPr>
            <w:tcW w:w="192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2017 Second New Dollar Term</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3/23/2018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2,790,451</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2,729,399</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2,785,568</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Data Corporation</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2018 Dollar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3/24/2021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2,111,028</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2,021,476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2,115,777</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Fitness International, LLC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1,492,500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1,482,322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1,421,606</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FMG Resources (August 2006)</w:t>
            </w:r>
          </w:p>
        </w:tc>
        <w:tc>
          <w:tcPr>
            <w:tcW w:w="2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Pty LTD (FMG America</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Nonferrous Metals/Minerals</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6/28/2019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99"/>
              </w:rPr>
              <w:t>1,982,462</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1,982,212</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1,835,423</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Inc.)</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Four Seasons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6/27/2020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493,750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493,750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491,281</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Garda World Security</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Term B Delayed Draw 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11/6/2020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201,157</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200,308</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199,146</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Corporation</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Garda World Security</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11/6/2020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786,343</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783,060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778,479</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Corporation</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Gardner Denver,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Initial Dollar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7/30/2020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2,476,212</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2,467,608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2,377,164</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Gates Global LLC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493,763</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494,885</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Generac Power Systems,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5/29/2020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802,956</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789,932</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797,182</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Nutrition Centers, Inc.</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Amended Tranche B Term</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3/4/2019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4,724,136</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4,709,712</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4,649,353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Global Tel*Link Corporation</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5/26/2020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2,755,515</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2,747,025</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2,719,914</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Goodyear Tire &amp; Rubber</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Chemicals/Plastics</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 (Second Lien)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4/30/2019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3,333,333</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3,296,753</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3,347,933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Company, The</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Grosvenor Capital Management</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Brokers/Dealers/Investment Houses</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Initial Term 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1/4/2021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99"/>
              </w:rPr>
              <w:t>3,395,892</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3,381,240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3,353,443</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Holdings, LP</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GTCR Valor Companies,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1,995,000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1,981,582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1,965,075</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Harland Clarke Holdings Corp.</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Publishing</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Tranche B-4 Term 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487,500</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485,460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488,963</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(fka Clarke American Corp.)</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HCA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Tranche B-4 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5,663,006</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5,409,534</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5,658,872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Hertz Corporation, The</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Tranche B-1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3/12/2018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2,940,000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2,975,234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2,927,152</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Hoffmaster Group,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Containers/Glass Products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1,990,000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1,972,040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1,999,950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Huntsman International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Extended Term B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4/19/2017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3,880,270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3,866,113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3,872,199</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Husky Injection</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498,099</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495,886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495,818</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Ikaria,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2/12/2021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435,702</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433,809</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434,251</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 (US), Inc. (fka Lawson</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Tranche B-5 Term Loan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6/3/2020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2,211,036</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2,194,068</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2,190,650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Software Inc.)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Insight Global</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10/29/2021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2,000,000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1,990,539</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1,993,760</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 Crew Group, Inc.</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Term B-1 Loan Retired</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965,206</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965,206</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906,493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03/05/2014</w:t>
            </w: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Jazz Acquisition,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First Lien 6/14</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6/19/2021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497,576</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496,332</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492,913</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Kinetic Concepts,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Dollar Term D-1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2,477,613</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2,453,687</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2,477,167</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Koosharem,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5/15/2020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2,995,000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2,968,450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2,961,306</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 Quinta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4/14/2021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451,283</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449,626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450,719</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Level 3 Financing,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1/31/2022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496,541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502,085</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Mauser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Containers/Glass Products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7/31/2021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496,409</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491,269</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Michaels Stores,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491,250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491,250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488,258</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Michaels Stores,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B-2</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1,492,500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1,485,638</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1,488,769</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Microsemi Corporation</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Incremental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2,393,981</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2,389,500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2,381,509</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Microsemi Corporation</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172,170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172,170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171,309</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Midas Intermediate Holdco II,</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Automotive</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Delayed Draw Term 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8/18/2021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25,253</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25,253</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25,364</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Midas Intermediate Holdco II,</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Automotive</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8/18/2021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224,122</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223,063</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225,103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LLC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Millenium Laboratories,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4/16/2021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1,492,500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1,479,041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1,489,396</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Mitel US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196,558</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195,710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196,411</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MPH Acquisition Holdings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 Insurance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3/31/2021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445,455</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444,453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442,033</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MSC Software Corp.</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5/29/2020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986,186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996,244</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National CineMedia,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11/26/2019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1,086,207</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1,058,933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1,067,198</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National Veterinary Associates,</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8/14/2021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997,500</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992,907</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996,253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National Vision,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(Second Lien)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3/11/2022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249,730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240,418</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Newsday, LLC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10/12/2016</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2,215,385</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2,214,305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2,201,538</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Nortek,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10/30/2020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992,803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986,921</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Novelis,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Initial 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3/10/2017</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4,807,530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4,817,740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4,799,502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NPC International,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12/28/2018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486,250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486,250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480,780</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NRG Energy,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Utilities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7/2/2018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3,861,225</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3,842,164</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3,850,761</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NuSil Technology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4/7/2017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797,986</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797,986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791,004</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Ollie's Bargain Outlet,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9/30/2019</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977,052</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972,882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962,396</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 Assignment,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Initial Term B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5/15/2020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1,311,364</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1,303,451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1,301,528</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Onex Carestream Finance LP</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 2013)</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6/7/2019</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4,074,401</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4,059,378</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4,078,842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OnexYork Acquisition Co</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Delayed Draw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OnexYork Acquisition Co</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495,208</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496,466</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OpenLink International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10/28/2017</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970,000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957,875</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Orbitz Worldwide,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4/15/2021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1,494,994</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1,492,711</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1,494,755</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P.F. Chang's China Bistro, Inc.</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Food/Drug Retailers</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Term Borrowing</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6/24/2019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99"/>
              </w:rPr>
              <w:t>1,447,901</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1,440,712</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1,406,274</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(Wok Acquisition Corp.)</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P2 Upstream Acquisition Co. (P2</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10/30/2020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990,000</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985,444</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947,925</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Upstream Canada BC ULC)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 Pharmaceutical</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 &amp; Pharmaceuticals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B3</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9/28/2019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497,502</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499,065</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PetCo Animal Supplies Stores,</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New Loans</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11/24/2017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1,469,388</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1,468,520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1,467,066</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PetSmart</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3/11/2022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1,000,000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1,007,050</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PGX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9/29/2020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993,750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984,482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993,750</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Pharmaceutical Product</w:t>
            </w:r>
          </w:p>
        </w:tc>
        <w:tc>
          <w:tcPr>
            <w:tcW w:w="2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Development, Inc. (Jaguar</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Conglomerate</w:t>
            </w:r>
          </w:p>
        </w:tc>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2013 Term Loan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12/5/2018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99"/>
              </w:rPr>
              <w:t>1,940,400</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1,918,409</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1,935,898</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Holdings, LLC)</w:t>
            </w:r>
          </w:p>
        </w:tc>
        <w:tc>
          <w:tcPr>
            <w:tcW w:w="218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Phillips-Medisize Corporation</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6/16/2021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495,245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495,948</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Pinnacle Foods Finance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New Term Loan G</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4/29/2020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2,581,332</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2,576,466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2,565,560</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Planet Fitness Holdings LLC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3/31/2021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1,488,750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1,482,052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1,488,750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Polymer Group,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Initial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12/19/2019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495,000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492,860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495,619</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Presidio</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2/2/2022</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2,000,000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1,940,655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1,973,760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Prestige Brands,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B-1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1/31/2019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344,697</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341,112</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344,697</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Prestige Brands,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1,861,111</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1,858,280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1,860,534</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QoL Meds, LLC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7/15/2020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1,995,000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1,985,909</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1,990,013</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Quintiles Transnational Corp.</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B-3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3,627,678</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3,600,425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3,628,802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Ranpak Holdings,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995,145</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996,882</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Ranpak Holdings,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(Second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9/30/2022</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497,672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Redtop Acquisitions Limited</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tcPr>
          <w:p>
            <w:pPr>
              <w:ind w:left="40"/>
              <w:spacing w:after="0" w:line="126" w:lineRule="exact"/>
              <w:rPr>
                <w:sz w:val="20"/>
                <w:szCs w:val="20"/>
                <w:color w:val="auto"/>
              </w:rPr>
            </w:pPr>
            <w:r>
              <w:rPr>
                <w:rFonts w:ascii="Times New Roman" w:cs="Times New Roman" w:eastAsia="Times New Roman" w:hAnsi="Times New Roman"/>
                <w:sz w:val="14"/>
                <w:szCs w:val="14"/>
                <w:color w:val="auto"/>
              </w:rPr>
              <w:t>Initial Dollar Term Loan (First</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12/3/2020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495,000</w:t>
            </w: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491,974</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494,381</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Lien)</w:t>
            </w:r>
          </w:p>
        </w:tc>
        <w:tc>
          <w:tcPr>
            <w:tcW w:w="7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Rexnord LLC/RBS Global, Inc.</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8/21/2020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1,646,799</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1,648,172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1,642,172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Reynolds Group Holdings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Incremental U.S.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1,960,200</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1,960,200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1,965,767</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Riverbed Technology</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Technology</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2/25/2022</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1,000,000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995,000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1,007,500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Rocket Software, Inc.</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1,916,674</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1,898,764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1,906,285</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Rovi Solutions Corporation /</w:t>
            </w:r>
          </w:p>
        </w:tc>
        <w:tc>
          <w:tcPr>
            <w:tcW w:w="2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Tranche B-3 Term Loan</w:t>
            </w:r>
          </w:p>
        </w:tc>
        <w:tc>
          <w:tcPr>
            <w:tcW w:w="7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99"/>
              </w:rPr>
              <w:t>1,492,500</w:t>
            </w:r>
          </w:p>
        </w:tc>
        <w:tc>
          <w:tcPr>
            <w:tcW w:w="10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1,485,607</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1,479,441</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Rovi Guides, Inc.</w:t>
            </w:r>
          </w:p>
        </w:tc>
        <w:tc>
          <w:tcPr>
            <w:tcW w:w="2180" w:type="dxa"/>
            <w:vAlign w:val="bottom"/>
            <w:vMerge w:val="continue"/>
            <w:shd w:val="clear" w:color="auto" w:fill="CCEEFF"/>
          </w:tcPr>
          <w:p>
            <w:pPr>
              <w:spacing w:after="0"/>
              <w:rPr>
                <w:sz w:val="14"/>
                <w:szCs w:val="14"/>
                <w:color w:val="auto"/>
              </w:rPr>
            </w:pPr>
          </w:p>
        </w:tc>
        <w:tc>
          <w:tcPr>
            <w:tcW w:w="19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RPI Finance Trust</w:t>
            </w:r>
          </w:p>
        </w:tc>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19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B-2 Term Loan</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99"/>
              </w:rPr>
              <w:t>5,207,431</w:t>
            </w:r>
          </w:p>
        </w:tc>
        <w:tc>
          <w:tcPr>
            <w:tcW w:w="10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5,188,396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5,219,147</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SBP Holdings LP</w:t>
            </w:r>
          </w:p>
        </w:tc>
        <w:tc>
          <w:tcPr>
            <w:tcW w:w="21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2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8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3/27/2021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992,500</w:t>
            </w:r>
          </w:p>
        </w:tc>
        <w:tc>
          <w:tcPr>
            <w:tcW w:w="10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988,065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863,475</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Scientific Games International,</w:t>
            </w:r>
          </w:p>
        </w:tc>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Electronics/Electric</w:t>
            </w:r>
          </w:p>
        </w:tc>
        <w:tc>
          <w:tcPr>
            <w:tcW w:w="1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Term Loan B2</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10/1/2021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99"/>
              </w:rPr>
              <w:t>1,000,000</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990,433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998,040</w:t>
            </w:r>
          </w:p>
        </w:tc>
        <w:tc>
          <w:tcPr>
            <w:tcW w:w="0" w:type="dxa"/>
            <w:vAlign w:val="bottom"/>
          </w:tcPr>
          <w:p>
            <w:pPr>
              <w:spacing w:after="0"/>
              <w:rPr>
                <w:sz w:val="1"/>
                <w:szCs w:val="1"/>
                <w:color w:val="auto"/>
              </w:rPr>
            </w:pPr>
          </w:p>
        </w:tc>
      </w:tr>
    </w:tbl>
    <w:p>
      <w:pPr>
        <w:sectPr>
          <w:pgSz w:w="11900" w:h="16870" w:orient="portrait"/>
          <w:cols w:equalWidth="0" w:num="1">
            <w:col w:w="11420"/>
          </w:cols>
          <w:pgMar w:left="240" w:top="104" w:right="239" w:bottom="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Scitor Corporation</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2/15/2017</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463,977</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462,387</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461,077</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Seadrill</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2/21/2021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997,481</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917,590</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806,294</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Sensata Technologies</w:t>
            </w:r>
          </w:p>
        </w:tc>
        <w:tc>
          <w:tcPr>
            <w:tcW w:w="210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B.V./Sensata Technology</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Industrial Equipment</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5/13/2019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1,509,445</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1,509,445</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1,511,603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Company, LLC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Sensus USA Inc. (fka Sensus</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Utilities</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5/9/2017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1,925,067</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1,920,548</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1,925,067</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Metering Systems)</w:t>
            </w:r>
          </w:p>
        </w:tc>
        <w:tc>
          <w:tcPr>
            <w:tcW w:w="21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ServiceMaster Company, The</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1,995,000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1,976,650</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1,994,641</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Shearers Foods LLC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995,166</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996,253</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Sonneborn, LLC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12/10/2020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224,471</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Sonneborn, LLC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US 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12/10/2020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1,275,000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1,272,004</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1,275,000</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Sophia, L.P.</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7/19/2018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886,138</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877,732</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884,756</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SourceHOV LLC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 (First Lien)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10/31/2019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2,000,000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1,942,284</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1,915,000</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Southwire Company, LLC (f.k.a</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Building and Development</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Initial Term Loan</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496,250</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495,181</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485,084</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Southwire Company)</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SRAM, LLC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4/10/2020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2,967,681</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2,957,888</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2,952,842</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Steak 'n Shake Operations, Inc.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3/19/2021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992,500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983,723</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975,131</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STHI Holding</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8/6/2021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994,388</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SunGard Data Systems Inc.</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Conglomerate</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Tranche C Term Loan</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2/28/2017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285,352</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283,117</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285,084</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(Solar Capital Corp.)</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SunGard Data Systems Inc.</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Conglomerate</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Tranche E Term Loan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3/9/2020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3,707,953</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3,618,899</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3,706,804</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(Solar Capital Corp.)</w:t>
            </w:r>
          </w:p>
        </w:tc>
        <w:tc>
          <w:tcPr>
            <w:tcW w:w="21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SuperMedia Inc. (fka Idearc Inc.)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12/30/2016</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238,660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232,462</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203,756</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Syniverse Holdings, Inc.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4/23/2019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479,913</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476,105</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473,314</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TGI Friday's</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7/15/2020</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267,977</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266,768</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267,642</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TGI Friday's</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(Second Lien)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7/15/2021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2,000,000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2,016,250</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TPF II Power LLC and TPF II</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Utilities</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10/2/2021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496,689</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504,790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Covert Midco LLC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TransDigm, Inc.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C 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4,847,054</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4,856,484</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4,824,661</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TransFirst</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11/12/2021</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495,182</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502,815</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TransUnion</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495,138</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493,977</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Tricorbraun, Inc. (fka Kranson</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Containers/Glass Products</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5/3/2018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1,850,000</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1,843,008</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1,822,250</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Industries, Inc.)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Truven Health Analytics Inc. (fka</w:t>
            </w:r>
          </w:p>
        </w:tc>
        <w:tc>
          <w:tcPr>
            <w:tcW w:w="21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Thomson Reuters (Healthcare)</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Healthcare</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New Tranche B Term Loan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487,566</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479,874</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481,471</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1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Twin River Management Group,</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Lodging &amp; Casinos</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7/10/2020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974,167</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976,455</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975,998</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U.S. Security Associates</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Delayed Draw Loan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7/28/2017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158,518</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157,610</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156,734</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Holdings, Inc.</w:t>
            </w:r>
          </w:p>
        </w:tc>
        <w:tc>
          <w:tcPr>
            <w:tcW w:w="21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 Security Associates</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7/28/2017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931,046</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926,144</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920,572</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Holdings, Inc.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United Surgical Partners</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Healthcare</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New Tranche B Term Loan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4/3/2019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2,431,749</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2,408,580</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2,431,749</w:t>
            </w:r>
          </w:p>
        </w:tc>
        <w:tc>
          <w:tcPr>
            <w:tcW w:w="0" w:type="dxa"/>
            <w:vAlign w:val="bottom"/>
          </w:tcPr>
          <w:p>
            <w:pPr>
              <w:spacing w:after="0"/>
              <w:rPr>
                <w:sz w:val="1"/>
                <w:szCs w:val="1"/>
                <w:color w:val="auto"/>
              </w:rPr>
            </w:pPr>
          </w:p>
        </w:tc>
      </w:tr>
      <w:tr>
        <w:trPr>
          <w:trHeight w:val="171"/>
        </w:trPr>
        <w:tc>
          <w:tcPr>
            <w:tcW w:w="2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International, Inc.</w:t>
            </w:r>
          </w:p>
        </w:tc>
        <w:tc>
          <w:tcPr>
            <w:tcW w:w="21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Univar Inc.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3,844,964</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3,844,749</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3,813,935</w:t>
            </w: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Univision Communications Inc.</w:t>
            </w:r>
          </w:p>
        </w:tc>
        <w:tc>
          <w:tcPr>
            <w:tcW w:w="2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Telecommunications</w:t>
            </w:r>
          </w:p>
        </w:tc>
        <w:tc>
          <w:tcPr>
            <w:tcW w:w="19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Replacement First-Lien Term</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3/1/2020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9"/>
              </w:rPr>
              <w:t>2,947,446</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2,931,982</w:t>
            </w: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2,940,549</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Valeant Pharmaceuticals</w:t>
            </w:r>
          </w:p>
        </w:tc>
        <w:tc>
          <w:tcPr>
            <w:tcW w:w="2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Drugs</w:t>
            </w:r>
          </w:p>
        </w:tc>
        <w:tc>
          <w:tcPr>
            <w:tcW w:w="19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Series D2 Term Loan B</w:t>
            </w:r>
          </w:p>
        </w:tc>
        <w:tc>
          <w:tcPr>
            <w:tcW w:w="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2/13/2019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9"/>
              </w:rPr>
              <w:t>2,545,588</w:t>
            </w: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2,537,415</w:t>
            </w:r>
          </w:p>
        </w:tc>
        <w:tc>
          <w:tcPr>
            <w:tcW w:w="9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2,539,683</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International, Inc.</w:t>
            </w:r>
          </w:p>
        </w:tc>
        <w:tc>
          <w:tcPr>
            <w:tcW w:w="2100" w:type="dxa"/>
            <w:vAlign w:val="bottom"/>
            <w:vMerge w:val="continue"/>
            <w:shd w:val="clear" w:color="auto" w:fill="CCEEFF"/>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Verint Systems Inc.</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9/6/2019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1,264,058</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1,259,623</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1,259,634</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Vertafore, Inc.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10/3/2019</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2,881,003</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2,881,003</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2,878,294</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Vouvray US Finance</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6/28/2021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495,243</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499,366</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Washington Inventory Service</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Term Loan (First Lien)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12/20/2018</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1,832,876</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1,851,978</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1,796,218</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Waste Industries</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Environmental</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2/27/2020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249,375</w:t>
            </w:r>
          </w:p>
        </w:tc>
        <w:tc>
          <w:tcPr>
            <w:tcW w:w="9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250,520</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Wendy's International, Inc</w:t>
            </w:r>
          </w:p>
        </w:tc>
        <w:tc>
          <w:tcPr>
            <w:tcW w:w="21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5/15/2019</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673,630</w:t>
            </w: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668,099</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670,545</w:t>
            </w:r>
          </w:p>
        </w:tc>
        <w:tc>
          <w:tcPr>
            <w:tcW w:w="0" w:type="dxa"/>
            <w:vAlign w:val="bottom"/>
          </w:tcPr>
          <w:p>
            <w:pPr>
              <w:spacing w:after="0"/>
              <w:rPr>
                <w:sz w:val="1"/>
                <w:szCs w:val="1"/>
                <w:color w:val="auto"/>
              </w:rPr>
            </w:pPr>
          </w:p>
        </w:tc>
      </w:tr>
      <w:tr>
        <w:trPr>
          <w:trHeight w:val="156"/>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West Corporation</w:t>
            </w:r>
          </w:p>
        </w:tc>
        <w:tc>
          <w:tcPr>
            <w:tcW w:w="2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B-10 Loan</w:t>
            </w:r>
          </w:p>
        </w:tc>
        <w:tc>
          <w:tcPr>
            <w:tcW w:w="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9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6/30/2018</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99"/>
              </w:rPr>
              <w:t>2,571,560</w:t>
            </w: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2,605,923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2,562,998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297,760,340</w:t>
            </w:r>
          </w:p>
        </w:tc>
        <w:tc>
          <w:tcPr>
            <w:tcW w:w="9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295,239,268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20"/>
          </w:cols>
          <w:pgMar w:left="240" w:top="118" w:right="239" w:bottom="1440" w:gutter="0" w:footer="0" w:header="0"/>
        </w:sectPr>
      </w:pPr>
    </w:p>
    <w:bookmarkStart w:id="127" w:name="page128"/>
    <w:bookmarkEnd w:id="12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1600" w:type="dxa"/>
            <w:vAlign w:val="bottom"/>
            <w:vMerge w:val="restart"/>
          </w:tcPr>
          <w:p>
            <w:pPr>
              <w:spacing w:after="0"/>
              <w:rPr>
                <w:sz w:val="13"/>
                <w:szCs w:val="13"/>
                <w:color w:val="auto"/>
              </w:rPr>
            </w:pPr>
          </w:p>
        </w:tc>
        <w:tc>
          <w:tcPr>
            <w:tcW w:w="20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3"/>
                <w:szCs w:val="13"/>
                <w:color w:val="auto"/>
              </w:rPr>
            </w:pPr>
          </w:p>
        </w:tc>
        <w:tc>
          <w:tcPr>
            <w:tcW w:w="19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Asset 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4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Type</w:t>
            </w:r>
          </w:p>
        </w:tc>
        <w:tc>
          <w:tcPr>
            <w:tcW w:w="7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8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Borders>
              <w:right w:val="single" w:sz="8" w:color="CCEEFF"/>
            </w:tcBorders>
            <w:gridSpan w:val="2"/>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Academy, LTD.</w:t>
            </w:r>
          </w:p>
        </w:tc>
        <w:tc>
          <w:tcPr>
            <w:tcW w:w="20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80" w:type="dxa"/>
            <w:vAlign w:val="bottom"/>
            <w:tcBorders>
              <w:right w:val="single" w:sz="8" w:color="CCEEFF"/>
            </w:tcBorders>
            <w:gridSpan w:val="2"/>
            <w:vMerge w:val="continue"/>
            <w:shd w:val="clear" w:color="auto" w:fill="CCEEFF"/>
          </w:tcPr>
          <w:p>
            <w:pPr>
              <w:spacing w:after="0"/>
              <w:rPr>
                <w:sz w:val="11"/>
                <w:szCs w:val="11"/>
                <w:color w:val="auto"/>
              </w:rPr>
            </w:pPr>
          </w:p>
        </w:tc>
        <w:tc>
          <w:tcPr>
            <w:tcW w:w="20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20" w:type="dxa"/>
            <w:vAlign w:val="bottom"/>
            <w:vMerge w:val="continue"/>
            <w:shd w:val="clear" w:color="auto" w:fill="CCEEFF"/>
          </w:tcPr>
          <w:p>
            <w:pPr>
              <w:spacing w:after="0"/>
              <w:rPr>
                <w:sz w:val="11"/>
                <w:szCs w:val="11"/>
                <w:color w:val="auto"/>
              </w:rPr>
            </w:pPr>
          </w:p>
        </w:tc>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Initial Term Loan (2012)</w:t>
            </w:r>
          </w:p>
        </w:tc>
        <w:tc>
          <w:tcPr>
            <w:tcW w:w="10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Loan</w:t>
            </w:r>
          </w:p>
        </w:tc>
        <w:tc>
          <w:tcPr>
            <w:tcW w:w="12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4.50%</w:t>
            </w: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8/3/2018</w:t>
            </w:r>
          </w:p>
        </w:tc>
        <w:tc>
          <w:tcPr>
            <w:tcW w:w="10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$1,960,187</w:t>
            </w:r>
          </w:p>
        </w:tc>
        <w:tc>
          <w:tcPr>
            <w:tcW w:w="20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1,948,853</w:t>
            </w:r>
          </w:p>
        </w:tc>
        <w:tc>
          <w:tcPr>
            <w:tcW w:w="1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  1,969,969</w:t>
            </w:r>
          </w:p>
        </w:tc>
        <w:tc>
          <w:tcPr>
            <w:tcW w:w="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Acosta,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 (2013)</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3/2/2018</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4,162,740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4,101,035</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4,177,310</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Aderant North America,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12/20/2018</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3,473,750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3,470,186</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3,482,434</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Aegis Toxicology Sciences</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Initial Term Loan (First Lien)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5.50%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2/24/2021</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0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990,000</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990,000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Aegis Toxicology Sciences</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Initial Term Loan (Second</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8/24/2021</w:t>
            </w:r>
          </w:p>
        </w:tc>
        <w:tc>
          <w:tcPr>
            <w:tcW w:w="9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492,500</w:t>
            </w: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492,500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Lien)</w:t>
            </w: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Aeroflex Incorporated</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B-1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11/9/2019</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3,208,854</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3,194,690</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3,223,550</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Akorn,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11/13/2020</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503,125</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Alere Inc. (fka IM US Holdings,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Incremental B-1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1,960,000</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1,930,566</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1,968,173</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Applied Systems,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12/8/2016</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LC-2 Facility</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79,187</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79,187</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79,206</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LC-3 Facility</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43,961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43,961</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43,971</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Aramark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U.S. Term C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7/26/2016</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3,206,537</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3,206,537</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3,207,307</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Ardagh Holdings USA Inc. (Ardagh</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Containers/Glass Products</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Dollar Term Loan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12/17/2019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995,109</w:t>
            </w: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1,002,500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Packaging Finance S.A.)</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ARG IH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11/15/2020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498,797</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502,500</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Asurion, LLC (fka Asurion</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20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Incremental Tranche B-1 Term</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5/24/2019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5,508,783</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5,462,695</w:t>
            </w: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5,516,660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Auction.Com,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A-4</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2/28/2017</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980,651</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979,812</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970,845</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Autotrader.com,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B-1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12/15/2016</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3,791,778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3,791,778</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3,805,997</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Avantor Performance Materials</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6/24/2017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4,875,000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4,861,403</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4,875,000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AZ Chem US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12/22/2017</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1,355,941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1,329,859</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1,362,720</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Bass Pro Group,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New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11/20/2019</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498,725</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498,126</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500,715</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Berry Plastics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E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1/6/2021</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1,496,250</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1,495,500</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Big Heart Pet Brands (fka Del Monte</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Food/Drug Retailers</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Initial Term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3/9/2020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3,022,866</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2,999,250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Biomet,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Dollar Term B-2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7/25/2017</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1,970,137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1,970,137</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1,972,797</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BJ's Wholesale Club, Inc.</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Food/Drug Retailers</w:t>
            </w:r>
          </w:p>
        </w:tc>
        <w:tc>
          <w:tcPr>
            <w:tcW w:w="20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New 2013 (November)</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9/26/2019</w:t>
            </w: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497,592</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502,750</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Replacement Loan (First Lien)</w:t>
            </w: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Bombardier Recreational Products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1/30/2019</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754,286</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748,080</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756,647</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Brickman Group Ltd. LLC, The</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Brokers/Dealers/Investment Houses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12/18/2020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248,750</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250,937</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Brock Holdings III,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3/16/2017</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1,959,839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1,976,826</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1,967,188</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Burlington Coat Factory Warehouse</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Term B-2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2/23/2017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2,660,377</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2,653,889</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2,675,675</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Corporation</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 Overhead Doors,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Building and Development</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3/18/2019</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2,739,013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2,692,934</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2,745,861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Camp International Holding Company</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20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2013 Replacement Term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4.75%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5/31/2019</w:t>
            </w: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990,000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990,000</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999,900</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(First Lien)</w:t>
            </w: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Automotive L.P.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B-1 Term Loan Facility</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4/10/2019</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2,137,369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2,141,920</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2,142,712</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Capstone Logistics,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Note A</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9/16/2016</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2,658,626</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2,637,550</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2,618,899</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Capsugel Holdings US,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8/1/2018</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3,145,521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3,138,959</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3,141,589</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Celanese US Holdings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Dollar Term C-2 Commitment</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10/31/2016</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2,176,323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2,201,894</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2,192,254</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Charter Communications Operating,</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Cable and Satellite Television</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F Loan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12/31/2020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2,682,707</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2,672,727</w:t>
            </w: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2,666,369</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LLC</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CHS/Community Health Systems,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2017 Term E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1/25/2017</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1,108,908</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1,082,718</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1,113,987</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CHS/Community Health Systems,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2021 Term D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1/27/2017</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2,955,608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2,862,024</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2,980,228</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Cinedigm Digital Funding I,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2/28/2018</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825,121</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820,892</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825,121</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Covanta Energy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Ecological Services and Equipment</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3/28/2019</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491,250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489,468</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492,788</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CPI International Acquisition, Inc.</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Electronics/Electric</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Term B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2/13/2017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4,622,500</w:t>
            </w:r>
          </w:p>
        </w:tc>
        <w:tc>
          <w:tcPr>
            <w:tcW w:w="20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4,611,092</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4,622,500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(f/k/a Catalyst Holdings, Inc.)</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Crosby US Acquisition Corp.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11/23/2020</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749,094</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748,312</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Crown Castle Operating Company</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Telecommunications/Cellular</w:t>
            </w:r>
          </w:p>
        </w:tc>
        <w:tc>
          <w:tcPr>
            <w:tcW w:w="20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Extended Incremental Tranche</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1/31/2019</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2,460,196</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2,441,025</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2,460,316</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B-2 Term Loan</w:t>
            </w: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Culligan International Company</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Dollar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12/19/2017</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787,658</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738,102</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734,491</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Culligan International Company</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Dollar Loan (Second Lien)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6/19/2018</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783,162</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732,061</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657,856</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Cumulus Media Holdings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Broadcast Radio and Television</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12/23/2020</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495,000</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502,815</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DaVita HealthCare Partners Inc. (fka</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Tranche B Term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10/20/2016</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3,909,320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3,909,320</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3,927,655</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DaVita Inc.)</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DCS Business Services,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3/19/2018</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3,831,595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3,792,824</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3,735,805</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DealerTrack Technologies,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Computers &amp; Electronics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2/28/2021</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Dell International LLC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4/29/2020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1,982,818</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1,988,935</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Delos Finance</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Leasing</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2/26/2021</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Deluxe Entertainment Services Group</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Media</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Initial Term Loan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2/28/2020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Digitalglobe,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Ecological Services and Equipment</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248,125</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248,125</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247,815</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Drew Marine Group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11/19/2020</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499,397</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502,500</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Dunkin' Brands,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B-4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2/14/2020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3,956,731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3,946,925</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3,936,948</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DynCorp International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7/7/2016</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486,442</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482,619</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488,573</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Education Management LLC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C-2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6/1/2016</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3,882,152</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3,746,734</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3,544,405</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EIG Investors Corp.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11/9/2019</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997,500</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992,713</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1,003,734</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Energy Transfer Equity, L.P.</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12/2/2019</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997,599</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998,750</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Evergreen Acqco 1 LP</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New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7/9/2019</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492,516</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488,615</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493,900</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EWT Holdings III Corp. (fka WTG</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Industrial Equipment</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4.75%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1/15/2021</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0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995,084</w:t>
            </w: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1,002,500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Holdings III Corp.)</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Federal-Mogul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12/29/2014</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2,220,981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2,187,068</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2,202,747</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Federal-Mogul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C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2.14%</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12/28/2015</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1,307,032</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1,270,847</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1,296,301</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 Data Corporation</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Intermediaries</w:t>
            </w:r>
          </w:p>
        </w:tc>
        <w:tc>
          <w:tcPr>
            <w:tcW w:w="20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2017 Second New Dollar Term</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3/24/2017</w:t>
            </w:r>
          </w:p>
        </w:tc>
        <w:tc>
          <w:tcPr>
            <w:tcW w:w="9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2,111,028</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2,010,799</w:t>
            </w: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2,109,276</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080" w:type="dxa"/>
            <w:vAlign w:val="bottom"/>
            <w:vMerge w:val="continue"/>
            <w:shd w:val="clear" w:color="auto" w:fill="CCEEFF"/>
          </w:tcPr>
          <w:p>
            <w:pPr>
              <w:spacing w:after="0"/>
              <w:rPr>
                <w:sz w:val="14"/>
                <w:szCs w:val="14"/>
                <w:color w:val="auto"/>
              </w:rPr>
            </w:pPr>
          </w:p>
        </w:tc>
        <w:tc>
          <w:tcPr>
            <w:tcW w:w="2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 Data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Intermediaries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2018 Dollar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3/23/2018</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2,290,451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2,231,370</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2,292,741</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FMG Resources (August 2006) Pty</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Nonferrous Metals/Minerals</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6/28/2019</w:t>
            </w:r>
          </w:p>
        </w:tc>
        <w:tc>
          <w:tcPr>
            <w:tcW w:w="9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997,500</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995,122</w:t>
            </w: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1,006,438</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LTD (FMG America Finance, Inc.)</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Four Seasons Holdings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Lodging &amp; Casinos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6/27/2020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Garda World Security Corporation</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Delayed Draw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11/6/2020</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203,194</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202,218</w:t>
            </w: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203,363</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Garda World Security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794,306</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790,489</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794,965</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Gardner Denver,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Oil &amp; Gas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Dollar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7/30/2020</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1,496,250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1,485,394</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1,489,337</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Generac Power Systems,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5/31/2020</w:t>
            </w: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868,414</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852,908</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868,258</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Nutrition Centers, Inc.</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Tranche B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3/4/2019</w:t>
            </w:r>
          </w:p>
        </w:tc>
        <w:tc>
          <w:tcPr>
            <w:tcW w:w="9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4,740,112</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4,722,664</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4,725,892</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Global Tel*Link Corporation</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5/23/2020</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1,920,175</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1,915,905</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1,900,014</w:t>
            </w: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Goodyear Tire &amp; Rubber Company,</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Chemicals/Plastics</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(Second Lien)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4.75%</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4/30/2019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w:t>
            </w:r>
          </w:p>
        </w:tc>
        <w:tc>
          <w:tcPr>
            <w:tcW w:w="2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3,941,039</w:t>
            </w:r>
          </w:p>
        </w:tc>
        <w:tc>
          <w:tcPr>
            <w:tcW w:w="10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4,037,000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Grosvenor Capital Management</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Brokers/Dealers/Investment Houses</w:t>
            </w:r>
          </w:p>
        </w:tc>
        <w:tc>
          <w:tcPr>
            <w:tcW w:w="2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Initial Term Loan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1/4/2021</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3,482,803</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3,489,080</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Holdings, LP</w:t>
            </w:r>
          </w:p>
        </w:tc>
        <w:tc>
          <w:tcPr>
            <w:tcW w:w="2080" w:type="dxa"/>
            <w:vAlign w:val="bottom"/>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Harland Clarke Holdings Corp. (fka</w:t>
            </w:r>
          </w:p>
        </w:tc>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Publishing</w:t>
            </w:r>
          </w:p>
        </w:tc>
        <w:tc>
          <w:tcPr>
            <w:tcW w:w="208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Tranche B-4 Term Loan</w:t>
            </w:r>
          </w:p>
        </w:tc>
        <w:tc>
          <w:tcPr>
            <w:tcW w:w="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8/4/2019</w:t>
            </w:r>
          </w:p>
        </w:tc>
        <w:tc>
          <w:tcPr>
            <w:tcW w:w="9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497,500</w:t>
            </w: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500,780</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Clarke American Corp.)</w:t>
            </w:r>
          </w:p>
        </w:tc>
        <w:tc>
          <w:tcPr>
            <w:tcW w:w="2080" w:type="dxa"/>
            <w:vAlign w:val="bottom"/>
            <w:vMerge w:val="continue"/>
            <w:shd w:val="clear" w:color="auto" w:fill="CCEEFF"/>
          </w:tcPr>
          <w:p>
            <w:pPr>
              <w:spacing w:after="0"/>
              <w:rPr>
                <w:sz w:val="14"/>
                <w:szCs w:val="14"/>
                <w:color w:val="auto"/>
              </w:rPr>
            </w:pPr>
          </w:p>
        </w:tc>
        <w:tc>
          <w:tcPr>
            <w:tcW w:w="2080" w:type="dxa"/>
            <w:vAlign w:val="bottom"/>
            <w:gridSpan w:val="3"/>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HCA Inc.</w:t>
            </w:r>
          </w:p>
        </w:tc>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B-4 Term Loan</w:t>
            </w: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2.94%</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5/1/2018</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5,720,353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5,390,148</w:t>
            </w:r>
          </w:p>
        </w:tc>
        <w:tc>
          <w:tcPr>
            <w:tcW w:w="10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5,713,947</w:t>
            </w: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Hertz Corporation, The</w:t>
            </w:r>
          </w:p>
        </w:tc>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Automotive</w:t>
            </w:r>
          </w:p>
        </w:tc>
        <w:tc>
          <w:tcPr>
            <w:tcW w:w="20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Tranche B-1 Term Loan</w:t>
            </w:r>
          </w:p>
        </w:tc>
        <w:tc>
          <w:tcPr>
            <w:tcW w:w="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3/11/2018</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2,970,000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3,005,791</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2,973,683</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Hologic, Inc.</w:t>
            </w:r>
          </w:p>
        </w:tc>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Healthcare</w:t>
            </w:r>
          </w:p>
        </w:tc>
        <w:tc>
          <w:tcPr>
            <w:tcW w:w="20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Refinancing Tranche A Term</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Loan</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2.19%</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8/1/2017</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2,312,500</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2,307,973</w:t>
            </w:r>
          </w:p>
        </w:tc>
        <w:tc>
          <w:tcPr>
            <w:tcW w:w="100" w:type="dxa"/>
            <w:vAlign w:val="bottom"/>
          </w:tcPr>
          <w:p>
            <w:pPr>
              <w:spacing w:after="0"/>
              <w:rPr>
                <w:sz w:val="10"/>
                <w:szCs w:val="10"/>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2,313,425</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Loan</w:t>
            </w:r>
          </w:p>
        </w:tc>
        <w:tc>
          <w:tcPr>
            <w:tcW w:w="4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780" w:type="dxa"/>
            <w:vAlign w:val="bottom"/>
            <w:shd w:val="clear" w:color="auto" w:fill="CCEEFF"/>
          </w:tcPr>
          <w:p>
            <w:pPr>
              <w:spacing w:after="0"/>
              <w:rPr>
                <w:sz w:val="6"/>
                <w:szCs w:val="6"/>
                <w:color w:val="auto"/>
              </w:rPr>
            </w:pPr>
          </w:p>
        </w:tc>
        <w:tc>
          <w:tcPr>
            <w:tcW w:w="1600" w:type="dxa"/>
            <w:vAlign w:val="bottom"/>
            <w:tcBorders>
              <w:right w:val="single" w:sz="8" w:color="CCEEFF"/>
            </w:tcBorders>
            <w:shd w:val="clear" w:color="auto" w:fill="CCEEFF"/>
          </w:tcPr>
          <w:p>
            <w:pPr>
              <w:spacing w:after="0"/>
              <w:rPr>
                <w:sz w:val="6"/>
                <w:szCs w:val="6"/>
                <w:color w:val="auto"/>
              </w:rPr>
            </w:pPr>
          </w:p>
        </w:tc>
        <w:tc>
          <w:tcPr>
            <w:tcW w:w="2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66" w:right="239" w:bottom="0" w:gutter="0" w:footer="0" w:header="0"/>
        </w:sectPr>
      </w:pPr>
    </w:p>
    <w:bookmarkStart w:id="128" w:name="page129"/>
    <w:bookmarkEnd w:id="1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Hunter Defense Technologies, Inc.</w:t>
            </w: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Aerospace and Defense</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w:t>
            </w:r>
          </w:p>
        </w:tc>
        <w:tc>
          <w:tcPr>
            <w:tcW w:w="9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8/22/2014</w:t>
            </w:r>
          </w:p>
        </w:tc>
        <w:tc>
          <w:tcPr>
            <w:tcW w:w="9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3,470,285</w:t>
            </w:r>
          </w:p>
        </w:tc>
        <w:tc>
          <w:tcPr>
            <w:tcW w:w="10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3,460,723</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3,262,068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Huntsman International LLC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Extended Term B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4/19/2017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3,920,000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3,892,467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3,919,020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Ikaria,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Term Loan (First Lien)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2/12/2021</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497,515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502,815</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Infor (US), Inc. (fka Lawson Software</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Tranche B-5 Term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6/3/2020</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1,776,183</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1,758,861</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1,772,488</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Inventiv Health, Inc. (fka Ventive</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8/4/2016</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492,090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492,090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491,105</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 Crew Group, Inc.</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Retailers (Except Food and Drugs)</w:t>
            </w:r>
          </w:p>
        </w:tc>
        <w:tc>
          <w:tcPr>
            <w:tcW w:w="19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Term B-1 Loan Retired</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3/7/2018</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972,500</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972,500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972,656</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218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03/05/2014</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JFB Firth Rixson Inc.</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2013 Replacement Dollar Term</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6/30/2017</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2,564,311</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2,554,534</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2,568,054</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Facility Loan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Kinetic Concepts,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Dollar Term D-1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490,057</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475,404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492,508</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 Quinta Intermediate Holdings</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Gaming and Hotels</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Initial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2/19/2021</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500,000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500,000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L.L.C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Michaels Stores,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1/28/2020</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496,250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497,302</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Microsemi Corporation</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Incremental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2/19/2020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499,373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Microsemi Corporation</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2/19/2020</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2,393,981</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2,389,463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2,398,482</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Mitel US Holdings,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248,753</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252,083</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National CineMedia, LLC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11/26/2019</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1,086,207</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1,054,177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1,082,134</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Newsday, LLC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10/12/2016</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2,215,385</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2,213,416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2,215,385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Novelis,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3/10/2017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4,857,520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4,868,347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4,873,452</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NPC International,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Food Services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12/28/2018</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490,833</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490,833</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493,597</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NRG Energy,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Utilities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3,900,525</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3,875,534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3,872,168</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NuSil Technology LLC.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4/7/2017</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809,163</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809,163</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799,558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OEP Pearl Dutch Acquisition B.V.</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BV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142,422</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140,466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143,846</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 Assignment,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Term B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5/15/2020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1,311,364</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1,303,125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1,312,190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Onex Carestream Finance LP</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(First Lien 2013)</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2/25/2017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4,531,159</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4,511,264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4,582,135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OpenLink International,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Computers &amp; Electronics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Replacement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10/30/2017</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980,000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980,000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980,000</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P.F. Chang's China Bistro, Inc. (Wok</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Food/Drug Retailers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Term Borrowing</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6/22/2019</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1,496,212</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1,488,641</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1,509,675</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Corp.)</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P2 Upstream Acquisition Co. (P2</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 (First Lien)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10/30/2020</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1,000,000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995,186</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1,008,750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Upstream Canada BC ULC)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Patheon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3/11/2021</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2,992,500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2,990,640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PetCo Animal Supplies,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Retailers (Except Food and Drugs)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New Loans</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11/24/2017</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1,484,694</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1,483,250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1,489,103</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Pharmaceutical Product Development,</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2013 Term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12/5/2018</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1,960,200</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1,936,226</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1,967,845</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 (Jaguar Holdings, LLC)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Pinnacle Foods Finance LLC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Food Products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New Term Loan G</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4/29/2020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4,962,500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4,951,514</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4,942,352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Polymer Group,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12/19/2019</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497,500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501,875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Prestige Brands,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B-1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1/31/2019</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435,606</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430,195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437,022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 Mach,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7/6/2017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1,945,655</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1,934,699</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1,955,383</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Progressive Waste Solutions Ltd.</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Ecological Services and Equipment</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10/24/2019</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498,741</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498,741</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500,486</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Quintiles Transnational Corp.</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B-3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6/8/2018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3,681,541</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3,646,328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3,685,186</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Redtop Acquisitions Limited</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Initial Dollar Term Loan (First</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12/3/2020</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500,000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496,369</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502,915</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Lien)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Rexnord LLC/RBS Global,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1,663,476</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1,663,476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1,667,035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Reynolds Group Holdings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Incremental U.S.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9/28/2018</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1,980,000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1,980,000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1,993,365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Rocket Software,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1,960,025</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1,934,083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1,960,515</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Rovi Solutions Corporation / Rovi</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Tranche A-2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3/29/2017</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1,562,552</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1,552,098</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1,562,552</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Guides, 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Rovi Solutions Corporation / Rovi</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Tranche B-3 Term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3/29/2019</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1,344,450</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1,339,560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1,341,088</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Guides, 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RPI Finance Trust</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Drugs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B-2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5/9/2018</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5,308,218</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5,283,397</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5,339,165</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Scitor Corporation</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2/15/2017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463,977</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462,831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460,354</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Sensata Technologies B.V./Sensata</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5/12/2019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1,524,730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1,524,730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1,529,106</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 Finance Company, LLC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Sensus USA Inc. (fka Sensus Metering</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Utilities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Term Loan (First Lien)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5.75%</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5/9/2017</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1,945,013</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1,939,821</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1,957,987</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Systems)</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ServiceMaster Company, The</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1/31/2017</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2,822,729</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2,830,165</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2,825,552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 Organization, Inc., The</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New Tranche B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11/22/2016</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3,880,675</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3,863,008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3,800,655</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Sonneborn, LLC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US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807,059</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795,976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815,130</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Sophia, L.P.</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Electronics/Electric</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7/19/2018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928,389</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917,174</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934,191</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Southwire Company, LLC (f.k.a</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Building and Development</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Initial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2/10/2021</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500,000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498,758</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499,730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Southwire Company)</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SRA International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7/20/2018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3,268,571</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3,184,532</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3,276,743</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SRAM, LLC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(First Lien)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4/10/2020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3,304,614</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3,278,551</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3,304,614</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SS&amp;C Technologies Holdings Europe</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2013 Replacement Term B-2</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6/7/2019</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64,638</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64,070</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64,839</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S.A.R.L.</w:t>
            </w:r>
          </w:p>
        </w:tc>
        <w:tc>
          <w:tcPr>
            <w:tcW w:w="2180" w:type="dxa"/>
            <w:vAlign w:val="bottom"/>
            <w:vMerge w:val="continue"/>
          </w:tcPr>
          <w:p>
            <w:pPr>
              <w:spacing w:after="0"/>
              <w:rPr>
                <w:sz w:val="14"/>
                <w:szCs w:val="14"/>
                <w:color w:val="auto"/>
              </w:rPr>
            </w:pPr>
          </w:p>
        </w:tc>
        <w:tc>
          <w:tcPr>
            <w:tcW w:w="1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SS&amp;C Technologies, Inc., /Sunshine</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2013 Replacement Term B-1</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624,838</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619,344</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626,782</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II, Inc.</w:t>
            </w: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SunCoke Energy,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Nonferrous Metals/Minerals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7/26/2018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1,367,311</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1,359,200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1,367,311</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SunGard Data Systems Inc (Solar</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Tranche C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2/28/2017</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304,311</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302,167</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305,452</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Corp.)</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SunGard Data Systems Inc (Solar</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Tranche E Term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3/8/2020</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4,221,845</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4,096,936</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4,238,944</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Capital Corp.)</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SuperMedia Inc. (fka Idearc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Publishing</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12/30/2016</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264,330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257,131</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196,762</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Syniverse Holdings,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Initial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4/23/2019</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479,913</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476,371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480,911</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Taminco Global Chemical Corporation</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Initial Tranche B-3 Dollar Term</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2/15/2019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1,473,863</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1,464,165</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1,473,406</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Team Health,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6/29/2018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4,387,500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4,373,856</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4,387,500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TECTUM HOLDINGS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12/3/2015</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3,800,160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3,788,706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3,762,159</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Tomkins, LLC / Tomkins, Inc. (f/k/a</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Conglomerate</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Term B-2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9/29/2016</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2,356,680</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2,360,795</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2,361,982</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Pinafore, LLC / Pinafore, 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TransDigm Inc.</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Tranche C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4,896,514</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4,904,843</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4,914,876</w:t>
            </w: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Tricorbraun Inc. (fka Kranson</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Containers/Glass Products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Term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5/3/2018</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1,902,083</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1,895,432</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1,903,282</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Industries, 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Truven Health Analytics Inc. (fka</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New Tranche B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492,528</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484,755</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493,513</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Thomson Reuters (Healthcare) 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U.S. Security Associates Holdings,</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Delayed Draw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7/28/2017</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160,148</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159,235</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160,348</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 Security Associates Holdings,</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7/28/2017</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122,494</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122,109</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122,648</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U.S. Security Associates Holdings,</w:t>
            </w:r>
          </w:p>
        </w:tc>
        <w:tc>
          <w:tcPr>
            <w:tcW w:w="2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7/28/2017</w:t>
            </w: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818,172</w:t>
            </w:r>
          </w:p>
        </w:tc>
        <w:tc>
          <w:tcPr>
            <w:tcW w:w="10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813,513</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819,195</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U.S. Silica Company</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Nonferrous Metals/Minerals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7/23/2020</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1,950,200</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1,941,292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1,954,256</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Xpress Enterprises,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Industrial Equipment</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Extended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11/13/2016</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2,805,278</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2,766,405</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2,777,225</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United Surgical Partners International,</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Healthcare</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New Tranche B Term Loan</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2,456,500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2,429,626</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2,470,821</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Univar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B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3,884,944</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3,884,238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3,859,225</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Univision Communications Inc.</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Telecommunications</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Replacement First-Lien Term</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3/1/2020</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2,977,500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2,959,200</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2,984,467</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UPC Financing Partnership</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Broadcast Radio and Television</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Facility AF</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1/31/2021</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974,618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1,002,500</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Valeant Pharmaceuticals International,</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Drugs</w:t>
            </w:r>
          </w:p>
        </w:tc>
        <w:tc>
          <w:tcPr>
            <w:tcW w:w="1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Series D2 Term Loan B</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2/13/2019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2,947,688</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2,936,432</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2,955,528</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w:t>
            </w:r>
          </w:p>
        </w:tc>
        <w:tc>
          <w:tcPr>
            <w:tcW w:w="2180" w:type="dxa"/>
            <w:vAlign w:val="bottom"/>
            <w:vMerge w:val="continue"/>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Verint Systems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9/6/2019</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1,900,800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1,892,737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1,904,602</w:t>
            </w:r>
          </w:p>
        </w:tc>
        <w:tc>
          <w:tcPr>
            <w:tcW w:w="0" w:type="dxa"/>
            <w:vAlign w:val="bottom"/>
          </w:tcPr>
          <w:p>
            <w:pPr>
              <w:spacing w:after="0"/>
              <w:rPr>
                <w:sz w:val="1"/>
                <w:szCs w:val="1"/>
                <w:color w:val="auto"/>
              </w:rPr>
            </w:pPr>
          </w:p>
        </w:tc>
      </w:tr>
      <w:tr>
        <w:trPr>
          <w:trHeight w:val="126"/>
        </w:trPr>
        <w:tc>
          <w:tcPr>
            <w:tcW w:w="2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Verint Systems Inc.</w:t>
            </w:r>
          </w:p>
        </w:tc>
        <w:tc>
          <w:tcPr>
            <w:tcW w:w="2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Tranche B Incremental Term</w:t>
            </w:r>
          </w:p>
        </w:tc>
        <w:tc>
          <w:tcPr>
            <w:tcW w:w="5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9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9/6/2019</w:t>
            </w:r>
          </w:p>
        </w:tc>
        <w:tc>
          <w:tcPr>
            <w:tcW w:w="9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1,000,000</w:t>
            </w:r>
          </w:p>
        </w:tc>
        <w:tc>
          <w:tcPr>
            <w:tcW w:w="10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997,521</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spacing w:after="0"/>
              <w:rPr>
                <w:sz w:val="14"/>
                <w:szCs w:val="14"/>
                <w:color w:val="auto"/>
              </w:rPr>
            </w:pPr>
          </w:p>
        </w:tc>
        <w:tc>
          <w:tcPr>
            <w:tcW w:w="2180" w:type="dxa"/>
            <w:vAlign w:val="bottom"/>
            <w:vMerge w:val="continue"/>
            <w:shd w:val="clear" w:color="auto" w:fill="CCEEFF"/>
          </w:tcPr>
          <w:p>
            <w:pPr>
              <w:spacing w:after="0"/>
              <w:rPr>
                <w:sz w:val="14"/>
                <w:szCs w:val="14"/>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Vertafore, Inc.</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Term Loan (2013)</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10/3/2019</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2,899,621</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2,899,621</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2,909,770</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Visant Corporation (fka Jostens)</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Leisure Goods/Activities/Movies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Tranche B Term Loan (2011)</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12/22/2016</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3,658,446</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3,658,446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3,607,008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W.R. Grace &amp; Co.-CONN</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Delayed Draw Term Loan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2/3/2021</w:t>
            </w:r>
          </w:p>
        </w:tc>
        <w:tc>
          <w:tcPr>
            <w:tcW w:w="92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W.R. Grace &amp; Co.-CONN</w:t>
            </w:r>
          </w:p>
        </w:tc>
        <w:tc>
          <w:tcPr>
            <w:tcW w:w="2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Chemicals/Plastics</w:t>
            </w:r>
          </w:p>
        </w:tc>
        <w:tc>
          <w:tcPr>
            <w:tcW w:w="19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U.S. Term Loan</w:t>
            </w:r>
          </w:p>
        </w:tc>
        <w:tc>
          <w:tcPr>
            <w:tcW w:w="5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9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2/3/2021</w:t>
            </w:r>
          </w:p>
        </w:tc>
        <w:tc>
          <w:tcPr>
            <w:tcW w:w="92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368,421</w:t>
            </w:r>
          </w:p>
        </w:tc>
        <w:tc>
          <w:tcPr>
            <w:tcW w:w="10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367,502</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367,828</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Washington Inventory Service</w:t>
            </w:r>
          </w:p>
        </w:tc>
        <w:tc>
          <w:tcPr>
            <w:tcW w:w="2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Business Equipment and Services</w:t>
            </w:r>
          </w:p>
        </w:tc>
        <w:tc>
          <w:tcPr>
            <w:tcW w:w="19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U.S. Term Loan (First Lien)</w:t>
            </w:r>
          </w:p>
        </w:tc>
        <w:tc>
          <w:tcPr>
            <w:tcW w:w="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9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12/20/2018</w:t>
            </w:r>
          </w:p>
        </w:tc>
        <w:tc>
          <w:tcPr>
            <w:tcW w:w="9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1,980,000</w:t>
            </w: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2,004,187</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1,965,150</w:t>
            </w:r>
          </w:p>
        </w:tc>
        <w:tc>
          <w:tcPr>
            <w:tcW w:w="0" w:type="dxa"/>
            <w:vAlign w:val="bottom"/>
          </w:tcPr>
          <w:p>
            <w:pPr>
              <w:spacing w:after="0"/>
              <w:rPr>
                <w:sz w:val="1"/>
                <w:szCs w:val="1"/>
                <w:color w:val="auto"/>
              </w:rPr>
            </w:pPr>
          </w:p>
        </w:tc>
      </w:tr>
      <w:tr>
        <w:trPr>
          <w:trHeight w:val="70"/>
        </w:trPr>
        <w:tc>
          <w:tcPr>
            <w:tcW w:w="23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7" w:right="23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Wendy's International, Inc</w:t>
            </w:r>
          </w:p>
        </w:tc>
        <w:tc>
          <w:tcPr>
            <w:tcW w:w="2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Food Services</w:t>
            </w:r>
          </w:p>
        </w:tc>
        <w:tc>
          <w:tcPr>
            <w:tcW w:w="2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Term B Loan</w:t>
            </w:r>
          </w:p>
        </w:tc>
        <w:tc>
          <w:tcPr>
            <w:tcW w:w="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w:t>
            </w: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3.25%</w:t>
            </w:r>
          </w:p>
        </w:tc>
        <w:tc>
          <w:tcPr>
            <w:tcW w:w="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5/15/2019</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680,469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674,563</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679,197</w:t>
            </w: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Wesco Aircraft Hardware Corp.</w:t>
            </w:r>
          </w:p>
        </w:tc>
        <w:tc>
          <w:tcPr>
            <w:tcW w:w="2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20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Tranche B Term Loan</w:t>
            </w:r>
          </w:p>
        </w:tc>
        <w:tc>
          <w:tcPr>
            <w:tcW w:w="8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2/28/2021</w:t>
            </w:r>
          </w:p>
        </w:tc>
        <w:tc>
          <w:tcPr>
            <w:tcW w:w="9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498,750</w:t>
            </w:r>
          </w:p>
        </w:tc>
        <w:tc>
          <w:tcPr>
            <w:tcW w:w="10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498,750</w:t>
            </w:r>
          </w:p>
        </w:tc>
      </w:tr>
      <w:tr>
        <w:trPr>
          <w:trHeight w:val="149"/>
        </w:trPr>
        <w:tc>
          <w:tcPr>
            <w:tcW w:w="2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Corporation</w:t>
            </w:r>
          </w:p>
        </w:tc>
        <w:tc>
          <w:tcPr>
            <w:tcW w:w="2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20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Term B-10 Loan</w:t>
            </w:r>
          </w:p>
        </w:tc>
        <w:tc>
          <w:tcPr>
            <w:tcW w:w="8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Loan</w:t>
            </w:r>
          </w:p>
        </w:tc>
        <w:tc>
          <w:tcPr>
            <w:tcW w:w="7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6/30/2018</w:t>
            </w:r>
          </w:p>
        </w:tc>
        <w:tc>
          <w:tcPr>
            <w:tcW w:w="90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2,926,111</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2,976,179</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2,909,666</w:t>
            </w:r>
          </w:p>
        </w:tc>
      </w:tr>
      <w:tr>
        <w:trPr>
          <w:trHeight w:val="156"/>
        </w:trPr>
        <w:tc>
          <w:tcPr>
            <w:tcW w:w="2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 xml:space="preserve"> 299,137,566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 xml:space="preserve"> 300,491,077</w:t>
            </w:r>
          </w:p>
        </w:tc>
        <w:tc>
          <w:tcPr>
            <w:tcW w:w="80" w:type="dxa"/>
            <w:vAlign w:val="bottom"/>
          </w:tcPr>
          <w:p>
            <w:pPr>
              <w:spacing w:after="0"/>
              <w:rPr>
                <w:sz w:val="13"/>
                <w:szCs w:val="13"/>
                <w:color w:val="auto"/>
              </w:rPr>
            </w:pPr>
          </w:p>
        </w:tc>
      </w:tr>
      <w:tr>
        <w:trPr>
          <w:trHeight w:val="20"/>
        </w:trPr>
        <w:tc>
          <w:tcPr>
            <w:tcW w:w="2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20"/>
          </w:cols>
          <w:pgMar w:left="240" w:top="127"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80" w:type="dxa"/>
            <w:vAlign w:val="bottom"/>
          </w:tcPr>
          <w:p>
            <w:pPr>
              <w:spacing w:after="0"/>
              <w:rPr>
                <w:sz w:val="13"/>
                <w:szCs w:val="13"/>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6640" w:type="dxa"/>
            <w:vAlign w:val="bottom"/>
          </w:tcPr>
          <w:p>
            <w:pPr>
              <w:spacing w:after="0"/>
              <w:rPr>
                <w:sz w:val="15"/>
                <w:szCs w:val="15"/>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2015</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2014</w:t>
            </w:r>
          </w:p>
        </w:tc>
        <w:tc>
          <w:tcPr>
            <w:tcW w:w="28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28, 2013</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FROM OPERATIONS:</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793,848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(2,143,630)</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1,033,327</w:t>
            </w: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620,817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(8,815,296)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2,532,558</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appreciation (depreciation) on investments</w:t>
            </w:r>
          </w:p>
        </w:tc>
        <w:tc>
          <w:tcPr>
            <w:tcW w:w="24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(3,874,583)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6,776,871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3,235,774</w:t>
            </w:r>
          </w:p>
        </w:tc>
      </w:tr>
      <w:tr>
        <w:trPr>
          <w:trHeight w:val="27"/>
        </w:trPr>
        <w:tc>
          <w:tcPr>
            <w:tcW w:w="6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(decrease) in net assets from operations</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(2,459,918)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(4,182,055)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6,801,659</w:t>
            </w:r>
          </w:p>
        </w:tc>
      </w:tr>
      <w:tr>
        <w:trPr>
          <w:trHeight w:val="223"/>
        </w:trPr>
        <w:tc>
          <w:tcPr>
            <w:tcW w:w="6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(2,459,918)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(4,182,055)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6,801,659</w:t>
            </w:r>
          </w:p>
        </w:tc>
        <w:tc>
          <w:tcPr>
            <w:tcW w:w="100" w:type="dxa"/>
            <w:vAlign w:val="bottom"/>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(3,343,238)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838,817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(5,962,842)</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at end of period</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(5,803,156</w:t>
            </w:r>
          </w:p>
        </w:tc>
        <w:tc>
          <w:tcPr>
            <w:tcW w:w="6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(3,343,238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838,817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420"/>
          </w:cols>
          <w:pgMar w:left="240" w:top="266"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 CLO 2013-1,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2015</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2014</w:t>
            </w:r>
          </w:p>
        </w:tc>
        <w:tc>
          <w:tcPr>
            <w:tcW w:w="2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28,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FROM OPERATIONS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(2,459,918)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(4,182,055)</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6,801,659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(DECREASE) IN NET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FROM OPERATIONS TO NET CASH PROVIDED BY (USED BY)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(167,097)</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accretion of discount on investments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(454,809)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(568,674)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deferred debt financing costs</w:t>
            </w:r>
          </w:p>
        </w:tc>
        <w:tc>
          <w:tcPr>
            <w:tcW w:w="14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953,862</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994,602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3,442,442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1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(620,817)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8,815,296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3,874,583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(6,776,871)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sale and redemption of investments</w:t>
            </w:r>
          </w:p>
        </w:tc>
        <w:tc>
          <w:tcPr>
            <w:tcW w:w="14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141,358,326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128,190,654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165,363,963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 of investments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(138,738,379)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(55,721,381)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(151,267,166)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(Increase) decrease in operating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160,315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134,033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Receivable from open trades</w:t>
            </w:r>
          </w:p>
        </w:tc>
        <w:tc>
          <w:tcPr>
            <w:tcW w:w="1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(318,421)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3,330,272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91,336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(91,336)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Increase (decrease) in operating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9,410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Payable for open trades</w:t>
            </w:r>
          </w:p>
        </w:tc>
        <w:tc>
          <w:tcPr>
            <w:tcW w:w="1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(4,230,669)</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(6,901,250)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base management fee</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10,904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subordinated management fee</w:t>
            </w:r>
          </w:p>
        </w:tc>
        <w:tc>
          <w:tcPr>
            <w:tcW w:w="14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10,904</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(97,629)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PROVIDED BY OPERATING ACTIVITIES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(520,470)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70,546,218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10,989,789</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277,711,620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Paydowns on debt</w:t>
            </w:r>
          </w:p>
        </w:tc>
        <w:tc>
          <w:tcPr>
            <w:tcW w:w="1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(1,666,666)</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(366,793,378)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debt financing costs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(2,250,398)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(1,666,666)</w:t>
            </w:r>
          </w:p>
        </w:tc>
        <w:tc>
          <w:tcPr>
            <w:tcW w:w="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(91,332,156)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(2,187,136)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(20,785,938)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8,018,933</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28,804,871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17,815,082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5,831,797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8,018,933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28,804,871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9,625,726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11,722,159</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167,097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10,122</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accretion of discount on investments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454,809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568,674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debt financing costs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953,862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994,602</w:t>
            </w: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1,015,332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20"/>
          </w:cols>
          <w:pgMar w:left="240" w:top="266" w:right="2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SARATOGA INVESTMENT CORP. CLO 2013-1,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Purpose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Saratoga Investment Corp. CLO 2013-1, Ltd. (the “Issuer”, “we”, “our”, “us”, “CLO” and “Saratoga CLO”), an exempted company with limited liability incorporated under the laws of the Cayman Islands was formed on November 28, 2007 and commenced operations on January 22, 2008. The Issuer was established to acquire or participate in U.S. dollar-denominated corporate debt obligations.</w:t>
      </w:r>
    </w:p>
    <w:p>
      <w:pPr>
        <w:spacing w:after="0" w:line="176"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an indenture, dated January 22, 2008 (the “Indenture”), with U.S. Bank National Association (the “Trustee”) servicing as the Trustee there under.</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October 17, 2013, in a refinancing transaction,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As of February 28, 2015, Saratoga Investment Corp. owned 100% of the Subordinated Notes of the CLO.</w:t>
      </w:r>
    </w:p>
    <w:p>
      <w:pPr>
        <w:spacing w:after="0" w:line="188"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Pursuant to an investment management agreement (the “Investment Management Agreement”), Saratoga Investment Corp. (the “Investment Manager”), provides investment management services to the Issuer, and makes day-to-day investment decisions concerning the assets of the Issuer. The Investment Manager also performs certain administrative services on behalf of the Issuer under the Investment Management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(“U.S. GAAP”) and are stated in U.S. dollars. The following is a summary of the significant accounting policies followed by the Issuer in the preparation of its financial statements.</w:t>
      </w:r>
    </w:p>
    <w:p>
      <w:pPr>
        <w:spacing w:after="0" w:line="160"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8"/>
          <w:szCs w:val="18"/>
          <w:color w:val="auto"/>
        </w:rPr>
        <w:t xml:space="preserve">The Issuer is considered to be an investment company for financial reporting purposes and has applied the guidance in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Companies.” </w:t>
      </w:r>
      <w:r>
        <w:rPr>
          <w:rFonts w:ascii="Times New Roman" w:cs="Times New Roman" w:eastAsia="Times New Roman" w:hAnsi="Times New Roman"/>
          <w:sz w:val="18"/>
          <w:szCs w:val="18"/>
          <w:color w:val="auto"/>
        </w:rPr>
        <w:t>There has been no change to the Issuer’s status as an investment company during the year ended February 28,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the Investment Manager to make estimates and assumptions that affect the reported amounts of assets and liabilities at the date of the financial statements, including the fair value of investments, and the amounts of income and expenses during the reporting period. Actual results could differ from these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Issuer defines cash and cash equivalents as highly liquid financial instruments with original maturities of three months or less. Cash and cash equivalents may include investments in money market mutual funds, which are carried at fair value. At February 28, 2015 and February 28, 2014, cash and cash equivalents amounted to $5.8 million and $8.0 million, respectively, and are swept on an overnight basis into a money market deposit account and invested in shares of JP Morgan Liquidity Institutional fund held at the Trustee.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266" w:right="2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Valuation of Investments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Issuer accounts for its investments at fair value in accordance with the Financial Accounting Standards Board (“FASB”) Accounting Standards Codification (“ASC”) Topic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the Issuer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fair valued at such market quotations obtained from independent third party pricing services and market makers subject to any decision by the Investment Manager to approve a fair value determination to reflect significant events affecting the value of these investments. The Investment Manager values investments for which market quotations are not readily available at fair value. Determinations of fair value may involve significant judgments and estimates. The types of factors that may be considered in determining the fair value of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are ultimately realized upon the disposal of such investments.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Transactions and Income Recognition</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Issuer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the Investment Manager’s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Paid-in-Kind Interest</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Issuer holds debt investments in its portfolio that contain a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Debt Financing Costs, net</w:t>
      </w:r>
    </w:p>
    <w:p>
      <w:pPr>
        <w:spacing w:after="0" w:line="11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April 2015, the FASB has issued Accounting Standards Update (“ASU”) No. 2015-03, </w:t>
      </w:r>
      <w:r>
        <w:rPr>
          <w:rFonts w:ascii="Times New Roman" w:cs="Times New Roman" w:eastAsia="Times New Roman" w:hAnsi="Times New Roman"/>
          <w:sz w:val="18"/>
          <w:szCs w:val="18"/>
          <w:i w:val="1"/>
          <w:iCs w:val="1"/>
          <w:color w:val="auto"/>
        </w:rPr>
        <w:t>Interest—Imputation of Interest (Subtopic 835-30):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Simplifying the Presentation of Debt Issuance Costs </w:t>
      </w:r>
      <w:r>
        <w:rPr>
          <w:rFonts w:ascii="Times New Roman" w:cs="Times New Roman" w:eastAsia="Times New Roman" w:hAnsi="Times New Roman"/>
          <w:sz w:val="18"/>
          <w:szCs w:val="18"/>
          <w:color w:val="auto"/>
        </w:rPr>
        <w:t>(“ASU 2015-03”). The amendments in this ASU require that debt issuance costs related to a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liability be presented in the balance sheet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Management has adopted the provisions of ASU 2015-03 as of February 28, 2015, by reclassifying deferred debt financing costs from within total assets to within total liabilities as a contra-liability. The adoption of the provisions of ASU 2015-03 did not materially impact the Issuer’s financial position or results of operations. Prior period amounts were reclassified to conform to the current period presentation.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268" w:right="259" w:bottom="1440" w:gutter="0" w:footer="0" w:header="0"/>
        </w:sectPr>
      </w:pPr>
    </w:p>
    <w:bookmarkStart w:id="134" w:name="page135"/>
    <w:bookmarkEnd w:id="134"/>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Included in deferred debt financing costs of $1.9 million as of February 28, 2015 are structuring fees of the investment bank, rating agency fees and legal fees associated with the issuance of the 2013-1 CLO Notes on October 17, 2013. Such costs have been capitalized and amortized using an effective yield method, over the life of the related notes.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Included in deferred debt financing costs of $2.2 million as of February 28, 2014 are structuring fees of the investment bank, rating agency fees and legal fees associated with the issuance of the 2013-1 CLO Notes on October 17, 2013. Such costs have been capitalized and amortized using an effective yield method, over the life of the related notes.</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Deferred debt financing costs of $1.6 million, incurred in connection with the issuance of the Secured Notes, were expensed when the Secured Notes were extinguished on October 17, 2013.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Issuer is externally managed by the Investment Manager pursuant to the Investment Management Agreement. As compensation for the performance of its obligations under the Investment Management Agreement, the Investment Manager is entitled to receive from the Issuer a base management fee (the “Base Management Fee”), a subordinated management fee (the “Subordinated Management Fee”) and an incentive management fee (the “Incentive Management Fee”). The Base Management Fee is payable in arrears quarterly (subject to availability of funds and to the satisfaction of payment obligations on the debt obligations of the Issuer (the “Priority of Payments”) in an amount equal to 0.25% per annum of the Fee Basis Amount at the beginning of the Collection Period. The Subordinated Management Fee is payable in arrears quarterly (subject to availability of funds and to the Priority of Payments) in an amount equal to 0.25% per annum of the Fee Basis Amount at the beginning of the Collection Period. The Incentive Management Fee equals 20% of the remaining interest proceeds and principal proceeds, if any, after the Subordinated Notes have realized the incentive management fee target return of 12.0%, in accordance with the Priority of Payments after making the prior distributions on the relevant payment date. For the years ended February 28, 2015, 2014 and 2013, no Incentive Management Fee’s have been paid.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Issuer bears its own organizational and offering expenses, all expenses related to its investment program and expenses incurred in connection with its operations including, but not limited to, external legal, administrative, trustee, accounting, tax and audit expenses, costs related to trading, acquiring, monitoring or disposing of investments of the Issuer, and interest and other borrowing expenses, expenses of preparing and distributing reports, financial statements, and litigation or other extraordinary expenses. The Issuer has retained the Trustee to provide trustee services. Additionally, the Trustee performs loan administration, debt covenant compliance calculations, and monitoring and reporting services. For the years ended February 28, 2015, 2014 and 2013, the Issuer paid $0.1 million, $0.1 million, $0.1 million, respectively, for trustee services provided and is included in other expenses in the Statement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Issuer has issued rated and unrated notes to finance its operations. Interest on debt is calculated by the Trustee for the Issuer. Interest is accrued and generally paid quarterly. For the years ended February 28, 2015, 2014 and 2013, $3.7 million, $5.7 million, $8.8 million of payments to the Subordinated Notes were included in interest expense in the Statement of Operations,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w:t>
      </w:r>
    </w:p>
    <w:p>
      <w:pPr>
        <w:spacing w:after="0" w:line="119" w:lineRule="exact"/>
        <w:rPr>
          <w:sz w:val="20"/>
          <w:szCs w:val="20"/>
          <w:color w:val="auto"/>
        </w:rPr>
      </w:pPr>
    </w:p>
    <w:p>
      <w:pPr>
        <w:ind w:right="360" w:firstLine="456"/>
        <w:spacing w:after="0" w:line="313" w:lineRule="auto"/>
        <w:rPr>
          <w:sz w:val="20"/>
          <w:szCs w:val="20"/>
          <w:color w:val="auto"/>
        </w:rPr>
      </w:pPr>
      <w:r>
        <w:rPr>
          <w:rFonts w:ascii="Times New Roman" w:cs="Times New Roman" w:eastAsia="Times New Roman" w:hAnsi="Times New Roman"/>
          <w:sz w:val="17"/>
          <w:szCs w:val="17"/>
          <w:color w:val="auto"/>
        </w:rPr>
        <w:t>In the ordinary course of its business, the Issuer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Issuer is also exposed to credit risk related to maintaining all of its cash and cash equivalents, including those in reserve accounts, at a major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20"/>
          </w:cols>
          <w:pgMar w:left="240" w:top="270" w:right="239" w:bottom="1440" w:gutter="0" w:footer="0" w:header="0"/>
        </w:sectPr>
      </w:pPr>
    </w:p>
    <w:bookmarkStart w:id="135" w:name="page136"/>
    <w:bookmarkEnd w:id="135"/>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Consolidation (ASC Topic 810): Amendments to the Consolidation Analysis</w:t>
      </w:r>
      <w:r>
        <w:rPr>
          <w:rFonts w:ascii="Times New Roman" w:cs="Times New Roman" w:eastAsia="Times New Roman" w:hAnsi="Times New Roman"/>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Issuer’s financial statements and disclosures.</w:t>
      </w:r>
    </w:p>
    <w:p>
      <w:pPr>
        <w:spacing w:after="0" w:line="18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Issuer’s financial statements.</w:t>
      </w:r>
    </w:p>
    <w:p>
      <w:pPr>
        <w:spacing w:after="0" w:line="186"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June 2014, the FASB issued ASU 2014-11, </w:t>
      </w:r>
      <w:r>
        <w:rPr>
          <w:rFonts w:ascii="Times New Roman" w:cs="Times New Roman" w:eastAsia="Times New Roman" w:hAnsi="Times New Roman"/>
          <w:sz w:val="18"/>
          <w:szCs w:val="18"/>
          <w:i w:val="1"/>
          <w:iCs w:val="1"/>
          <w:color w:val="auto"/>
        </w:rPr>
        <w:t>Repurchase-to-Maturity Transactions, Repurchase Financings, and Disclosures,</w:t>
      </w:r>
      <w:r>
        <w:rPr>
          <w:rFonts w:ascii="Times New Roman" w:cs="Times New Roman" w:eastAsia="Times New Roman" w:hAnsi="Times New Roman"/>
          <w:sz w:val="18"/>
          <w:szCs w:val="18"/>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Issuer’s financial statement disclosures.</w:t>
      </w:r>
    </w:p>
    <w:p>
      <w:pPr>
        <w:spacing w:after="0" w:line="18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w:t>
      </w:r>
      <w:r>
        <w:rPr>
          <w:rFonts w:ascii="Times New Roman" w:cs="Times New Roman" w:eastAsia="Times New Roman" w:hAnsi="Times New Roman"/>
          <w:sz w:val="18"/>
          <w:szCs w:val="18"/>
          <w:i w:val="1"/>
          <w:iCs w:val="1"/>
          <w:color w:val="auto"/>
        </w:rPr>
        <w:t>2014-09, 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which supersedes the revenue recognition requirements in Revenue Recognition (Topic 605). Under the new guidance,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Issuer’s currently evaluating the impact this ASU will have on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noted above, the Issuer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Based on the observability of the inputs used in the valuation techniques, the Issuer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2"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Issuer has the ability to access.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inputs other than quoted prices in active markets, which are either directly or indirectly observable.</w:t>
      </w:r>
    </w:p>
    <w:p>
      <w:pPr>
        <w:spacing w:after="0" w:line="130" w:lineRule="exact"/>
        <w:rPr>
          <w:rFonts w:ascii="Times New Roman" w:cs="Times New Roman" w:eastAsia="Times New Roman" w:hAnsi="Times New Roman"/>
          <w:sz w:val="18"/>
          <w:szCs w:val="18"/>
          <w:color w:val="auto"/>
        </w:rPr>
      </w:pPr>
    </w:p>
    <w:p>
      <w:pPr>
        <w:ind w:left="900" w:right="60" w:hanging="325"/>
        <w:spacing w:after="0" w:line="258"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420"/>
          </w:cols>
          <w:pgMar w:left="240" w:top="270" w:right="239" w:bottom="1440" w:gutter="0" w:footer="0" w:header="0"/>
        </w:sectPr>
      </w:pPr>
    </w:p>
    <w:bookmarkStart w:id="136" w:name="page137"/>
    <w:bookmarkEnd w:id="136"/>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using the above inputs in investment valuations, the Issuer continues to employ the valuation policy that is consistent with ASC 820 and the 1940 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February 28, 2015, according to the fair value hierarchy:</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0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100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$294,621,817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$294,621,817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617,451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617,451</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295,239,268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295,239,268</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fair value measurements of investments, by major class, as of February 28, 2014, according to the fair value hierarchy:</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$297,872,178</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$2,618,899</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$300,491,077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Structured finance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297,872,178</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2,618,899</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300,491,077</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Transfers into or out of Level 1, 2 or 3 are recognized at the reporting date.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2015:</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0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20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Interest</w:t>
            </w: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18,651</w:t>
            </w:r>
          </w:p>
        </w:tc>
        <w:tc>
          <w:tcPr>
            <w:tcW w:w="20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other adjustments to cost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Sales and redemptions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(2,658,626)</w:t>
            </w:r>
          </w:p>
        </w:tc>
        <w:tc>
          <w:tcPr>
            <w:tcW w:w="20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17,236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2015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investments that use Level 3 inputs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Structured Finance</w:t>
            </w:r>
          </w:p>
        </w:tc>
        <w:tc>
          <w:tcPr>
            <w:tcW w:w="60" w:type="dxa"/>
            <w:vAlign w:val="bottom"/>
          </w:tcPr>
          <w:p>
            <w:pPr>
              <w:spacing w:after="0"/>
              <w:rPr>
                <w:sz w:val="13"/>
                <w:szCs w:val="13"/>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 Interest</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$ 4,256,932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(45,982)</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2,189,036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(394,438)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and other adjustments to cost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203,167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redemptions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(408,133)</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(13,846,450)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604,247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(494,649)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transfers in and/or out of Level 3(1)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(1,321,184)</w:t>
            </w:r>
          </w:p>
        </w:tc>
        <w:tc>
          <w:tcPr>
            <w:tcW w:w="2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2014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$ 2,618,899</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60" w:hanging="452"/>
        <w:spacing w:after="0" w:line="282" w:lineRule="auto"/>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investment in Tectum Holdings Inc. was transferred into Level 2 during the year ended February, 28, 2014, as the reliability of market quotes became available for this investment and have been subsequently used for valuation purposes.</w:t>
      </w:r>
    </w:p>
    <w:p>
      <w:pPr>
        <w:spacing w:after="0" w:line="5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into or out of Level 3 are recognized at the reporting date.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80"/>
          </w:cols>
          <w:pgMar w:left="240" w:top="270" w:right="379" w:bottom="1440" w:gutter="0" w:footer="0" w:header="0"/>
        </w:sectPr>
      </w:pPr>
    </w:p>
    <w:bookmarkStart w:id="137" w:name="page138"/>
    <w:bookmarkEnd w:id="137"/>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Purchases and other adjustments to cost include purchases of new investments at cost, effects of refinancing/restructuring, accretion/amortization of income from discount/premium on debt securities, and PIK.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 were no level 3 investments held as of February 28, 2015. The net unrealized loss on level 3 investments held as of February 28, 2014, was $0.02 million, and is included in net unrealized appreciation on investments in the Statements of Operations.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Significant unobservable inputs used in the fair value measurement of the Issuer’s term loans and structured finance securities include comparable market yields. For investments utilizing a yield analysis valuation technique, a significant increase (decrease) in the market yield, in isolation, would result in a significantly lower (higher) fair value measurement. Generally, a change in the assumption for comparable yields is accompanied by a directionally opposite change in the assumption used for pricing.</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in the fair value measurement of the Issuer’s equity interests include EBITDA multiples. For investments utilizing EBITDA multiples, a significant increase (decrease) in the EBITDA multiple, in isolation, would result in a significant higher (lower) fair value measurement.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Financing</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On January 22, 2008, the Issuer issued $400.0 million of notes, consisting of Class A Floating Rate Senior Notes, Class B Floating Rate Senior Notes, Class C Deferrable Floating Rate Notes, Class D Deferrable Floating Rate Notes, Class E Deferrable Floating Rate Notes (collectively the “Secured Notes”), and Subordinated Notes. The notes were issued pursuant to the Indenture.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Secured Notes are limited recourse obligations of the Issuer. The Subordinated Notes are unsecured, limited recourse debt obligations of the Issuer.</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October 17, 2013, the Issuer issued $284.9 million of notes (the “2013-1 CLO Notes”), consisting of Class X Floating Rate Senior Notes, Class A-1 Floating Rate Senior Notes, Class A-2 Floating Rate Senior Notes, Class B Floating Rate Senior Notes, Class C Deferrable Floating Rate Notes, Class D Deferrable Floating Rate Notes, Class E Deferrable Floating Rate Notes, and Class F Deferrable Floating Rate Notes. The 2013-1 CLO Notes were issued pursuant to the Indenture with the same Trustee. Proceeds of the issuance of the 2013-1 CLO Notes were used along with existing assets held by the Trustee to redeem all of the Secured Notes issued in 2008. The Subordinated Notes were not included in the refinancing transaction.</w:t>
      </w:r>
    </w:p>
    <w:p>
      <w:pPr>
        <w:spacing w:after="0" w:line="184"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2013-1 CLO Notes are limited recourse obligations of the Issuer. The Subordinated Notes are unsecured, limited recourse debt obligations of the Issuer.</w:t>
      </w:r>
    </w:p>
    <w:p>
      <w:pPr>
        <w:spacing w:after="0" w:line="162"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relative order of seniority of payment of each class of securities is, as follows: first, Class X Notes, second, Class A-1 Notes, third, Class A-2 Notes, fourth, Class B Notes, fifth, Class C Notes, sixth, Class D Notes, seventh, Class E Notes, eighth, Class F Notes, and ninth, the Subordinated Notes, with (a) each class of securities (other than the Subordinated Notes) in such list being senior to each other class of securities that follows such class of securities in such list and (b) each class of securities (other than the Class X Notes) in such list being subordinate to each other class of securities that precedes such class of securities in such list. The Subordinated Notes are subordinated to the 2013-1 CLO Notes and are entitled to periodic payments from interest proceeds available in accordance with the Priority of Payments.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certain information for each outstanding class of notes issued, pursuant to the Indenture on October 17, 2013, at February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 Security</w:t>
            </w:r>
          </w:p>
        </w:tc>
        <w:tc>
          <w:tcPr>
            <w:tcW w:w="960" w:type="dxa"/>
            <w:vAlign w:val="bottom"/>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38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20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1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A-1 Floating Rate Senior Notes</w:t>
            </w: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LIBOR + 1.30%</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October 20, 2023</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$170,000,000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A-2 Floating Rate Senior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+ 1.50%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20,000,000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+ 2.00%</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44,800,000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+ 2.90%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16,000,000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+ 3.50%</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14,000,000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+ 4.50%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13,100,000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Deferrable Floating Rate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+ 5.75%</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30,000,000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312,400,000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312,400,000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S-14</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sets forth certain information for each outstanding class of notes issued, pursuant to the Indenture on October 17, 2013, at February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 Security</w:t>
            </w:r>
          </w:p>
        </w:tc>
        <w:tc>
          <w:tcPr>
            <w:tcW w:w="960" w:type="dxa"/>
            <w:vAlign w:val="bottom"/>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382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X Floating Rate Senior Notes</w:t>
            </w: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LIBOR + 1.05%</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October 20, 2023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A-1 Floating Rate Senior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+ 1.30%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170,000,000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A-2 Floating Rate Senior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+ 1.50%</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+ 2.00%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+ 2.90%</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+ 3.50%</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LIBOR + 4.50%</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F Deferrable Floating Rate Notes</w:t>
            </w:r>
          </w:p>
        </w:tc>
        <w:tc>
          <w:tcPr>
            <w:tcW w:w="2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LIBOR + 5.75%</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October 20, 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314,900,000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314,066,666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each outstanding class of notes issued, pursuant to the Indenture, at fair value at February 28, 2015:</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Security</w:t>
            </w:r>
          </w:p>
        </w:tc>
        <w:tc>
          <w:tcPr>
            <w:tcW w:w="3060" w:type="dxa"/>
            <w:vAlign w:val="bottom"/>
            <w:gridSpan w:val="4"/>
          </w:tcPr>
          <w:p>
            <w:pPr>
              <w:ind w:left="1820"/>
              <w:spacing w:after="0"/>
              <w:rPr>
                <w:sz w:val="20"/>
                <w:szCs w:val="20"/>
                <w:color w:val="auto"/>
              </w:rPr>
            </w:pPr>
            <w:r>
              <w:rPr>
                <w:rFonts w:ascii="Times New Roman" w:cs="Times New Roman" w:eastAsia="Times New Roman" w:hAnsi="Times New Roman"/>
                <w:sz w:val="14"/>
                <w:szCs w:val="14"/>
                <w:b w:val="1"/>
                <w:bCs w:val="1"/>
                <w:color w:val="auto"/>
              </w:rPr>
              <w:t>February 28, 2015</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A-1 Floating Rate Senior Notes</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168,987,651</w:t>
            </w:r>
          </w:p>
        </w:tc>
        <w:tc>
          <w:tcPr>
            <w:tcW w:w="100" w:type="dxa"/>
            <w:vAlign w:val="bottom"/>
            <w:shd w:val="clear" w:color="auto" w:fill="CCEEFF"/>
          </w:tcPr>
          <w:p>
            <w:pPr>
              <w:spacing w:after="0"/>
              <w:rPr>
                <w:sz w:val="17"/>
                <w:szCs w:val="17"/>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A-2 Floating Rate Senior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19,973,973</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44,569,451</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15,898,369</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13,737,672</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12,404,616</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Deferrable Floating Rate Notes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4,234,225</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17,031,146</w:t>
            </w:r>
          </w:p>
        </w:tc>
        <w:tc>
          <w:tcPr>
            <w:tcW w:w="100" w:type="dxa"/>
            <w:vAlign w:val="bottom"/>
          </w:tcPr>
          <w:p>
            <w:pPr>
              <w:spacing w:after="0"/>
              <w:rPr>
                <w:sz w:val="19"/>
                <w:szCs w:val="19"/>
                <w:color w:val="auto"/>
              </w:rPr>
            </w:pPr>
          </w:p>
        </w:tc>
      </w:tr>
      <w:tr>
        <w:trPr>
          <w:trHeight w:val="216"/>
        </w:trPr>
        <w:tc>
          <w:tcPr>
            <w:tcW w:w="8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296,837,103</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each outstanding class of notes issued, pursuant to the Indenture, at fair value at February 28, 2014:</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Security</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28, 2014</w:t>
            </w: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6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X Floating Rate Senior Notes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1,664,666</w:t>
            </w:r>
          </w:p>
        </w:tc>
        <w:tc>
          <w:tcPr>
            <w:tcW w:w="100" w:type="dxa"/>
            <w:vAlign w:val="bottom"/>
            <w:shd w:val="clear" w:color="auto" w:fill="CCEEFF"/>
          </w:tcPr>
          <w:p>
            <w:pPr>
              <w:spacing w:after="0"/>
              <w:rPr>
                <w:sz w:val="17"/>
                <w:szCs w:val="17"/>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A-1 Floating Rate Senior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168,878,000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A-2 Floating Rate Senior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44,679,040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13,766,200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12,481,680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F Deferrable Floating Rate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4,398,300</w:t>
            </w:r>
          </w:p>
        </w:tc>
        <w:tc>
          <w:tcPr>
            <w:tcW w:w="10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19,569,596</w:t>
            </w:r>
          </w:p>
        </w:tc>
        <w:tc>
          <w:tcPr>
            <w:tcW w:w="100" w:type="dxa"/>
            <w:vAlign w:val="bottom"/>
            <w:shd w:val="clear" w:color="auto" w:fill="CCEEFF"/>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301,381,482</w:t>
            </w:r>
          </w:p>
        </w:tc>
        <w:tc>
          <w:tcPr>
            <w:tcW w:w="100" w:type="dxa"/>
            <w:vAlign w:val="bottom"/>
          </w:tcPr>
          <w:p>
            <w:pPr>
              <w:spacing w:after="0"/>
              <w:rPr>
                <w:sz w:val="19"/>
                <w:szCs w:val="19"/>
                <w:color w:val="auto"/>
              </w:rPr>
            </w:pPr>
          </w:p>
        </w:tc>
      </w:tr>
    </w:tbl>
    <w:p>
      <w:pPr>
        <w:spacing w:after="0" w:line="21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These notes are fair valued based on a discounted cash flow model, specifically using Intex cash flow models, to form the basis for the valuation and would be classified as level 3 liabilities within the fair value hierarchy.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270" w:right="25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the weighted average interest rate for the years ended February 28, 2015, February 28, 2014 and February 28, 2013:</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Debt Security</w:t>
            </w:r>
          </w:p>
        </w:tc>
        <w:tc>
          <w:tcPr>
            <w:tcW w:w="940" w:type="dxa"/>
            <w:vAlign w:val="bottom"/>
          </w:tcPr>
          <w:p>
            <w:pPr>
              <w:spacing w:after="0"/>
              <w:rPr>
                <w:sz w:val="10"/>
                <w:szCs w:val="10"/>
                <w:color w:val="auto"/>
              </w:rPr>
            </w:pPr>
          </w:p>
        </w:tc>
        <w:tc>
          <w:tcPr>
            <w:tcW w:w="1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50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8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2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700" w:type="dxa"/>
            <w:vAlign w:val="bottom"/>
          </w:tcPr>
          <w:p>
            <w:pPr>
              <w:spacing w:after="0"/>
              <w:rPr>
                <w:sz w:val="13"/>
                <w:szCs w:val="13"/>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2013-1 CLO Notes</w:t>
            </w:r>
          </w:p>
        </w:tc>
        <w:tc>
          <w:tcPr>
            <w:tcW w:w="9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X Floating Rate Senior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+ 1.05%</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1.28%</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A-1 Floating Rate Senior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+ 1.30%</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1.53%</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1.54%</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A-2 Floating Rate Senior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+ 1.50%</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1.73%</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1.74%</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+ 2.00%</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2.23%</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+ 2.90%</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3.13%</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3.14%</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+ 3.50%</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3.73%</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3.74%</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+ 4.50%</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4.73%</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4.74%</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F Deferrable Floating Rate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+ 5.75%</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5.98%</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5.99%</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Secured Notes</w:t>
            </w: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Floating Rate Senior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+ 0.75%</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Floating Rate Senior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+ 2.50%</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2.78%</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Deferrable Floating Rate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+ 3.75%</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D Deferrable Floating Rate Notes</w:t>
            </w:r>
          </w:p>
        </w:tc>
        <w:tc>
          <w:tcPr>
            <w:tcW w:w="26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LIBOR + 4.70%</w:t>
            </w:r>
          </w:p>
        </w:tc>
        <w:tc>
          <w:tcPr>
            <w:tcW w:w="1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4.98%</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E Deferrable Floating Rate Notes</w:t>
            </w:r>
          </w:p>
        </w:tc>
        <w:tc>
          <w:tcPr>
            <w:tcW w:w="26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LIBOR + 6.45%</w:t>
            </w: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6.73%</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Indenture provides that payments on the Subordinated Notes shall rank subordinate in priority of payment to payments due on all classes of 2013-1 CLO Notes and subordinate in priority of payment to the payment of fees and expenses. Distributions on the Subordinated Notes are limited to the assets of the Issuer remaining after payment of all of the liabilities of the Issuer that rank senior in priority of payment to the Subordinated Notes. To the extent that the proceeds from the collateral are not sufficient to make distributions on the Subordinated Notes the Issuer will have no further obligation in respect of the Subordinated Notes.</w:t>
      </w:r>
    </w:p>
    <w:p>
      <w:pPr>
        <w:spacing w:after="0" w:line="184"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Interest proceeds and, after the 2013-1 CLO Notes have been paid in full, principal proceeds, in each case will be distributed to the holders of the Subordinated Notes in accordance with the Indenture.</w:t>
      </w:r>
    </w:p>
    <w:p>
      <w:pPr>
        <w:spacing w:after="0" w:line="16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Distributions, if any, on the Subordinated Notes will be payable quarterly on the 20th day of each January, April, July and October of each calendar year or, if any such day is not a business day, on the next succeeding business day (each, a “Payment Date”), commencing on the first Payment Date, and on January 21, 2020 (or if any such day is not a business day, the next succeeding business day) (the “Stated Redemption Date”) (if not redeemed prior to such date) sequentially in order of seniority. At the Stated Redemption Date, the Subordinated Notes will be redeemed after payment in full of all of the 2013-1 CLO Notes and the payment of all administrative and other fees and expenses. The failure to pay interest proceeds or principal proceeds to the holders of the Subordinated Notes will not be an event of default under the Indenture.</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May of 2009, the Issuer defaulted on its Class E overcollateralization ratio of 105.10%, at which point, $4.0 million of interest proceeds were used to repay the Class E Notes through November 2009. Interest on the Class C, Class D, and Class E Notes was deferred and repaid in January of 2010 upon the Issuer’s return to compliance. Distributions to the Subordinated Notes resumed in April of 2010.</w:t>
      </w:r>
    </w:p>
    <w:p>
      <w:pPr>
        <w:spacing w:after="0" w:line="176"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As of February 28, 2015, the remaining unamortized discount on the Class A-1 Notes, Class A-2 Notes, Class B Notes, Class C Notes, Class D Notes, Class E Notes, and Class F Notes were $1.5 million, $0.2 million, $1.0 million, $0.6 million, $0.8 million, $1.5 million, and $0.6 million, respectively.</w:t>
      </w:r>
    </w:p>
    <w:p>
      <w:pPr>
        <w:spacing w:after="0" w:line="13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 of February 28, 2014, the remaining unamortized discount on the Class X, Class A-1 Notes, Class A-2 Notes, Class B Notes, Class C Notes, Class D Notes, Class E Notes, and Class F Notes were $0.0 million, $1.7 million, $0.2 million, $1.1 million, $0.7 million, $0.9 million, $1.7 million and $0.6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Under the current laws, the Issuer is not subject to net income taxation in the United States or the Cayman Islands. Accordingly, no provision for income taxes has been made in the accompanying financial statements.</w:t>
      </w:r>
    </w:p>
    <w:p>
      <w:pPr>
        <w:spacing w:after="0" w:line="160" w:lineRule="exact"/>
        <w:rPr>
          <w:sz w:val="20"/>
          <w:szCs w:val="20"/>
          <w:color w:val="auto"/>
        </w:rPr>
      </w:pPr>
    </w:p>
    <w:p>
      <w:pPr>
        <w:ind w:right="680" w:firstLine="456"/>
        <w:spacing w:after="0" w:line="284" w:lineRule="auto"/>
        <w:rPr>
          <w:sz w:val="20"/>
          <w:szCs w:val="20"/>
          <w:color w:val="auto"/>
        </w:rPr>
      </w:pPr>
      <w:r>
        <w:rPr>
          <w:rFonts w:ascii="Times New Roman" w:cs="Times New Roman" w:eastAsia="Times New Roman" w:hAnsi="Times New Roman"/>
          <w:sz w:val="18"/>
          <w:szCs w:val="18"/>
          <w:color w:val="auto"/>
        </w:rPr>
        <w:t xml:space="preserve">Pursuant to ASC Topic 740,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Issuer adopted the provisions of FASB relating to accounting for uncertainty in income taxes which clarifies the accounting for income taxes by prescribing the minimum recognition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270" w:right="259" w:bottom="1440" w:gutter="0" w:footer="0" w:header="0"/>
        </w:sectPr>
      </w:pPr>
    </w:p>
    <w:bookmarkStart w:id="140" w:name="page141"/>
    <w:bookmarkEnd w:id="140"/>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threshold a tax position must meet before being recognized in the financial statements and applies to all open tax years as of the effective date. The Investment Manager has analyzed such tax positions for uncertain tax positions for tax years that may be open (2011—2014). The Issuer identifies its major tax jurisdictions as U.S. Federal, state and foreign jurisdictions where the Issuer makes investments. As of February 28, 2015 and 2014, there was no impact to the financial statements as a result of the Issuer’s accounting for uncertainty in income taxes. The Issuer does not have any unrecognized tax benefits or liabilities for the years ended February 28, 2015, 2014, and 2013. Also, the Issuer recognizes interest and, if applicable, penalties for any uncertain tax positions, as a component of income tax expense. No interest or penalty expense was recorded by the Issuer for the years ended February 28, 2015, 2014, and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Issuer may enter into contracts or agreements that contain indemnifications or warranties. Future events could occur that lead to the execution of these provisions against the Issuer. Based on its history and experience, the Investment Manager feels that the likelihood of such an event is remote.</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Issuer may directly or indirectly be a defendant or plaintiff in legal actions with respect to bankruptcy, insolvency or other types of proceedings. Such lawsuits may involve claims that could adversely affect the value of certain financial instruments owned by the Issuer. As of February 28, 2015 and 2014, the Issuer is not subject to any material legal proceedings.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terms of Collateralized Debt Investments may require the Issuer to provide funding for any unfunded portion of a Collateralized Debt Investment at the request of the borrower. At February 28, 2015 and 2014, the Issuer had no unfunded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Related-Party Transactions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and as permitted per the terms of the Indenture, the Issuer may acquire or sell investments to or from related parties at the fair value at such time. For the years ended February 28, 2015, 2014, and 2013, the Issuer bought no investments from related parties and sold investments fair valued at $0.0 million, $0.3 million, and $0.0 million, respectively, to the Investment Manager.</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Subordinated Notes are wholly owned by the Investment Manager. The Subordinated Notes do not have a stated coupon rates, but are entitled to residual cash flows from the CLO’s investments after all of the other tranches of debt and certain other fees and expenses are paid. For the years ended February 28, 2015, 2014 and 2013, $3.7 million, $5.7 million, and $8.8 million of payments to the Subordinated Notes were included in interest expense in the Statement of Operations,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Shareholders’ Capital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 contributions and distributions shall be made at such time and in such amounts as determined by the Investment Manager and the Indenture.</w:t>
      </w:r>
    </w:p>
    <w:p>
      <w:pPr>
        <w:spacing w:after="0" w:line="225" w:lineRule="exact"/>
        <w:rPr>
          <w:sz w:val="20"/>
          <w:szCs w:val="20"/>
          <w:color w:val="auto"/>
        </w:rPr>
      </w:pPr>
    </w:p>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t>The majority holder of the Subordinated Notes has various control rights over the CLO, including the ability to call the CLO prior to its legal maturity, replace the Investment Manager under certain circumstances, and refinance any of the outstanding debt tranches. The voting structure of the Subordinated Notes may require either majority or unanimous approval depending upon the issue.</w:t>
      </w:r>
    </w:p>
    <w:p>
      <w:pPr>
        <w:spacing w:after="0" w:line="176"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authorized share capital of the Issuer consists of 50,000 ordinary shares, 250 of which are owned by Maples Finance Limited and are held under the terms of a declaration of trust.</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February 28, 2015 and February 28, 2014, net assets were $(5.8) million and $(3.3) million, respectively. These amounts include accumulated losses of $(3.3) million and accumulated gains of $0.8 million, respectively, which includes cumulative net investment income or loss, cumulative amounts of gains and losses realized from investment transactions, net unrealized appreciation or depreciation of investments, as well as the cumulative effect of accounting mismatches between investments accounted for at fair value and amortized cost or accrual-basis assets and liabilities as discussed in Significant Accounting Policies, above. The Issuer’s investments continue to generate sufficient liquidity to satisfy its obligations on periodic payment dates as well as comply with all performance criteria as of the Statements of Assets and Liabilities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270" w:right="2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 Financial Highlights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schedule of financial highlights for the years ended February 28, 2015, 2014, and 2013:</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54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5"/>
                <w:szCs w:val="15"/>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subordinated notes’ capital balance(1)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$25,077,372</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$28,471,910</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$27,165,497</w:t>
            </w:r>
          </w:p>
        </w:tc>
        <w:tc>
          <w:tcPr>
            <w:tcW w:w="2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 and supplemental data:</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Return(2)</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5.34%</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income(3)</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3.17%</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expenses(3)</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49.79%</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65.27%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70.97%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fee(3)</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3.03%</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management fee(3)</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3.03%</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61"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notes’ capital balance is calculated based on the sum of the subordinated notes outstanding amount and total net assets, net of ordinary equity.</w:t>
      </w:r>
    </w:p>
    <w:p>
      <w:pPr>
        <w:jc w:val="both"/>
        <w:ind w:left="460" w:right="300" w:hanging="452"/>
        <w:spacing w:after="0" w:line="250"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calculated based on a time-weighted rate of return methodology. Quarterly rates of return are compounded to derive the total return reflected above. Total return is calculated for the subordinated notes’ capital taken as a whole and assumes the purchase of the subordinated notes’ capital on the first day of the period and the sale of the last day of the period.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average subordinated notes’ capital balance.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Investment Manager has evaluated events or transactions that have occurred since February 28, 2015 through May 20, 2015, the date the financial statements were available for issuance. The Investment Manager has determined that there are no material events that would require the disclosure in the financial statements.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00"/>
          </w:cols>
          <w:pgMar w:left="240" w:top="266" w:right="3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 AS AMENDED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Christian L. Oberbeck, certify that:</w:t>
      </w:r>
    </w:p>
    <w:p>
      <w:pPr>
        <w:spacing w:after="0" w:line="225" w:lineRule="exact"/>
        <w:rPr>
          <w:sz w:val="20"/>
          <w:szCs w:val="20"/>
          <w:color w:val="auto"/>
        </w:rPr>
      </w:pPr>
    </w:p>
    <w:p>
      <w:pPr>
        <w:ind w:left="640" w:hanging="176"/>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Saratoga Investment Corp.;</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20" w:firstLine="464"/>
        <w:spacing w:after="0" w:line="282" w:lineRule="auto"/>
        <w:tabs>
          <w:tab w:leader="none" w:pos="6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460" w:right="440" w:firstLine="443"/>
        <w:spacing w:after="0" w:line="266" w:lineRule="auto"/>
        <w:tabs>
          <w:tab w:leader="none" w:pos="11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580" w:firstLine="443"/>
        <w:spacing w:after="0" w:line="282" w:lineRule="auto"/>
        <w:tabs>
          <w:tab w:leader="none" w:pos="114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80" w:firstLine="443"/>
        <w:spacing w:after="0" w:line="266" w:lineRule="auto"/>
        <w:tabs>
          <w:tab w:leader="none" w:pos="11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6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80" w:firstLine="443"/>
        <w:spacing w:after="0" w:line="282" w:lineRule="auto"/>
        <w:tabs>
          <w:tab w:leader="none" w:pos="114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Christian L. Oberbeck</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117"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UNDER THE SECURITIES EXCHANGE ACT OF 1934, AS AMENDED</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Henri J. Steenkamp, certify that:</w:t>
      </w:r>
    </w:p>
    <w:p>
      <w:pPr>
        <w:spacing w:after="0" w:line="225" w:lineRule="exact"/>
        <w:rPr>
          <w:sz w:val="20"/>
          <w:szCs w:val="20"/>
          <w:color w:val="auto"/>
        </w:rPr>
      </w:pPr>
    </w:p>
    <w:p>
      <w:pPr>
        <w:ind w:left="640" w:hanging="176"/>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Saratoga Investment Corp.;</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20" w:firstLine="464"/>
        <w:spacing w:after="0" w:line="282"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460" w:right="440" w:firstLine="443"/>
        <w:spacing w:after="0" w:line="266" w:lineRule="auto"/>
        <w:tabs>
          <w:tab w:leader="none" w:pos="115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580" w:firstLine="443"/>
        <w:spacing w:after="0" w:line="282" w:lineRule="auto"/>
        <w:tabs>
          <w:tab w:leader="none" w:pos="11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80" w:firstLine="443"/>
        <w:spacing w:after="0" w:line="266" w:lineRule="auto"/>
        <w:tabs>
          <w:tab w:leader="none" w:pos="115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6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80" w:firstLine="443"/>
        <w:spacing w:after="0" w:line="282" w:lineRule="auto"/>
        <w:tabs>
          <w:tab w:leader="none" w:pos="114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Henri J. Steenkamp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 and Chief Compliance Officer</w:t>
      </w:r>
    </w:p>
    <w:p>
      <w:pPr>
        <w:sectPr>
          <w:pgSz w:w="11900" w:h="16838" w:orient="portrait"/>
          <w:cols w:equalWidth="0" w:num="1">
            <w:col w:w="11420"/>
          </w:cols>
          <w:pgMar w:left="240" w:top="117"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on Form 10-K of Saratoga Investment Corp. (the “Company”) for the annual period ended February 28, 2015, as filed with the Securities Exchange Commission on the date hereof (the “Report”), I, Christian L. Oberbeck, Chief Executive Officer of the Company, and I, Henri J. Steenkamp, Chief Financial Officer of the Company, each certify, pursuant to Section 906 of the Sarbanes-Oxley Act of 2002, that to our knowledge:</w:t>
      </w:r>
    </w:p>
    <w:p>
      <w:pPr>
        <w:spacing w:after="0" w:line="50" w:lineRule="exact"/>
        <w:rPr>
          <w:sz w:val="20"/>
          <w:szCs w:val="20"/>
          <w:color w:val="auto"/>
        </w:rPr>
      </w:pPr>
    </w:p>
    <w:p>
      <w:pPr>
        <w:ind w:left="640" w:hanging="17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Christian L. Oberbeck</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Times New Roman" w:cs="Times New Roman" w:eastAsia="Times New Roman" w:hAnsi="Times New Roman"/>
          <w:sz w:val="18"/>
          <w:szCs w:val="18"/>
          <w:color w:val="auto"/>
        </w:rPr>
        <w:t>Name:</w:t>
        <w:tab/>
        <w:t>Henri J. Steenkamp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Financial Officer and Chief Compliance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2"/>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lvl w:ilvl="1">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374A3FE6"/>
    <w:multiLevelType w:val="hybridMultilevel"/>
    <w:lvl w:ilvl="0">
      <w:lvlJc w:val="left"/>
      <w:lvlText w:val="%1"/>
      <w:numFmt w:val="decimal"/>
      <w:start w:val="1"/>
    </w:lvl>
    <w:lvl w:ilvl="1">
      <w:lvlJc w:val="left"/>
      <w:lvlText w:val="(%2)"/>
      <w:numFmt w:val="lowerRoman"/>
      <w:start w:val="3"/>
    </w:lvl>
  </w:abstractNum>
  <w:abstractNum w:abstractNumId="25">
    <w:nsid w:val="4F4EF005"/>
    <w:multiLevelType w:val="hybridMultilevel"/>
    <w:lvl w:ilvl="0">
      <w:lvlJc w:val="left"/>
      <w:lvlText w:val="(%1)"/>
      <w:numFmt w:val="decimal"/>
      <w:start w:val="2"/>
    </w:lvl>
    <w:lvl w:ilvl="1">
      <w:lvlJc w:val="left"/>
      <w:lvlText w:val="%2"/>
      <w:numFmt w:val="lowerRoman"/>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2"/>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lvl w:ilvl="1">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7"/>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7"/>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3"/>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2019-12-29T17:02:17Z</dcterms:created>
  <dcterms:modified xsi:type="dcterms:W3CDTF">2019-12-29T17:02:17Z</dcterms:modified>
</cp:coreProperties>
</file>