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November 30, 2016</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SARATOGA INVESTMENT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20" w:type="dxa"/>
        <w:tblCellMar>
          <w:top w:w="0" w:type="dxa"/>
          <w:left w:w="0" w:type="dxa"/>
          <w:bottom w:w="0" w:type="dxa"/>
          <w:right w:w="0" w:type="dxa"/>
        </w:tblCellMar>
      </w:tblPr>
      <w:tr>
        <w:trPr>
          <w:trHeight w:val="212"/>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8"/>
              </w:rPr>
              <w:t>Maryland</w:t>
            </w:r>
          </w:p>
        </w:tc>
        <w:tc>
          <w:tcPr>
            <w:tcW w:w="5140" w:type="dxa"/>
            <w:vAlign w:val="bottom"/>
          </w:tcPr>
          <w:p>
            <w:pPr>
              <w:jc w:val="right"/>
              <w:ind w:right="59"/>
              <w:spacing w:after="0"/>
              <w:rPr>
                <w:sz w:val="20"/>
                <w:szCs w:val="20"/>
                <w:color w:val="auto"/>
              </w:rPr>
            </w:pPr>
            <w:r>
              <w:rPr>
                <w:rFonts w:ascii="Arial" w:cs="Arial" w:eastAsia="Arial" w:hAnsi="Arial"/>
                <w:sz w:val="18"/>
                <w:szCs w:val="18"/>
                <w:b w:val="1"/>
                <w:bCs w:val="1"/>
                <w:color w:val="auto"/>
              </w:rPr>
              <w:t>20-8700615</w:t>
            </w:r>
          </w:p>
        </w:tc>
      </w:tr>
      <w:tr>
        <w:trPr>
          <w:trHeight w:val="149"/>
        </w:trPr>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19"/>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8"/>
              </w:rPr>
              <w:t>535 Madison Avenue</w:t>
            </w:r>
          </w:p>
        </w:tc>
        <w:tc>
          <w:tcPr>
            <w:tcW w:w="5140" w:type="dxa"/>
            <w:vAlign w:val="bottom"/>
          </w:tcPr>
          <w:p>
            <w:pPr>
              <w:spacing w:after="0"/>
              <w:rPr>
                <w:sz w:val="24"/>
                <w:szCs w:val="24"/>
                <w:color w:val="auto"/>
              </w:rPr>
            </w:pPr>
          </w:p>
        </w:tc>
      </w:tr>
      <w:tr>
        <w:trPr>
          <w:trHeight w:val="225"/>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5140" w:type="dxa"/>
            <w:vAlign w:val="bottom"/>
          </w:tcPr>
          <w:p>
            <w:pPr>
              <w:jc w:val="right"/>
              <w:ind w:right="259"/>
              <w:spacing w:after="0"/>
              <w:rPr>
                <w:sz w:val="20"/>
                <w:szCs w:val="20"/>
                <w:color w:val="auto"/>
              </w:rPr>
            </w:pPr>
            <w:r>
              <w:rPr>
                <w:rFonts w:ascii="Arial" w:cs="Arial" w:eastAsia="Arial" w:hAnsi="Arial"/>
                <w:sz w:val="18"/>
                <w:szCs w:val="18"/>
                <w:b w:val="1"/>
                <w:bCs w:val="1"/>
                <w:color w:val="auto"/>
              </w:rPr>
              <w:t>10022</w:t>
            </w: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w:t>
            </w:r>
          </w:p>
        </w:tc>
        <w:tc>
          <w:tcPr>
            <w:tcW w:w="514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60" w:type="dxa"/>
            <w:vAlign w:val="bottom"/>
          </w:tcPr>
          <w:p>
            <w:pPr>
              <w:spacing w:after="0"/>
              <w:rPr>
                <w:sz w:val="24"/>
                <w:szCs w:val="24"/>
                <w:color w:val="auto"/>
              </w:rPr>
            </w:pPr>
          </w:p>
        </w:tc>
        <w:tc>
          <w:tcPr>
            <w:tcW w:w="5140" w:type="dxa"/>
            <w:vAlign w:val="bottom"/>
          </w:tcPr>
          <w:p>
            <w:pPr>
              <w:jc w:val="center"/>
              <w:ind w:right="1779"/>
              <w:spacing w:after="0"/>
              <w:rPr>
                <w:sz w:val="20"/>
                <w:szCs w:val="20"/>
                <w:color w:val="auto"/>
              </w:rPr>
            </w:pPr>
            <w:r>
              <w:rPr>
                <w:rFonts w:ascii="Arial" w:cs="Arial" w:eastAsia="Arial" w:hAnsi="Arial"/>
                <w:sz w:val="18"/>
                <w:szCs w:val="18"/>
                <w:b w:val="1"/>
                <w:bCs w:val="1"/>
                <w:color w:val="auto"/>
                <w:w w:val="90"/>
              </w:rPr>
              <w:t>(212) 906-7800</w:t>
            </w:r>
          </w:p>
        </w:tc>
      </w:tr>
      <w:tr>
        <w:trPr>
          <w:trHeight w:val="186"/>
        </w:trPr>
        <w:tc>
          <w:tcPr>
            <w:tcW w:w="2360" w:type="dxa"/>
            <w:vAlign w:val="bottom"/>
          </w:tcPr>
          <w:p>
            <w:pPr>
              <w:spacing w:after="0"/>
              <w:rPr>
                <w:sz w:val="16"/>
                <w:szCs w:val="16"/>
                <w:color w:val="auto"/>
              </w:rPr>
            </w:pPr>
          </w:p>
        </w:tc>
        <w:tc>
          <w:tcPr>
            <w:tcW w:w="51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2360" w:type="dxa"/>
            <w:vAlign w:val="bottom"/>
          </w:tcPr>
          <w:p>
            <w:pPr>
              <w:spacing w:after="0"/>
              <w:rPr>
                <w:sz w:val="24"/>
                <w:szCs w:val="24"/>
                <w:color w:val="auto"/>
              </w:rPr>
            </w:pPr>
          </w:p>
        </w:tc>
        <w:tc>
          <w:tcPr>
            <w:tcW w:w="5140" w:type="dxa"/>
            <w:vAlign w:val="bottom"/>
          </w:tcPr>
          <w:p>
            <w:pPr>
              <w:jc w:val="center"/>
              <w:ind w:right="1779"/>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7500" w:type="dxa"/>
            <w:vAlign w:val="bottom"/>
            <w:gridSpan w:val="2"/>
          </w:tcPr>
          <w:p>
            <w:pPr>
              <w:jc w:val="center"/>
              <w:ind w:left="400"/>
              <w:spacing w:after="0"/>
              <w:rPr>
                <w:sz w:val="20"/>
                <w:szCs w:val="20"/>
                <w:color w:val="auto"/>
              </w:rPr>
            </w:pPr>
            <w:r>
              <w:rPr>
                <w:rFonts w:ascii="Arial" w:cs="Arial" w:eastAsia="Arial" w:hAnsi="Arial"/>
                <w:sz w:val="14"/>
                <w:szCs w:val="14"/>
                <w:b w:val="1"/>
                <w:bCs w:val="1"/>
                <w:color w:val="auto"/>
                <w:w w:val="93"/>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00" w:space="340"/>
            <w:col w:w="6000" w:space="720"/>
            <w:col w:w="17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420"/>
            <w:col w:w="6000" w:space="720"/>
            <w:col w:w="2060" w:space="44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80"/>
            <w:col w:w="260" w:space="80"/>
            <w:col w:w="160" w:space="180"/>
            <w:col w:w="192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of the registrant’s common stock, $0.001 par value, outstanding as of January 10, 2017 was 5,744,147.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620" w:type="dxa"/>
            <w:vAlign w:val="bottom"/>
            <w:gridSpan w:val="11"/>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000" w:type="dxa"/>
            <w:vAlign w:val="bottom"/>
            <w:gridSpan w:val="2"/>
            <w:vMerge w:val="continue"/>
          </w:tcPr>
          <w:p>
            <w:pPr>
              <w:spacing w:after="0"/>
              <w:rPr>
                <w:sz w:val="14"/>
                <w:szCs w:val="14"/>
                <w:color w:val="auto"/>
              </w:rPr>
            </w:pPr>
          </w:p>
        </w:tc>
        <w:tc>
          <w:tcPr>
            <w:tcW w:w="2400" w:type="dxa"/>
            <w:vAlign w:val="bottom"/>
            <w:tcBorders>
              <w:bottom w:val="single" w:sz="8" w:color="0000EE"/>
            </w:tcBorders>
            <w:gridSpan w:val="8"/>
            <w:vMerge w:val="continue"/>
          </w:tcPr>
          <w:p>
            <w:pPr>
              <w:spacing w:after="0"/>
              <w:rPr>
                <w:sz w:val="14"/>
                <w:szCs w:val="14"/>
                <w:color w:val="auto"/>
              </w:rPr>
            </w:pPr>
          </w:p>
        </w:tc>
        <w:tc>
          <w:tcPr>
            <w:tcW w:w="7620" w:type="dxa"/>
            <w:vAlign w:val="bottom"/>
            <w:gridSpan w:val="11"/>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November 30, 2016 (unaudited) and February 29, 2016</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and nine months ended November 30, 2016 and November 30, 2015 (unaudited)</w:t>
              </w:r>
            </w:hyperlink>
          </w:p>
        </w:tc>
        <w:tc>
          <w:tcPr>
            <w:tcW w:w="42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2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Schedules of Investments as of November 30, 2016 (unaudited) and February 29, 2016</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20" w:type="dxa"/>
            <w:vAlign w:val="bottom"/>
            <w:gridSpan w:val="19"/>
          </w:tcPr>
          <w:p>
            <w:pPr>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Consolidated Statements of Changes in Net Assets for the nine months ended November 30, 2016 and November 30, 2015 (unaudited)</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tcBorders>
              <w:top w:val="single" w:sz="8" w:color="0000EE"/>
            </w:tcBorders>
            <w:gridSpan w:val="18"/>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Consolidated Statements of Cash Flows for the nine months ended November 30, 2016 and November 30, 2015 (unaudited)</w:t>
              </w:r>
            </w:hyperlink>
          </w:p>
        </w:tc>
        <w:tc>
          <w:tcPr>
            <w:tcW w:w="3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40" w:type="dxa"/>
            <w:vAlign w:val="bottom"/>
            <w:tcBorders>
              <w:top w:val="single" w:sz="8" w:color="0000EE"/>
            </w:tcBorders>
            <w:gridSpan w:val="1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Consolidated Financial Statements as of November 30, 2016 (unaudited)</w:t>
              </w:r>
            </w:hyperlink>
          </w:p>
        </w:tc>
        <w:tc>
          <w:tcPr>
            <w:tcW w:w="108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2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56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Controls and Procedures</w:t>
              </w:r>
            </w:hyperlink>
          </w:p>
        </w:tc>
        <w:tc>
          <w:tcPr>
            <w:tcW w:w="824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0020" w:type="dxa"/>
            <w:vAlign w:val="bottom"/>
            <w:gridSpan w:val="19"/>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Legal Proceedings</w:t>
              </w:r>
            </w:hyperlink>
          </w:p>
        </w:tc>
        <w:tc>
          <w:tcPr>
            <w:tcW w:w="800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68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Unregistered Sales of Equity Securities and Use of Proceeds</w:t>
              </w:r>
            </w:hyperlink>
          </w:p>
        </w:tc>
        <w:tc>
          <w:tcPr>
            <w:tcW w:w="566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Defaults Upon Senior Securities</w:t>
              </w:r>
            </w:hyperlink>
          </w:p>
        </w:tc>
        <w:tc>
          <w:tcPr>
            <w:tcW w:w="768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Mine Safety Disclosures</w:t>
              </w:r>
            </w:hyperlink>
          </w:p>
        </w:tc>
        <w:tc>
          <w:tcPr>
            <w:tcW w:w="824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020" w:type="dxa"/>
            <w:vAlign w:val="bottom"/>
            <w:gridSpan w:val="1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Exhibits</w:t>
              </w:r>
            </w:hyperlink>
          </w:p>
        </w:tc>
        <w:tc>
          <w:tcPr>
            <w:tcW w:w="870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900" w:type="dxa"/>
            <w:vAlign w:val="bottom"/>
            <w:gridSpan w:val="12"/>
          </w:tcPr>
          <w:p>
            <w:pPr>
              <w:ind w:left="466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November 30, 2016</w:t>
            </w:r>
          </w:p>
        </w:tc>
        <w:tc>
          <w:tcPr>
            <w:tcW w:w="4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29,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(unaudited)</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Non-control/Non-affiliate investments (amortized cost of $270,029,200 and $268,145,090, respectively)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w w:val="99"/>
              </w:rPr>
              <w:t>262,303,777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271,168,186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Control investments (cost of $15,448,369 and $13,030,751, respectively)</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15,265,995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12,827,980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investments at fair value (amortized cost of $285,477,569 and $281,175,841, respectively)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277,569,772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283,996,166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5,770,230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2,440,277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reserve accounts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17,521,282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4,594,506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Interest receivable (net of reserve of $0 and $728,519, respectively)</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3,984,752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3,195,919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46,078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Management fee receivable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170,975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170,016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184,761</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Receivable from unsettled trades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284,903</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305,532,753</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295,047,252</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debt financing costs, revolving credit facility</w:t>
            </w:r>
          </w:p>
        </w:tc>
        <w:tc>
          <w:tcPr>
            <w:tcW w:w="180" w:type="dxa"/>
            <w:vAlign w:val="bottom"/>
          </w:tcPr>
          <w:p>
            <w:pPr>
              <w:spacing w:after="0"/>
              <w:rPr>
                <w:sz w:val="18"/>
                <w:szCs w:val="18"/>
                <w:color w:val="auto"/>
              </w:rPr>
            </w:pP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(456,594)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(515,906)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112,660,000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103,660,000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debt financing costs, SBA debentures payable</w:t>
            </w:r>
          </w:p>
        </w:tc>
        <w:tc>
          <w:tcPr>
            <w:tcW w:w="180" w:type="dxa"/>
            <w:vAlign w:val="bottom"/>
          </w:tcPr>
          <w:p>
            <w:pPr>
              <w:spacing w:after="0"/>
              <w:rPr>
                <w:sz w:val="18"/>
                <w:szCs w:val="18"/>
                <w:color w:val="auto"/>
              </w:rPr>
            </w:pP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(2,622,206)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(2,493,303)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61,793,125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61,793,125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debt financing costs, notes payable</w:t>
            </w:r>
          </w:p>
        </w:tc>
        <w:tc>
          <w:tcPr>
            <w:tcW w:w="180" w:type="dxa"/>
            <w:vAlign w:val="bottom"/>
          </w:tcPr>
          <w:p>
            <w:pPr>
              <w:spacing w:after="0"/>
              <w:rPr>
                <w:sz w:val="18"/>
                <w:szCs w:val="18"/>
                <w:color w:val="auto"/>
              </w:rPr>
            </w:pP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(1,553,545)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(1,694,586)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Base management and incentive fees payable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5,932,447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5,593,956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672,791</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Interest and debt fees payable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1,098,309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1,552,069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Payable for repurchases of common stock</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Directors fees payable</w:t>
            </w:r>
          </w:p>
        </w:tc>
        <w:tc>
          <w:tcPr>
            <w:tcW w:w="180" w:type="dxa"/>
            <w:vAlign w:val="bottom"/>
          </w:tcPr>
          <w:p>
            <w:pPr>
              <w:spacing w:after="0"/>
              <w:rPr>
                <w:sz w:val="18"/>
                <w:szCs w:val="18"/>
                <w:color w:val="auto"/>
              </w:rPr>
            </w:pPr>
          </w:p>
        </w:tc>
        <w:tc>
          <w:tcPr>
            <w:tcW w:w="1420" w:type="dxa"/>
            <w:vAlign w:val="bottom"/>
            <w:gridSpan w:val="2"/>
          </w:tcPr>
          <w:p>
            <w:pPr>
              <w:jc w:val="right"/>
              <w:ind w:right="328"/>
              <w:spacing w:after="0"/>
              <w:rPr>
                <w:sz w:val="20"/>
                <w:szCs w:val="20"/>
                <w:color w:val="auto"/>
              </w:rPr>
            </w:pPr>
            <w:r>
              <w:rPr>
                <w:rFonts w:ascii="Arial" w:cs="Arial" w:eastAsia="Arial" w:hAnsi="Arial"/>
                <w:sz w:val="18"/>
                <w:szCs w:val="18"/>
                <w:color w:val="auto"/>
              </w:rPr>
              <w:t>51,000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Due to manager</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177,853,023</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169,897,377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NET ASSETS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par value $.001, 100,000,000 common shares authorized, 5,748,247 and 5,672,227 common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4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189,583,336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188,714,329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Distribution in excess of net investment income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(26,128,907)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(26,217,902)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Accumulated net realized loss from investments and derivatives</w:t>
            </w:r>
          </w:p>
        </w:tc>
        <w:tc>
          <w:tcPr>
            <w:tcW w:w="180" w:type="dxa"/>
            <w:vAlign w:val="bottom"/>
          </w:tcPr>
          <w:p>
            <w:pPr>
              <w:spacing w:after="0"/>
              <w:rPr>
                <w:sz w:val="18"/>
                <w:szCs w:val="18"/>
                <w:color w:val="auto"/>
              </w:rPr>
            </w:pP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(27,872,650)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(40,172,549)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unrealized appreciation (depreciation) on investments and derivatives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(7,907,797)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2,820,325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Total net assets</w:t>
            </w: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127,679,730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125,149,875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305,532,753</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295,047,252</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For the 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For the nine months ended</w:t>
            </w: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November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November 30</w:t>
            </w:r>
          </w:p>
        </w:tc>
      </w:tr>
      <w:tr>
        <w:trPr>
          <w:trHeight w:val="142"/>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6,787,898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5,435,083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19,969,849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16,961,744</w:t>
            </w: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Payment-in-kind interest income from Non-control/Non-affiliate investments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169,332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41,322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482,687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995,465</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750,605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1,587,925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2,020,301</w:t>
            </w:r>
          </w:p>
        </w:tc>
      </w:tr>
      <w:tr>
        <w:trPr>
          <w:trHeight w:val="223"/>
        </w:trPr>
        <w:tc>
          <w:tcPr>
            <w:tcW w:w="20" w:type="dxa"/>
            <w:vAlign w:val="bottom"/>
          </w:tcPr>
          <w:p>
            <w:pPr>
              <w:spacing w:after="0"/>
              <w:rPr>
                <w:sz w:val="19"/>
                <w:szCs w:val="19"/>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Total interest income</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7,455,829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6,227,010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22,040,461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19,977,510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Management fee income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375,218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369,388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1,123,559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1,121,286</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338,219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1,618,238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1,153,838</w:t>
            </w:r>
          </w:p>
        </w:tc>
      </w:tr>
      <w:tr>
        <w:trPr>
          <w:trHeight w:val="230"/>
        </w:trPr>
        <w:tc>
          <w:tcPr>
            <w:tcW w:w="20" w:type="dxa"/>
            <w:vAlign w:val="bottom"/>
          </w:tcPr>
          <w:p>
            <w:pPr>
              <w:spacing w:after="0"/>
              <w:rPr>
                <w:sz w:val="20"/>
                <w:szCs w:val="20"/>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8,442,295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6,935,924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24,798,684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22,255,408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Interest and debt financing expenses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2,369,108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2,129,105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7,106,869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6,240,946</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1,219,916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1,091,405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3,649,867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3,366,739</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330,197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347,639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991,723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1,030,616</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991,667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850,000</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394,509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404,218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2,331,241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2,160,772</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68,985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210,301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259,895</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Directors fees and expenses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66,000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192,422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153,000</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351,875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741,743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738,244</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Excise tax expense (credit)</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(123,338)</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5,023,421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4,785,504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16,237,480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14,676,874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3,418,874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2,150,420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8,561,204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7,578,534</w:t>
            </w: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REALIZED AND UNREALIZED GAIN (LOSS) ON INVESTMENTS: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447,813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12,299,899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4,231,006</w:t>
            </w: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(2,105,342)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823,093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(10,728,122)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239,354</w:t>
            </w: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(loss) on investments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(1,845,098)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1,270,906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4,470,360</w:t>
            </w: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1,573,776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3,421,326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10,132,981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12,048,894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 BASIC AND DILUTED EARNINGS PER COMMON</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02"/>
        </w:trPr>
        <w:tc>
          <w:tcPr>
            <w:tcW w:w="20" w:type="dxa"/>
            <w:vAlign w:val="bottom"/>
          </w:tcPr>
          <w:p>
            <w:pPr>
              <w:spacing w:after="0"/>
              <w:rPr>
                <w:sz w:val="17"/>
                <w:szCs w:val="17"/>
                <w:color w:val="auto"/>
              </w:rPr>
            </w:pPr>
          </w:p>
        </w:tc>
        <w:tc>
          <w:tcPr>
            <w:tcW w:w="678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 OUTSTANDING - BASIC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5,727,933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5,632,011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5,735,443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5,533,094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November 30, 2016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900" w:orient="portrait"/>
          <w:cols w:equalWidth="0" w:num="1">
            <w:col w:w="11420"/>
          </w:cols>
          <w:pgMar w:left="240" w:top="459" w:right="239" w:bottom="0" w:gutter="0" w:footer="0" w:header="0"/>
        </w:sect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620" w:type="dxa"/>
            <w:vAlign w:val="bottom"/>
          </w:tcPr>
          <w:p>
            <w:pPr>
              <w:spacing w:after="0"/>
              <w:rPr>
                <w:sz w:val="14"/>
                <w:szCs w:val="14"/>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Industry</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3"/>
              </w:rPr>
              <w:t>Investment Interest Rate /</w:t>
            </w:r>
          </w:p>
        </w:tc>
        <w:tc>
          <w:tcPr>
            <w:tcW w:w="0" w:type="dxa"/>
            <w:vAlign w:val="bottom"/>
          </w:tcPr>
          <w:p>
            <w:pPr>
              <w:spacing w:after="0"/>
              <w:rPr>
                <w:sz w:val="1"/>
                <w:szCs w:val="1"/>
                <w:color w:val="auto"/>
              </w:rPr>
            </w:pPr>
          </w:p>
        </w:tc>
      </w:tr>
      <w:tr>
        <w:trPr>
          <w:trHeight w:val="185"/>
        </w:trPr>
        <w:tc>
          <w:tcPr>
            <w:tcW w:w="25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780" w:type="dxa"/>
            <w:vAlign w:val="bottom"/>
            <w:gridSpan w:val="5"/>
          </w:tcPr>
          <w:p>
            <w:pPr>
              <w:spacing w:after="0" w:line="110" w:lineRule="exact"/>
              <w:rPr>
                <w:sz w:val="20"/>
                <w:szCs w:val="20"/>
                <w:color w:val="auto"/>
              </w:rPr>
            </w:pPr>
            <w:r>
              <w:rPr>
                <w:rFonts w:ascii="Arial" w:cs="Arial" w:eastAsia="Arial" w:hAnsi="Arial"/>
                <w:sz w:val="12"/>
                <w:szCs w:val="12"/>
                <w:b w:val="1"/>
                <w:bCs w:val="1"/>
                <w:color w:val="auto"/>
              </w:rPr>
              <w:t>Non-control/Non-affiliated investments - 205.4% (b)</w:t>
            </w:r>
          </w:p>
        </w:tc>
        <w:tc>
          <w:tcPr>
            <w:tcW w:w="2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CAMP International Systems (d)</w:t>
            </w:r>
          </w:p>
        </w:tc>
        <w:tc>
          <w:tcPr>
            <w:tcW w:w="226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Aerospace and Defense</w:t>
            </w:r>
          </w:p>
        </w:tc>
        <w:tc>
          <w:tcPr>
            <w:tcW w:w="2660" w:type="dxa"/>
            <w:vAlign w:val="bottom"/>
          </w:tcPr>
          <w:p>
            <w:pPr>
              <w:spacing w:after="0" w:line="149" w:lineRule="exact"/>
              <w:rPr>
                <w:sz w:val="20"/>
                <w:szCs w:val="20"/>
                <w:color w:val="auto"/>
              </w:rPr>
            </w:pPr>
            <w:r>
              <w:rPr>
                <w:rFonts w:ascii="Arial" w:cs="Arial" w:eastAsia="Arial" w:hAnsi="Arial"/>
                <w:sz w:val="14"/>
                <w:szCs w:val="14"/>
                <w:color w:val="auto"/>
                <w:w w:val="99"/>
              </w:rPr>
              <w:t>Second Lien Term Loan (L+7.25%), 8.25%</w:t>
            </w: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Cash, 8/18/2024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Principal/</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2"/>
                <w:szCs w:val="12"/>
                <w:color w:val="auto"/>
              </w:rPr>
            </w:pPr>
          </w:p>
        </w:tc>
        <w:tc>
          <w:tcPr>
            <w:tcW w:w="7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5"/>
              </w:rPr>
              <w:t>Fair Value (c)</w:t>
            </w:r>
          </w:p>
        </w:tc>
        <w:tc>
          <w:tcPr>
            <w:tcW w:w="200" w:type="dxa"/>
            <w:vAlign w:val="bottom"/>
            <w:vMerge w:val="restart"/>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740" w:type="dxa"/>
            <w:vAlign w:val="bottom"/>
          </w:tcPr>
          <w:p>
            <w:pPr>
              <w:jc w:val="center"/>
              <w:spacing w:after="0"/>
              <w:rPr>
                <w:sz w:val="20"/>
                <w:szCs w:val="20"/>
                <w:color w:val="auto"/>
              </w:rPr>
            </w:pPr>
            <w:r>
              <w:rPr>
                <w:rFonts w:ascii="Arial" w:cs="Arial" w:eastAsia="Arial" w:hAnsi="Arial"/>
                <w:sz w:val="14"/>
                <w:szCs w:val="14"/>
                <w:color w:val="auto"/>
              </w:rPr>
              <w:t>$ 1,000,000</w:t>
            </w:r>
          </w:p>
        </w:tc>
        <w:tc>
          <w:tcPr>
            <w:tcW w:w="18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995,171</w:t>
            </w: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   1,020,000</w:t>
            </w:r>
          </w:p>
        </w:tc>
        <w:tc>
          <w:tcPr>
            <w:tcW w:w="2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2">
            <w:col w:w="7440" w:space="100"/>
            <w:col w:w="3880"/>
          </w:cols>
          <w:pgMar w:left="240" w:top="459" w:right="239" w:bottom="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9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Total Aerospace and Defense</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4"/>
                <w:szCs w:val="14"/>
                <w:color w:val="auto"/>
              </w:rPr>
              <w:t>995,171</w:t>
            </w: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1,020,000</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37"/>
        </w:trPr>
        <w:tc>
          <w:tcPr>
            <w:tcW w:w="3020" w:type="dxa"/>
            <w:vAlign w:val="bottom"/>
            <w:gridSpan w:val="2"/>
          </w:tcPr>
          <w:p>
            <w:pPr>
              <w:spacing w:after="0" w:line="137" w:lineRule="exact"/>
              <w:rPr>
                <w:sz w:val="20"/>
                <w:szCs w:val="20"/>
                <w:color w:val="auto"/>
              </w:rPr>
            </w:pPr>
            <w:r>
              <w:rPr>
                <w:rFonts w:ascii="Arial" w:cs="Arial" w:eastAsia="Arial" w:hAnsi="Arial"/>
                <w:sz w:val="14"/>
                <w:szCs w:val="14"/>
                <w:color w:val="auto"/>
              </w:rPr>
              <w:t>Polar Holding Company, Ltd. (a), (d), (i)</w:t>
            </w:r>
          </w:p>
        </w:tc>
        <w:tc>
          <w:tcPr>
            <w:tcW w:w="1520" w:type="dxa"/>
            <w:vAlign w:val="bottom"/>
          </w:tcPr>
          <w:p>
            <w:pPr>
              <w:ind w:left="120"/>
              <w:spacing w:after="0" w:line="137" w:lineRule="exact"/>
              <w:rPr>
                <w:sz w:val="20"/>
                <w:szCs w:val="20"/>
                <w:color w:val="auto"/>
              </w:rPr>
            </w:pPr>
            <w:r>
              <w:rPr>
                <w:rFonts w:ascii="Arial" w:cs="Arial" w:eastAsia="Arial" w:hAnsi="Arial"/>
                <w:sz w:val="14"/>
                <w:szCs w:val="14"/>
                <w:color w:val="auto"/>
              </w:rPr>
              <w:t>Building Products</w:t>
            </w:r>
          </w:p>
        </w:tc>
        <w:tc>
          <w:tcPr>
            <w:tcW w:w="2960" w:type="dxa"/>
            <w:vAlign w:val="bottom"/>
          </w:tcPr>
          <w:p>
            <w:pPr>
              <w:ind w:left="240"/>
              <w:spacing w:after="0" w:line="137" w:lineRule="exact"/>
              <w:rPr>
                <w:sz w:val="20"/>
                <w:szCs w:val="20"/>
                <w:color w:val="auto"/>
              </w:rPr>
            </w:pPr>
            <w:r>
              <w:rPr>
                <w:rFonts w:ascii="Arial" w:cs="Arial" w:eastAsia="Arial" w:hAnsi="Arial"/>
                <w:sz w:val="14"/>
                <w:szCs w:val="14"/>
                <w:color w:val="auto"/>
              </w:rPr>
              <w:t>First Lien Term Loan (L+9.00%), 10.00%</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Cash, 9/30/2016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2,000,000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2,000,000</w:t>
            </w:r>
          </w:p>
        </w:tc>
        <w:tc>
          <w:tcPr>
            <w:tcW w:w="880" w:type="dxa"/>
            <w:vAlign w:val="bottom"/>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Building Products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7"/>
        </w:trPr>
        <w:tc>
          <w:tcPr>
            <w:tcW w:w="3020" w:type="dxa"/>
            <w:vAlign w:val="bottom"/>
            <w:gridSpan w:val="2"/>
          </w:tcPr>
          <w:p>
            <w:pPr>
              <w:spacing w:after="0" w:line="137" w:lineRule="exact"/>
              <w:rPr>
                <w:sz w:val="20"/>
                <w:szCs w:val="20"/>
                <w:color w:val="auto"/>
              </w:rPr>
            </w:pPr>
            <w:r>
              <w:rPr>
                <w:rFonts w:ascii="Arial" w:cs="Arial" w:eastAsia="Arial" w:hAnsi="Arial"/>
                <w:sz w:val="14"/>
                <w:szCs w:val="14"/>
                <w:color w:val="auto"/>
              </w:rPr>
              <w:t>Apex Holdings Software Technologies, LLC</w:t>
            </w:r>
          </w:p>
        </w:tc>
        <w:tc>
          <w:tcPr>
            <w:tcW w:w="1520" w:type="dxa"/>
            <w:vAlign w:val="bottom"/>
          </w:tcPr>
          <w:p>
            <w:pPr>
              <w:ind w:left="120"/>
              <w:spacing w:after="0" w:line="137" w:lineRule="exact"/>
              <w:rPr>
                <w:sz w:val="20"/>
                <w:szCs w:val="20"/>
                <w:color w:val="auto"/>
              </w:rPr>
            </w:pPr>
            <w:r>
              <w:rPr>
                <w:rFonts w:ascii="Arial" w:cs="Arial" w:eastAsia="Arial" w:hAnsi="Arial"/>
                <w:sz w:val="14"/>
                <w:szCs w:val="14"/>
                <w:color w:val="auto"/>
              </w:rPr>
              <w:t>Business Services</w:t>
            </w:r>
          </w:p>
        </w:tc>
        <w:tc>
          <w:tcPr>
            <w:tcW w:w="2960" w:type="dxa"/>
            <w:vAlign w:val="bottom"/>
          </w:tcPr>
          <w:p>
            <w:pPr>
              <w:ind w:left="240"/>
              <w:spacing w:after="0" w:line="137" w:lineRule="exact"/>
              <w:rPr>
                <w:sz w:val="20"/>
                <w:szCs w:val="20"/>
                <w:color w:val="auto"/>
              </w:rPr>
            </w:pPr>
            <w:r>
              <w:rPr>
                <w:rFonts w:ascii="Arial" w:cs="Arial" w:eastAsia="Arial" w:hAnsi="Arial"/>
                <w:sz w:val="14"/>
                <w:szCs w:val="14"/>
                <w:color w:val="auto"/>
              </w:rPr>
              <w:t>First Lien Term Loan (L+8.00%), 9.00%</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Cash, 9/21/2021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w w:val="91"/>
              </w:rPr>
              <w:t>18,000,000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17,848,031</w:t>
            </w:r>
          </w:p>
        </w:tc>
        <w:tc>
          <w:tcPr>
            <w:tcW w:w="880" w:type="dxa"/>
            <w:vAlign w:val="bottom"/>
          </w:tcPr>
          <w:p>
            <w:pPr>
              <w:jc w:val="right"/>
              <w:spacing w:after="0"/>
              <w:rPr>
                <w:sz w:val="20"/>
                <w:szCs w:val="20"/>
                <w:color w:val="auto"/>
              </w:rPr>
            </w:pPr>
            <w:r>
              <w:rPr>
                <w:rFonts w:ascii="Arial" w:cs="Arial" w:eastAsia="Arial" w:hAnsi="Arial"/>
                <w:sz w:val="14"/>
                <w:szCs w:val="14"/>
                <w:color w:val="auto"/>
              </w:rPr>
              <w:t>17,842,500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Avionte Holdings, LLC (g)</w:t>
            </w: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Business Services</w:t>
            </w:r>
          </w:p>
        </w:tc>
        <w:tc>
          <w:tcPr>
            <w:tcW w:w="29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100,000</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100,000</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251,000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Avionte Holdings, LLC</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tcPr>
          <w:p>
            <w:pPr>
              <w:ind w:left="240"/>
              <w:spacing w:after="0" w:line="130" w:lineRule="exact"/>
              <w:rPr>
                <w:sz w:val="20"/>
                <w:szCs w:val="20"/>
                <w:color w:val="auto"/>
              </w:rPr>
            </w:pPr>
            <w:r>
              <w:rPr>
                <w:rFonts w:ascii="Arial" w:cs="Arial" w:eastAsia="Arial" w:hAnsi="Arial"/>
                <w:sz w:val="14"/>
                <w:szCs w:val="14"/>
                <w:color w:val="auto"/>
              </w:rPr>
              <w:t>First Lien Term Loan (L+8.25%), 9.75%</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Cash, 1/8/2019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2,279,278</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2,257,229</w:t>
            </w:r>
          </w:p>
        </w:tc>
        <w:tc>
          <w:tcPr>
            <w:tcW w:w="880" w:type="dxa"/>
            <w:vAlign w:val="bottom"/>
          </w:tcPr>
          <w:p>
            <w:pPr>
              <w:jc w:val="right"/>
              <w:spacing w:after="0"/>
              <w:rPr>
                <w:sz w:val="20"/>
                <w:szCs w:val="20"/>
                <w:color w:val="auto"/>
              </w:rPr>
            </w:pPr>
            <w:r>
              <w:rPr>
                <w:rFonts w:ascii="Arial" w:cs="Arial" w:eastAsia="Arial" w:hAnsi="Arial"/>
                <w:sz w:val="14"/>
                <w:szCs w:val="14"/>
                <w:color w:val="auto"/>
              </w:rPr>
              <w:t>2,279,278</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Avionte Holdings, LLC (j), (k)</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Delayed Draw Term Loan A (L+8.25%),</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9.75% Cash, 1/8/2019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BMC Software, Inc. (d)</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tcPr>
          <w:p>
            <w:pPr>
              <w:ind w:left="240"/>
              <w:spacing w:after="0" w:line="130" w:lineRule="exact"/>
              <w:rPr>
                <w:sz w:val="20"/>
                <w:szCs w:val="20"/>
                <w:color w:val="auto"/>
              </w:rPr>
            </w:pPr>
            <w:r>
              <w:rPr>
                <w:rFonts w:ascii="Arial" w:cs="Arial" w:eastAsia="Arial" w:hAnsi="Arial"/>
                <w:sz w:val="14"/>
                <w:szCs w:val="14"/>
                <w:color w:val="auto"/>
              </w:rPr>
              <w:t>First Lien Term Loan (L+4.00%), 5.00%</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Cash, 9/10/2020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5,626,667</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5,594,987</w:t>
            </w:r>
          </w:p>
        </w:tc>
        <w:tc>
          <w:tcPr>
            <w:tcW w:w="880" w:type="dxa"/>
            <w:vAlign w:val="bottom"/>
          </w:tcPr>
          <w:p>
            <w:pPr>
              <w:jc w:val="right"/>
              <w:spacing w:after="0"/>
              <w:rPr>
                <w:sz w:val="20"/>
                <w:szCs w:val="20"/>
                <w:color w:val="auto"/>
              </w:rPr>
            </w:pPr>
            <w:r>
              <w:rPr>
                <w:rFonts w:ascii="Arial" w:cs="Arial" w:eastAsia="Arial" w:hAnsi="Arial"/>
                <w:sz w:val="14"/>
                <w:szCs w:val="14"/>
                <w:color w:val="auto"/>
              </w:rPr>
              <w:t>5,493,315</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Courion Corporation</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5"/>
              </w:rPr>
              <w:t>Second Lien Term Loan (L+10.00%), 11.00%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6/1/2021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1"/>
              </w:rPr>
              <w:t>15,000,000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14,872,231</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13,932,000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Dispensing Dynamics International (d)</w:t>
            </w:r>
          </w:p>
        </w:tc>
        <w:tc>
          <w:tcPr>
            <w:tcW w:w="1520" w:type="dxa"/>
            <w:vAlign w:val="bottom"/>
          </w:tcPr>
          <w:p>
            <w:pPr>
              <w:ind w:left="120"/>
              <w:spacing w:after="0" w:line="149" w:lineRule="exact"/>
              <w:rPr>
                <w:sz w:val="20"/>
                <w:szCs w:val="20"/>
                <w:color w:val="auto"/>
              </w:rPr>
            </w:pPr>
            <w:r>
              <w:rPr>
                <w:rFonts w:ascii="Arial" w:cs="Arial" w:eastAsia="Arial" w:hAnsi="Arial"/>
                <w:sz w:val="14"/>
                <w:szCs w:val="14"/>
                <w:color w:val="auto"/>
              </w:rPr>
              <w:t>Business Services</w:t>
            </w:r>
          </w:p>
        </w:tc>
        <w:tc>
          <w:tcPr>
            <w:tcW w:w="2960" w:type="dxa"/>
            <w:vAlign w:val="bottom"/>
          </w:tcPr>
          <w:p>
            <w:pPr>
              <w:ind w:left="240"/>
              <w:spacing w:after="0" w:line="149" w:lineRule="exact"/>
              <w:rPr>
                <w:sz w:val="20"/>
                <w:szCs w:val="20"/>
                <w:color w:val="auto"/>
              </w:rPr>
            </w:pPr>
            <w:r>
              <w:rPr>
                <w:rFonts w:ascii="Arial" w:cs="Arial" w:eastAsia="Arial" w:hAnsi="Arial"/>
                <w:sz w:val="14"/>
                <w:szCs w:val="14"/>
                <w:color w:val="auto"/>
                <w:w w:val="96"/>
              </w:rPr>
              <w:t>Senior Secured Note 12.50% Cash, 1/1/2018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1"/>
              </w:rPr>
              <w:t>12,000,000</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12,015,235</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11,640,000</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Easy Ice, LLC (d)</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(L+8.75%), 9.50%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1/15/2020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1"/>
              </w:rPr>
              <w:t>16,000,000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15,876,901</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16,080,000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Emily Street Enterprises, L.L.C.</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tcPr>
          <w:p>
            <w:pPr>
              <w:ind w:left="240"/>
              <w:spacing w:after="0" w:line="130" w:lineRule="exact"/>
              <w:rPr>
                <w:sz w:val="20"/>
                <w:szCs w:val="20"/>
                <w:color w:val="auto"/>
              </w:rPr>
            </w:pPr>
            <w:r>
              <w:rPr>
                <w:rFonts w:ascii="Arial" w:cs="Arial" w:eastAsia="Arial" w:hAnsi="Arial"/>
                <w:sz w:val="14"/>
                <w:szCs w:val="14"/>
                <w:color w:val="auto"/>
              </w:rPr>
              <w:t>Senior Secured Note (L+8.50%), 10.00%</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Cash, 1/23/2020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3,300,000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3,277,195</w:t>
            </w:r>
          </w:p>
        </w:tc>
        <w:tc>
          <w:tcPr>
            <w:tcW w:w="880" w:type="dxa"/>
            <w:vAlign w:val="bottom"/>
          </w:tcPr>
          <w:p>
            <w:pPr>
              <w:jc w:val="right"/>
              <w:spacing w:after="0"/>
              <w:rPr>
                <w:sz w:val="20"/>
                <w:szCs w:val="20"/>
                <w:color w:val="auto"/>
              </w:rPr>
            </w:pPr>
            <w:r>
              <w:rPr>
                <w:rFonts w:ascii="Arial" w:cs="Arial" w:eastAsia="Arial" w:hAnsi="Arial"/>
                <w:sz w:val="14"/>
                <w:szCs w:val="14"/>
                <w:color w:val="auto"/>
              </w:rPr>
              <w:t>3,318,810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Emily Street Enterprises, L.L.C. (g)</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 Membership Interests, Expires</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12/28/2022</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49,318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400,000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476,541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Erwin, Inc.</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tcPr>
          <w:p>
            <w:pPr>
              <w:ind w:left="240"/>
              <w:spacing w:after="0" w:line="130" w:lineRule="exact"/>
              <w:rPr>
                <w:sz w:val="20"/>
                <w:szCs w:val="20"/>
                <w:color w:val="auto"/>
              </w:rPr>
            </w:pPr>
            <w:r>
              <w:rPr>
                <w:rFonts w:ascii="Arial" w:cs="Arial" w:eastAsia="Arial" w:hAnsi="Arial"/>
                <w:sz w:val="14"/>
                <w:szCs w:val="14"/>
                <w:color w:val="auto"/>
                <w:w w:val="95"/>
              </w:rPr>
              <w:t>Second Lien Term Loan (L+11.50%), 13.50%</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(11.50% Cash/1.00% PIK), 8/28/2021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w w:val="91"/>
              </w:rPr>
              <w:t>13,077,419</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12,957,650</w:t>
            </w:r>
          </w:p>
        </w:tc>
        <w:tc>
          <w:tcPr>
            <w:tcW w:w="880" w:type="dxa"/>
            <w:vAlign w:val="bottom"/>
          </w:tcPr>
          <w:p>
            <w:pPr>
              <w:jc w:val="right"/>
              <w:spacing w:after="0"/>
              <w:rPr>
                <w:sz w:val="20"/>
                <w:szCs w:val="20"/>
                <w:color w:val="auto"/>
              </w:rPr>
            </w:pPr>
            <w:r>
              <w:rPr>
                <w:rFonts w:ascii="Arial" w:cs="Arial" w:eastAsia="Arial" w:hAnsi="Arial"/>
                <w:sz w:val="14"/>
                <w:szCs w:val="14"/>
                <w:color w:val="auto"/>
              </w:rPr>
              <w:t>13,077,419</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GreyHeller LLC</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(L+11.00%), 12.00%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11/16/2021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7,000,000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6,930,320</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6,930,000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GreyHeller LLC (j), (k)</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tcPr>
          <w:p>
            <w:pPr>
              <w:ind w:left="240"/>
              <w:spacing w:after="0" w:line="130" w:lineRule="exact"/>
              <w:rPr>
                <w:sz w:val="20"/>
                <w:szCs w:val="20"/>
                <w:color w:val="auto"/>
              </w:rPr>
            </w:pPr>
            <w:r>
              <w:rPr>
                <w:rFonts w:ascii="Arial" w:cs="Arial" w:eastAsia="Arial" w:hAnsi="Arial"/>
                <w:sz w:val="14"/>
                <w:szCs w:val="14"/>
                <w:color w:val="auto"/>
              </w:rPr>
              <w:t>Delayed Draw Term Loan B (L+11.00%),</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12.00% Cash, 11/16/2021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GreyHeller LLC (g)</w:t>
            </w: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Business Services</w:t>
            </w:r>
          </w:p>
        </w:tc>
        <w:tc>
          <w:tcPr>
            <w:tcW w:w="29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850,000</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850,000</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850,000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w w:val="97"/>
              </w:rPr>
              <w:t>Help/Systems Holdings, Inc.(Help/Systems, LLC)</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tcPr>
          <w:p>
            <w:pPr>
              <w:ind w:left="240"/>
              <w:spacing w:after="0" w:line="130" w:lineRule="exact"/>
              <w:rPr>
                <w:sz w:val="20"/>
                <w:szCs w:val="20"/>
                <w:color w:val="auto"/>
              </w:rPr>
            </w:pPr>
            <w:r>
              <w:rPr>
                <w:rFonts w:ascii="Arial" w:cs="Arial" w:eastAsia="Arial" w:hAnsi="Arial"/>
                <w:sz w:val="14"/>
                <w:szCs w:val="14"/>
                <w:color w:val="auto"/>
              </w:rPr>
              <w:t>First Lien Term Loan (L+5.25%), 6.25%</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Cash, 10/8/2021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4,962,500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4,878,301</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4,921,311</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Help/Systems Holdings, Inc.(Help/Systems, LLC)</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8"/>
              </w:rPr>
              <w:t>Second Lien Term Loan (L+9.50%), 10.50%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10/8/2022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3,000,000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2,919,579</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Identity Automation Systems</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tcPr>
          <w:p>
            <w:pPr>
              <w:ind w:left="240"/>
              <w:spacing w:after="0" w:line="130" w:lineRule="exact"/>
              <w:rPr>
                <w:sz w:val="20"/>
                <w:szCs w:val="20"/>
                <w:color w:val="auto"/>
              </w:rPr>
            </w:pPr>
            <w:r>
              <w:rPr>
                <w:rFonts w:ascii="Arial" w:cs="Arial" w:eastAsia="Arial" w:hAnsi="Arial"/>
                <w:sz w:val="14"/>
                <w:szCs w:val="14"/>
                <w:color w:val="auto"/>
                <w:w w:val="97"/>
              </w:rPr>
              <w:t>Convertible Promissory Note 13.50% (6.75%</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Cash/6.75% PIK), 8/18/2018</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611,517</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611,521</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611,521</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Identity Automation Systems (g)</w:t>
            </w: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Business Services</w:t>
            </w:r>
          </w:p>
        </w:tc>
        <w:tc>
          <w:tcPr>
            <w:tcW w:w="29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 Stock Class A Units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232,616</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232,616</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549,258</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Identity Automation Systems</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tcPr>
          <w:p>
            <w:pPr>
              <w:ind w:left="240"/>
              <w:spacing w:after="0" w:line="130" w:lineRule="exact"/>
              <w:rPr>
                <w:sz w:val="20"/>
                <w:szCs w:val="20"/>
                <w:color w:val="auto"/>
              </w:rPr>
            </w:pPr>
            <w:r>
              <w:rPr>
                <w:rFonts w:ascii="Arial" w:cs="Arial" w:eastAsia="Arial" w:hAnsi="Arial"/>
                <w:sz w:val="14"/>
                <w:szCs w:val="14"/>
                <w:color w:val="auto"/>
              </w:rPr>
              <w:t>First Lien Term Loan (L+9.25%), 12.00%</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(9.25% Cash/1.75% PIK) 12/18/2020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w w:val="91"/>
              </w:rPr>
              <w:t>10,248,887</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10,172,877</w:t>
            </w:r>
          </w:p>
        </w:tc>
        <w:tc>
          <w:tcPr>
            <w:tcW w:w="880" w:type="dxa"/>
            <w:vAlign w:val="bottom"/>
          </w:tcPr>
          <w:p>
            <w:pPr>
              <w:jc w:val="right"/>
              <w:spacing w:after="0"/>
              <w:rPr>
                <w:sz w:val="20"/>
                <w:szCs w:val="20"/>
                <w:color w:val="auto"/>
              </w:rPr>
            </w:pPr>
            <w:r>
              <w:rPr>
                <w:rFonts w:ascii="Arial" w:cs="Arial" w:eastAsia="Arial" w:hAnsi="Arial"/>
                <w:sz w:val="14"/>
                <w:szCs w:val="14"/>
                <w:color w:val="auto"/>
              </w:rPr>
              <w:t>10,248,887</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Knowland Technology Holdings, L.L.C.</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(L+8.75%), 9.75%</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11/29/2017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1"/>
              </w:rPr>
              <w:t>17,777,730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17,664,387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17,777,730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Microsystems Company</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tcPr>
          <w:p>
            <w:pPr>
              <w:ind w:left="240"/>
              <w:spacing w:after="0" w:line="130" w:lineRule="exact"/>
              <w:rPr>
                <w:sz w:val="20"/>
                <w:szCs w:val="20"/>
                <w:color w:val="auto"/>
              </w:rPr>
            </w:pPr>
            <w:r>
              <w:rPr>
                <w:rFonts w:ascii="Arial" w:cs="Arial" w:eastAsia="Arial" w:hAnsi="Arial"/>
                <w:sz w:val="14"/>
                <w:szCs w:val="14"/>
                <w:color w:val="auto"/>
                <w:w w:val="95"/>
              </w:rPr>
              <w:t>Second Lien Term Loan (L+10.00%), 11.00%</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Cash, 7/1/2022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8,000,000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7,924,524</w:t>
            </w:r>
          </w:p>
        </w:tc>
        <w:tc>
          <w:tcPr>
            <w:tcW w:w="880" w:type="dxa"/>
            <w:vAlign w:val="bottom"/>
          </w:tcPr>
          <w:p>
            <w:pPr>
              <w:jc w:val="right"/>
              <w:spacing w:after="0"/>
              <w:rPr>
                <w:sz w:val="20"/>
                <w:szCs w:val="20"/>
                <w:color w:val="auto"/>
              </w:rPr>
            </w:pPr>
            <w:r>
              <w:rPr>
                <w:rFonts w:ascii="Arial" w:cs="Arial" w:eastAsia="Arial" w:hAnsi="Arial"/>
                <w:sz w:val="14"/>
                <w:szCs w:val="14"/>
                <w:color w:val="auto"/>
              </w:rPr>
              <w:t>7,920,000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 LLC (d)</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14.00% (12.00%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Cash/2.00% PIK), 3/6/2018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8,877,910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8,826,316</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8,877,910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Vector Controls Holding Co., LLC (d), (g)</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960" w:type="dxa"/>
            <w:vAlign w:val="bottom"/>
          </w:tcPr>
          <w:p>
            <w:pPr>
              <w:ind w:left="240"/>
              <w:spacing w:after="0" w:line="130" w:lineRule="exact"/>
              <w:rPr>
                <w:sz w:val="20"/>
                <w:szCs w:val="20"/>
                <w:color w:val="auto"/>
              </w:rPr>
            </w:pPr>
            <w:r>
              <w:rPr>
                <w:rFonts w:ascii="Arial" w:cs="Arial" w:eastAsia="Arial" w:hAnsi="Arial"/>
                <w:sz w:val="14"/>
                <w:szCs w:val="14"/>
                <w:color w:val="auto"/>
              </w:rPr>
              <w:t>Warrants to Purchase Limited Liability</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Company Interests, Expires 5/31/2025</w:t>
            </w:r>
          </w:p>
        </w:tc>
        <w:tc>
          <w:tcPr>
            <w:tcW w:w="12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343</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352,260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Business Services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146,209,900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146,249,740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4"/>
                <w:szCs w:val="14"/>
                <w:color w:val="auto"/>
              </w:rPr>
              <w:t>Targus Holdings, Inc. (d), (g)</w:t>
            </w:r>
          </w:p>
        </w:tc>
        <w:tc>
          <w:tcPr>
            <w:tcW w:w="1520" w:type="dxa"/>
            <w:vAlign w:val="bottom"/>
            <w:vMerge w:val="restart"/>
          </w:tcPr>
          <w:p>
            <w:pPr>
              <w:ind w:left="120"/>
              <w:spacing w:after="0"/>
              <w:rPr>
                <w:sz w:val="20"/>
                <w:szCs w:val="20"/>
                <w:color w:val="auto"/>
              </w:rPr>
            </w:pPr>
            <w:r>
              <w:rPr>
                <w:rFonts w:ascii="Arial" w:cs="Arial" w:eastAsia="Arial" w:hAnsi="Arial"/>
                <w:sz w:val="14"/>
                <w:szCs w:val="14"/>
                <w:color w:val="auto"/>
              </w:rPr>
              <w:t>Consumer Products</w:t>
            </w:r>
          </w:p>
        </w:tc>
        <w:tc>
          <w:tcPr>
            <w:tcW w:w="2960" w:type="dxa"/>
            <w:vAlign w:val="bottom"/>
            <w:vMerge w:val="restart"/>
          </w:tcPr>
          <w:p>
            <w:pPr>
              <w:ind w:left="24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line="20" w:lineRule="exact"/>
              <w:rPr>
                <w:sz w:val="1"/>
                <w:szCs w:val="1"/>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210,456</w:t>
            </w: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1,791,242</w:t>
            </w:r>
          </w:p>
        </w:tc>
        <w:tc>
          <w:tcPr>
            <w:tcW w:w="18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Targus Holdings, Inc. (d)</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Consumer Products</w:t>
            </w:r>
          </w:p>
        </w:tc>
        <w:tc>
          <w:tcPr>
            <w:tcW w:w="29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Second Lien Term Loan A-2 15.00% PIK,</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12/31/2019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228,909</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228,909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228,909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Targus Holdings, Inc. (d)</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Consumer Products</w:t>
            </w:r>
          </w:p>
        </w:tc>
        <w:tc>
          <w:tcPr>
            <w:tcW w:w="2960" w:type="dxa"/>
            <w:vAlign w:val="bottom"/>
          </w:tcPr>
          <w:p>
            <w:pPr>
              <w:ind w:left="240"/>
              <w:spacing w:after="0" w:line="130" w:lineRule="exact"/>
              <w:rPr>
                <w:sz w:val="20"/>
                <w:szCs w:val="20"/>
                <w:color w:val="auto"/>
              </w:rPr>
            </w:pPr>
            <w:r>
              <w:rPr>
                <w:rFonts w:ascii="Arial" w:cs="Arial" w:eastAsia="Arial" w:hAnsi="Arial"/>
                <w:sz w:val="14"/>
                <w:szCs w:val="14"/>
                <w:color w:val="auto"/>
              </w:rPr>
              <w:t>Second Lien Term Loan B 15.00% PIK,</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12/31/2019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686,726</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686,726</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558,171</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Consumer Products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2,706,877</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787,080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7"/>
        </w:trPr>
        <w:tc>
          <w:tcPr>
            <w:tcW w:w="3020" w:type="dxa"/>
            <w:vAlign w:val="bottom"/>
            <w:gridSpan w:val="2"/>
          </w:tcPr>
          <w:p>
            <w:pPr>
              <w:spacing w:after="0" w:line="137" w:lineRule="exact"/>
              <w:rPr>
                <w:sz w:val="20"/>
                <w:szCs w:val="20"/>
                <w:color w:val="auto"/>
              </w:rPr>
            </w:pPr>
            <w:r>
              <w:rPr>
                <w:rFonts w:ascii="Arial" w:cs="Arial" w:eastAsia="Arial" w:hAnsi="Arial"/>
                <w:sz w:val="14"/>
                <w:szCs w:val="14"/>
                <w:color w:val="auto"/>
              </w:rPr>
              <w:t>My Alarm Center, LLC</w:t>
            </w:r>
          </w:p>
        </w:tc>
        <w:tc>
          <w:tcPr>
            <w:tcW w:w="1520" w:type="dxa"/>
            <w:vAlign w:val="bottom"/>
          </w:tcPr>
          <w:p>
            <w:pPr>
              <w:ind w:left="120"/>
              <w:spacing w:after="0" w:line="137" w:lineRule="exact"/>
              <w:rPr>
                <w:sz w:val="20"/>
                <w:szCs w:val="20"/>
                <w:color w:val="auto"/>
              </w:rPr>
            </w:pPr>
            <w:r>
              <w:rPr>
                <w:rFonts w:ascii="Arial" w:cs="Arial" w:eastAsia="Arial" w:hAnsi="Arial"/>
                <w:sz w:val="14"/>
                <w:szCs w:val="14"/>
                <w:color w:val="auto"/>
              </w:rPr>
              <w:t>Consumer Services</w:t>
            </w:r>
          </w:p>
        </w:tc>
        <w:tc>
          <w:tcPr>
            <w:tcW w:w="2960" w:type="dxa"/>
            <w:vAlign w:val="bottom"/>
          </w:tcPr>
          <w:p>
            <w:pPr>
              <w:ind w:left="240"/>
              <w:spacing w:after="0" w:line="137" w:lineRule="exact"/>
              <w:rPr>
                <w:sz w:val="20"/>
                <w:szCs w:val="20"/>
                <w:color w:val="auto"/>
              </w:rPr>
            </w:pPr>
            <w:r>
              <w:rPr>
                <w:rFonts w:ascii="Arial" w:cs="Arial" w:eastAsia="Arial" w:hAnsi="Arial"/>
                <w:sz w:val="14"/>
                <w:szCs w:val="14"/>
                <w:color w:val="auto"/>
                <w:w w:val="95"/>
              </w:rPr>
              <w:t>Second Lien Term Loan (L+11.00%), 12.00%</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Cash, 7/9/2019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9,375,000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9,357,973</w:t>
            </w:r>
          </w:p>
        </w:tc>
        <w:tc>
          <w:tcPr>
            <w:tcW w:w="880" w:type="dxa"/>
            <w:vAlign w:val="bottom"/>
          </w:tcPr>
          <w:p>
            <w:pPr>
              <w:jc w:val="right"/>
              <w:spacing w:after="0"/>
              <w:rPr>
                <w:sz w:val="20"/>
                <w:szCs w:val="20"/>
                <w:color w:val="auto"/>
              </w:rPr>
            </w:pPr>
            <w:r>
              <w:rPr>
                <w:rFonts w:ascii="Arial" w:cs="Arial" w:eastAsia="Arial" w:hAnsi="Arial"/>
                <w:sz w:val="14"/>
                <w:szCs w:val="14"/>
                <w:color w:val="auto"/>
              </w:rPr>
              <w:t>9,345,938</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Consumer Services</w:t>
            </w:r>
          </w:p>
        </w:tc>
        <w:tc>
          <w:tcPr>
            <w:tcW w:w="29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(L+5.25%), 6.50%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7/1/2019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1,488,754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1,483,515</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1,487,266</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Consumer Services</w:t>
            </w:r>
          </w:p>
        </w:tc>
        <w:tc>
          <w:tcPr>
            <w:tcW w:w="2960" w:type="dxa"/>
            <w:vAlign w:val="bottom"/>
          </w:tcPr>
          <w:p>
            <w:pPr>
              <w:ind w:left="240"/>
              <w:spacing w:after="0" w:line="130" w:lineRule="exact"/>
              <w:rPr>
                <w:sz w:val="20"/>
                <w:szCs w:val="20"/>
                <w:color w:val="auto"/>
              </w:rPr>
            </w:pPr>
            <w:r>
              <w:rPr>
                <w:rFonts w:ascii="Arial" w:cs="Arial" w:eastAsia="Arial" w:hAnsi="Arial"/>
                <w:sz w:val="14"/>
                <w:szCs w:val="14"/>
                <w:color w:val="auto"/>
                <w:w w:val="98"/>
              </w:rPr>
              <w:t>Second Lien Term Loan (L+9.25%), 10.25%</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Cash, 7/1/2020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w w:val="91"/>
              </w:rPr>
              <w:t>10,000,000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9,968,634</w:t>
            </w:r>
          </w:p>
        </w:tc>
        <w:tc>
          <w:tcPr>
            <w:tcW w:w="880" w:type="dxa"/>
            <w:vAlign w:val="bottom"/>
          </w:tcPr>
          <w:p>
            <w:pPr>
              <w:jc w:val="right"/>
              <w:spacing w:after="0"/>
              <w:rPr>
                <w:sz w:val="20"/>
                <w:szCs w:val="20"/>
                <w:color w:val="auto"/>
              </w:rPr>
            </w:pPr>
            <w:r>
              <w:rPr>
                <w:rFonts w:ascii="Arial" w:cs="Arial" w:eastAsia="Arial" w:hAnsi="Arial"/>
                <w:sz w:val="14"/>
                <w:szCs w:val="14"/>
                <w:color w:val="auto"/>
              </w:rPr>
              <w:t>9,904,000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Consumer Services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20,810,122</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20,737,204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4"/>
                <w:szCs w:val="14"/>
                <w:color w:val="auto"/>
              </w:rPr>
              <w:t>M/C Acquisition Corp., L.L.C. (d), (g)</w:t>
            </w:r>
          </w:p>
        </w:tc>
        <w:tc>
          <w:tcPr>
            <w:tcW w:w="1520" w:type="dxa"/>
            <w:vAlign w:val="bottom"/>
            <w:vMerge w:val="restart"/>
          </w:tcPr>
          <w:p>
            <w:pPr>
              <w:ind w:left="120"/>
              <w:spacing w:after="0"/>
              <w:rPr>
                <w:sz w:val="20"/>
                <w:szCs w:val="20"/>
                <w:color w:val="auto"/>
              </w:rPr>
            </w:pPr>
            <w:r>
              <w:rPr>
                <w:rFonts w:ascii="Arial" w:cs="Arial" w:eastAsia="Arial" w:hAnsi="Arial"/>
                <w:sz w:val="14"/>
                <w:szCs w:val="14"/>
                <w:color w:val="auto"/>
              </w:rPr>
              <w:t>Education</w:t>
            </w:r>
          </w:p>
        </w:tc>
        <w:tc>
          <w:tcPr>
            <w:tcW w:w="2960" w:type="dxa"/>
            <w:vAlign w:val="bottom"/>
            <w:vMerge w:val="restart"/>
          </w:tcPr>
          <w:p>
            <w:pPr>
              <w:ind w:left="240"/>
              <w:spacing w:after="0"/>
              <w:rPr>
                <w:sz w:val="20"/>
                <w:szCs w:val="20"/>
                <w:color w:val="auto"/>
              </w:rPr>
            </w:pPr>
            <w:r>
              <w:rPr>
                <w:rFonts w:ascii="Arial" w:cs="Arial" w:eastAsia="Arial" w:hAnsi="Arial"/>
                <w:sz w:val="14"/>
                <w:szCs w:val="14"/>
                <w:color w:val="auto"/>
              </w:rPr>
              <w:t>Class A Common Stock</w:t>
            </w:r>
          </w:p>
        </w:tc>
        <w:tc>
          <w:tcPr>
            <w:tcW w:w="120" w:type="dxa"/>
            <w:vAlign w:val="bottom"/>
          </w:tcPr>
          <w:p>
            <w:pPr>
              <w:spacing w:after="0" w:line="20" w:lineRule="exact"/>
              <w:rPr>
                <w:sz w:val="1"/>
                <w:szCs w:val="1"/>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544,761</w:t>
            </w: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30,241</w:t>
            </w:r>
          </w:p>
        </w:tc>
        <w:tc>
          <w:tcPr>
            <w:tcW w:w="18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M/C Acquisition Corp., L.L.C. (d)</w:t>
            </w: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Education</w:t>
            </w:r>
          </w:p>
        </w:tc>
        <w:tc>
          <w:tcPr>
            <w:tcW w:w="29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6"/>
              </w:rPr>
              <w:t>First Lien Term Loan 1.00% Cash, 3/31/2018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2,321,073</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1,193,790</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8,087</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Teachers of Tomorrow, LLC (g), (h)</w:t>
            </w:r>
          </w:p>
        </w:tc>
        <w:tc>
          <w:tcPr>
            <w:tcW w:w="1520" w:type="dxa"/>
            <w:vAlign w:val="bottom"/>
          </w:tcPr>
          <w:p>
            <w:pPr>
              <w:ind w:left="120"/>
              <w:spacing w:after="0" w:line="149" w:lineRule="exact"/>
              <w:rPr>
                <w:sz w:val="20"/>
                <w:szCs w:val="20"/>
                <w:color w:val="auto"/>
              </w:rPr>
            </w:pPr>
            <w:r>
              <w:rPr>
                <w:rFonts w:ascii="Arial" w:cs="Arial" w:eastAsia="Arial" w:hAnsi="Arial"/>
                <w:sz w:val="14"/>
                <w:szCs w:val="14"/>
                <w:color w:val="auto"/>
              </w:rPr>
              <w:t>Education</w:t>
            </w:r>
          </w:p>
        </w:tc>
        <w:tc>
          <w:tcPr>
            <w:tcW w:w="2960" w:type="dxa"/>
            <w:vAlign w:val="bottom"/>
          </w:tcPr>
          <w:p>
            <w:pPr>
              <w:ind w:left="24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750</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750,000</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910,545</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Teachers of Tomorrow, LLC</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Education</w:t>
            </w:r>
          </w:p>
        </w:tc>
        <w:tc>
          <w:tcPr>
            <w:tcW w:w="29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8"/>
              </w:rPr>
              <w:t>Second Lien Term Loan (L+9.75%), 10.75%</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6/2/2021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1"/>
              </w:rPr>
              <w:t>10,000,000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9,914,485</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60" w:type="dxa"/>
            <w:vAlign w:val="bottom"/>
            <w:vMerge w:val="restart"/>
          </w:tcPr>
          <w:p>
            <w:pPr>
              <w:jc w:val="right"/>
              <w:spacing w:after="0"/>
              <w:rPr>
                <w:sz w:val="20"/>
                <w:szCs w:val="20"/>
                <w:color w:val="auto"/>
              </w:rPr>
            </w:pPr>
            <w:r>
              <w:rPr>
                <w:rFonts w:ascii="Arial" w:cs="Arial" w:eastAsia="Arial" w:hAnsi="Arial"/>
                <w:sz w:val="14"/>
                <w:szCs w:val="14"/>
                <w:color w:val="auto"/>
              </w:rPr>
              <w:t>Total Education</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11,888,516</w:t>
            </w:r>
          </w:p>
        </w:tc>
        <w:tc>
          <w:tcPr>
            <w:tcW w:w="180" w:type="dxa"/>
            <w:vAlign w:val="bottom"/>
            <w:vMerge w:val="continue"/>
          </w:tcPr>
          <w:p>
            <w:pPr>
              <w:spacing w:after="0"/>
              <w:rPr>
                <w:sz w:val="14"/>
                <w:szCs w:val="14"/>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10,918,632</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TM Restaurant Group L.L.C.</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Food and Beverage</w:t>
            </w:r>
          </w:p>
        </w:tc>
        <w:tc>
          <w:tcPr>
            <w:tcW w:w="29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(L+8.50%), 9.75%</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7/16/2017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9,358,694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9,313,879</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8,422,825</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60" w:type="dxa"/>
            <w:vAlign w:val="bottom"/>
            <w:vMerge w:val="restart"/>
          </w:tcPr>
          <w:p>
            <w:pPr>
              <w:jc w:val="right"/>
              <w:spacing w:after="0"/>
              <w:rPr>
                <w:sz w:val="20"/>
                <w:szCs w:val="20"/>
                <w:color w:val="auto"/>
              </w:rPr>
            </w:pPr>
            <w:r>
              <w:rPr>
                <w:rFonts w:ascii="Arial" w:cs="Arial" w:eastAsia="Arial" w:hAnsi="Arial"/>
                <w:sz w:val="14"/>
                <w:szCs w:val="14"/>
                <w:color w:val="auto"/>
              </w:rPr>
              <w:t>Total Food and Beverage</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9,313,879</w:t>
            </w:r>
          </w:p>
        </w:tc>
        <w:tc>
          <w:tcPr>
            <w:tcW w:w="180" w:type="dxa"/>
            <w:vAlign w:val="bottom"/>
            <w:vMerge w:val="continue"/>
          </w:tcPr>
          <w:p>
            <w:pPr>
              <w:spacing w:after="0"/>
              <w:rPr>
                <w:sz w:val="14"/>
                <w:szCs w:val="14"/>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8,422,825</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Censis Technologies, Inc.</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Healthcare Services</w:t>
            </w:r>
          </w:p>
        </w:tc>
        <w:tc>
          <w:tcPr>
            <w:tcW w:w="29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8"/>
              </w:rPr>
              <w:t>First Lien Term Loan B (L+10.00%), 11.00%</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7/24/2019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1"/>
              </w:rPr>
              <w:t>11,250,000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11,114,850</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10,871,661</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Censis Technologies, Inc. (g), (h)</w:t>
            </w:r>
          </w:p>
        </w:tc>
        <w:tc>
          <w:tcPr>
            <w:tcW w:w="1520" w:type="dxa"/>
            <w:vAlign w:val="bottom"/>
          </w:tcPr>
          <w:p>
            <w:pPr>
              <w:ind w:left="120"/>
              <w:spacing w:after="0" w:line="149" w:lineRule="exact"/>
              <w:rPr>
                <w:sz w:val="20"/>
                <w:szCs w:val="20"/>
                <w:color w:val="auto"/>
              </w:rPr>
            </w:pPr>
            <w:r>
              <w:rPr>
                <w:rFonts w:ascii="Arial" w:cs="Arial" w:eastAsia="Arial" w:hAnsi="Arial"/>
                <w:sz w:val="14"/>
                <w:szCs w:val="14"/>
                <w:color w:val="auto"/>
              </w:rPr>
              <w:t>Healthcare Services</w:t>
            </w:r>
          </w:p>
        </w:tc>
        <w:tc>
          <w:tcPr>
            <w:tcW w:w="2960" w:type="dxa"/>
            <w:vAlign w:val="bottom"/>
          </w:tcPr>
          <w:p>
            <w:pPr>
              <w:ind w:left="240"/>
              <w:spacing w:after="0" w:line="149" w:lineRule="exact"/>
              <w:rPr>
                <w:sz w:val="20"/>
                <w:szCs w:val="20"/>
                <w:color w:val="auto"/>
              </w:rPr>
            </w:pPr>
            <w:r>
              <w:rPr>
                <w:rFonts w:ascii="Arial" w:cs="Arial" w:eastAsia="Arial" w:hAnsi="Arial"/>
                <w:sz w:val="14"/>
                <w:szCs w:val="14"/>
                <w:color w:val="auto"/>
              </w:rPr>
              <w:t>Limited Partner Interests</w:t>
            </w:r>
          </w:p>
        </w:tc>
        <w:tc>
          <w:tcPr>
            <w:tcW w:w="12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999</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999,000</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725,936</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Roscoe Medical, Inc. (d), (g)</w:t>
            </w: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Healthcare Services</w:t>
            </w:r>
          </w:p>
        </w:tc>
        <w:tc>
          <w:tcPr>
            <w:tcW w:w="29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5,081</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508,077</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678,931</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Roscoe Medical, Inc.</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Healthcare Services</w:t>
            </w:r>
          </w:p>
        </w:tc>
        <w:tc>
          <w:tcPr>
            <w:tcW w:w="2960" w:type="dxa"/>
            <w:vAlign w:val="bottom"/>
          </w:tcPr>
          <w:p>
            <w:pPr>
              <w:ind w:left="240"/>
              <w:spacing w:after="0" w:line="130" w:lineRule="exact"/>
              <w:rPr>
                <w:sz w:val="20"/>
                <w:szCs w:val="20"/>
                <w:color w:val="auto"/>
              </w:rPr>
            </w:pPr>
            <w:r>
              <w:rPr>
                <w:rFonts w:ascii="Arial" w:cs="Arial" w:eastAsia="Arial" w:hAnsi="Arial"/>
                <w:sz w:val="14"/>
                <w:szCs w:val="14"/>
                <w:color w:val="auto"/>
              </w:rPr>
              <w:t>Second Lien Term Loan 11.25% Cash,</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9/26/2019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4,200,000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4,151,963</w:t>
            </w:r>
          </w:p>
        </w:tc>
        <w:tc>
          <w:tcPr>
            <w:tcW w:w="880" w:type="dxa"/>
            <w:vAlign w:val="bottom"/>
          </w:tcPr>
          <w:p>
            <w:pPr>
              <w:jc w:val="right"/>
              <w:spacing w:after="0"/>
              <w:rPr>
                <w:sz w:val="20"/>
                <w:szCs w:val="20"/>
                <w:color w:val="auto"/>
              </w:rPr>
            </w:pPr>
            <w:r>
              <w:rPr>
                <w:rFonts w:ascii="Arial" w:cs="Arial" w:eastAsia="Arial" w:hAnsi="Arial"/>
                <w:sz w:val="14"/>
                <w:szCs w:val="14"/>
                <w:color w:val="auto"/>
              </w:rPr>
              <w:t>4,154,220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Ohio Medical, LLC (g)</w:t>
            </w: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Healthcare Services</w:t>
            </w:r>
          </w:p>
        </w:tc>
        <w:tc>
          <w:tcPr>
            <w:tcW w:w="29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5,000</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329,096</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Ohio Medical, LLC</w:t>
            </w:r>
          </w:p>
        </w:tc>
        <w:tc>
          <w:tcPr>
            <w:tcW w:w="1520" w:type="dxa"/>
            <w:vAlign w:val="bottom"/>
          </w:tcPr>
          <w:p>
            <w:pPr>
              <w:ind w:left="120"/>
              <w:spacing w:after="0" w:line="149" w:lineRule="exact"/>
              <w:rPr>
                <w:sz w:val="20"/>
                <w:szCs w:val="20"/>
                <w:color w:val="auto"/>
              </w:rPr>
            </w:pPr>
            <w:r>
              <w:rPr>
                <w:rFonts w:ascii="Arial" w:cs="Arial" w:eastAsia="Arial" w:hAnsi="Arial"/>
                <w:sz w:val="14"/>
                <w:szCs w:val="14"/>
                <w:color w:val="auto"/>
              </w:rPr>
              <w:t>Healthcare Services</w:t>
            </w:r>
          </w:p>
        </w:tc>
        <w:tc>
          <w:tcPr>
            <w:tcW w:w="2960" w:type="dxa"/>
            <w:vAlign w:val="bottom"/>
          </w:tcPr>
          <w:p>
            <w:pPr>
              <w:ind w:left="240"/>
              <w:spacing w:after="0" w:line="149" w:lineRule="exact"/>
              <w:rPr>
                <w:sz w:val="20"/>
                <w:szCs w:val="20"/>
                <w:color w:val="auto"/>
              </w:rPr>
            </w:pPr>
            <w:r>
              <w:rPr>
                <w:rFonts w:ascii="Arial" w:cs="Arial" w:eastAsia="Arial" w:hAnsi="Arial"/>
                <w:sz w:val="14"/>
                <w:szCs w:val="14"/>
                <w:color w:val="auto"/>
                <w:w w:val="95"/>
              </w:rPr>
              <w:t>Senior Subordinated Note 12.00%, 7/15/2021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7,300,000</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7,235,173</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7,234,300</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Zest Holdings, LLC (d)</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Healthcare Services</w:t>
            </w:r>
          </w:p>
        </w:tc>
        <w:tc>
          <w:tcPr>
            <w:tcW w:w="29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(L+4.75%), 5.75%</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8/16/2020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4,136,911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4,081,904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4,134,015</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60" w:type="dxa"/>
            <w:vAlign w:val="bottom"/>
            <w:vMerge w:val="restart"/>
          </w:tcPr>
          <w:p>
            <w:pPr>
              <w:jc w:val="right"/>
              <w:spacing w:after="0"/>
              <w:rPr>
                <w:sz w:val="20"/>
                <w:szCs w:val="20"/>
                <w:color w:val="auto"/>
              </w:rPr>
            </w:pPr>
            <w:r>
              <w:rPr>
                <w:rFonts w:ascii="Arial" w:cs="Arial" w:eastAsia="Arial" w:hAnsi="Arial"/>
                <w:sz w:val="14"/>
                <w:szCs w:val="14"/>
                <w:color w:val="auto"/>
              </w:rPr>
              <w:t>Total Healthcare Services</w:t>
            </w: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28,590,967</w:t>
            </w:r>
          </w:p>
        </w:tc>
        <w:tc>
          <w:tcPr>
            <w:tcW w:w="180" w:type="dxa"/>
            <w:vAlign w:val="bottom"/>
            <w:vMerge w:val="continue"/>
          </w:tcPr>
          <w:p>
            <w:pPr>
              <w:spacing w:after="0"/>
              <w:rPr>
                <w:sz w:val="14"/>
                <w:szCs w:val="14"/>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28,128,159</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Media</w:t>
            </w:r>
          </w:p>
        </w:tc>
        <w:tc>
          <w:tcPr>
            <w:tcW w:w="29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10.00% Cash,</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5/16/2019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8,581,357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8,485,902</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8,581,357</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0" w:type="dxa"/>
            <w:vAlign w:val="bottom"/>
          </w:tcPr>
          <w:p>
            <w:pPr>
              <w:spacing w:after="0" w:line="130" w:lineRule="exact"/>
              <w:rPr>
                <w:sz w:val="20"/>
                <w:szCs w:val="20"/>
                <w:color w:val="auto"/>
              </w:rPr>
            </w:pPr>
            <w:r>
              <w:rPr>
                <w:rFonts w:ascii="Arial" w:cs="Arial" w:eastAsia="Arial" w:hAnsi="Arial"/>
                <w:sz w:val="14"/>
                <w:szCs w:val="14"/>
                <w:color w:val="auto"/>
              </w:rPr>
              <w:t>HMN Holdco, LLC</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Media</w:t>
            </w:r>
          </w:p>
        </w:tc>
        <w:tc>
          <w:tcPr>
            <w:tcW w:w="2960" w:type="dxa"/>
            <w:vAlign w:val="bottom"/>
          </w:tcPr>
          <w:p>
            <w:pPr>
              <w:ind w:left="240"/>
              <w:spacing w:after="0" w:line="130" w:lineRule="exact"/>
              <w:rPr>
                <w:sz w:val="20"/>
                <w:szCs w:val="20"/>
                <w:color w:val="auto"/>
              </w:rPr>
            </w:pPr>
            <w:r>
              <w:rPr>
                <w:rFonts w:ascii="Arial" w:cs="Arial" w:eastAsia="Arial" w:hAnsi="Arial"/>
                <w:sz w:val="14"/>
                <w:szCs w:val="14"/>
                <w:color w:val="auto"/>
                <w:w w:val="99"/>
              </w:rPr>
              <w:t>Delayed Draw First Lien Term Loan 10.00%</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ind w:left="240"/>
              <w:spacing w:after="0"/>
              <w:rPr>
                <w:sz w:val="20"/>
                <w:szCs w:val="20"/>
                <w:color w:val="auto"/>
              </w:rPr>
            </w:pPr>
            <w:r>
              <w:rPr>
                <w:rFonts w:ascii="Arial" w:cs="Arial" w:eastAsia="Arial" w:hAnsi="Arial"/>
                <w:sz w:val="14"/>
                <w:szCs w:val="14"/>
                <w:color w:val="auto"/>
              </w:rPr>
              <w:t>Cash, 5/16/2019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4,800,000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4,748,026</w:t>
            </w:r>
          </w:p>
        </w:tc>
        <w:tc>
          <w:tcPr>
            <w:tcW w:w="880" w:type="dxa"/>
            <w:vAlign w:val="bottom"/>
          </w:tcPr>
          <w:p>
            <w:pPr>
              <w:jc w:val="right"/>
              <w:spacing w:after="0"/>
              <w:rPr>
                <w:sz w:val="20"/>
                <w:szCs w:val="20"/>
                <w:color w:val="auto"/>
              </w:rPr>
            </w:pPr>
            <w:r>
              <w:rPr>
                <w:rFonts w:ascii="Arial" w:cs="Arial" w:eastAsia="Arial" w:hAnsi="Arial"/>
                <w:sz w:val="14"/>
                <w:szCs w:val="14"/>
                <w:color w:val="auto"/>
              </w:rPr>
              <w:t>4,800,000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HMN Holdco, LLC (g)</w:t>
            </w: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Media</w:t>
            </w:r>
          </w:p>
        </w:tc>
        <w:tc>
          <w:tcPr>
            <w:tcW w:w="29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Class A Series, Expires 1/16/2025</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4,264</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61,647</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282,106</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line="149" w:lineRule="exact"/>
              <w:rPr>
                <w:sz w:val="20"/>
                <w:szCs w:val="20"/>
                <w:color w:val="auto"/>
              </w:rPr>
            </w:pPr>
            <w:r>
              <w:rPr>
                <w:rFonts w:ascii="Arial" w:cs="Arial" w:eastAsia="Arial" w:hAnsi="Arial"/>
                <w:sz w:val="14"/>
                <w:szCs w:val="14"/>
                <w:color w:val="auto"/>
              </w:rPr>
              <w:t>HMN Holdco, LLC (g)</w:t>
            </w:r>
          </w:p>
        </w:tc>
        <w:tc>
          <w:tcPr>
            <w:tcW w:w="1520" w:type="dxa"/>
            <w:vAlign w:val="bottom"/>
          </w:tcPr>
          <w:p>
            <w:pPr>
              <w:ind w:left="120"/>
              <w:spacing w:after="0" w:line="149" w:lineRule="exact"/>
              <w:rPr>
                <w:sz w:val="20"/>
                <w:szCs w:val="20"/>
                <w:color w:val="auto"/>
              </w:rPr>
            </w:pPr>
            <w:r>
              <w:rPr>
                <w:rFonts w:ascii="Arial" w:cs="Arial" w:eastAsia="Arial" w:hAnsi="Arial"/>
                <w:sz w:val="14"/>
                <w:szCs w:val="14"/>
                <w:color w:val="auto"/>
              </w:rPr>
              <w:t>Media</w:t>
            </w:r>
          </w:p>
        </w:tc>
        <w:tc>
          <w:tcPr>
            <w:tcW w:w="2960" w:type="dxa"/>
            <w:vAlign w:val="bottom"/>
          </w:tcPr>
          <w:p>
            <w:pPr>
              <w:ind w:left="240"/>
              <w:spacing w:after="0" w:line="149" w:lineRule="exact"/>
              <w:rPr>
                <w:sz w:val="20"/>
                <w:szCs w:val="20"/>
                <w:color w:val="auto"/>
              </w:rPr>
            </w:pPr>
            <w:r>
              <w:rPr>
                <w:rFonts w:ascii="Arial" w:cs="Arial" w:eastAsia="Arial" w:hAnsi="Arial"/>
                <w:sz w:val="14"/>
                <w:szCs w:val="14"/>
                <w:color w:val="auto"/>
              </w:rPr>
              <w:t>Class A Warrant, Expires 1/16/2025</w:t>
            </w:r>
          </w:p>
        </w:tc>
        <w:tc>
          <w:tcPr>
            <w:tcW w:w="12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30,320</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438,353</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1,616,966</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30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2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HMN Holdco, LLC (g)</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Media</w:t>
            </w:r>
          </w:p>
        </w:tc>
        <w:tc>
          <w:tcPr>
            <w:tcW w:w="3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Warrants to Purchase Limited Liability</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57,872</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2,791,745</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Company Interests (Common), Expires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5/16/2024</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line="130" w:lineRule="exact"/>
              <w:rPr>
                <w:sz w:val="20"/>
                <w:szCs w:val="20"/>
                <w:color w:val="auto"/>
              </w:rPr>
            </w:pPr>
            <w:r>
              <w:rPr>
                <w:rFonts w:ascii="Arial" w:cs="Arial" w:eastAsia="Arial" w:hAnsi="Arial"/>
                <w:sz w:val="14"/>
                <w:szCs w:val="14"/>
                <w:color w:val="auto"/>
              </w:rPr>
              <w:t>HMN Holdco, LLC (g)</w:t>
            </w: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Media</w:t>
            </w:r>
          </w:p>
        </w:tc>
        <w:tc>
          <w:tcPr>
            <w:tcW w:w="3040" w:type="dxa"/>
            <w:vAlign w:val="bottom"/>
          </w:tcPr>
          <w:p>
            <w:pPr>
              <w:ind w:left="280"/>
              <w:spacing w:after="0" w:line="130" w:lineRule="exact"/>
              <w:rPr>
                <w:sz w:val="20"/>
                <w:szCs w:val="20"/>
                <w:color w:val="auto"/>
              </w:rPr>
            </w:pPr>
            <w:r>
              <w:rPr>
                <w:rFonts w:ascii="Arial" w:cs="Arial" w:eastAsia="Arial" w:hAnsi="Arial"/>
                <w:sz w:val="14"/>
                <w:szCs w:val="14"/>
                <w:color w:val="auto"/>
              </w:rPr>
              <w:t>Warrants to Purchase Limited Liability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40" w:type="dxa"/>
            <w:vAlign w:val="bottom"/>
          </w:tcPr>
          <w:p>
            <w:pPr>
              <w:ind w:left="280"/>
              <w:spacing w:after="0" w:line="149" w:lineRule="exact"/>
              <w:rPr>
                <w:sz w:val="20"/>
                <w:szCs w:val="20"/>
                <w:color w:val="auto"/>
              </w:rPr>
            </w:pPr>
            <w:r>
              <w:rPr>
                <w:rFonts w:ascii="Arial" w:cs="Arial" w:eastAsia="Arial" w:hAnsi="Arial"/>
                <w:sz w:val="14"/>
                <w:szCs w:val="14"/>
                <w:color w:val="auto"/>
              </w:rPr>
              <w:t>Company Interests (Preferred), Expires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40" w:type="dxa"/>
            <w:vAlign w:val="bottom"/>
          </w:tcPr>
          <w:p>
            <w:pPr>
              <w:ind w:left="280"/>
              <w:spacing w:after="0"/>
              <w:rPr>
                <w:sz w:val="20"/>
                <w:szCs w:val="20"/>
                <w:color w:val="auto"/>
              </w:rPr>
            </w:pPr>
            <w:r>
              <w:rPr>
                <w:rFonts w:ascii="Arial" w:cs="Arial" w:eastAsia="Arial" w:hAnsi="Arial"/>
                <w:sz w:val="14"/>
                <w:szCs w:val="14"/>
                <w:color w:val="auto"/>
              </w:rPr>
              <w:t>5/16/2024</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8,139</w:t>
            </w: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449,761</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0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Media</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13,733,928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18,521,935</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4"/>
                <w:szCs w:val="14"/>
                <w:color w:val="auto"/>
              </w:rPr>
              <w:t>Elyria Foundry Company, L.L.C. (d), (g)</w:t>
            </w:r>
          </w:p>
        </w:tc>
        <w:tc>
          <w:tcPr>
            <w:tcW w:w="1420" w:type="dxa"/>
            <w:vAlign w:val="bottom"/>
            <w:vMerge w:val="restart"/>
          </w:tcPr>
          <w:p>
            <w:pPr>
              <w:ind w:left="60"/>
              <w:spacing w:after="0"/>
              <w:rPr>
                <w:sz w:val="20"/>
                <w:szCs w:val="20"/>
                <w:color w:val="auto"/>
              </w:rPr>
            </w:pPr>
            <w:r>
              <w:rPr>
                <w:rFonts w:ascii="Arial" w:cs="Arial" w:eastAsia="Arial" w:hAnsi="Arial"/>
                <w:sz w:val="14"/>
                <w:szCs w:val="14"/>
                <w:color w:val="auto"/>
              </w:rPr>
              <w:t>Metals</w:t>
            </w:r>
          </w:p>
        </w:tc>
        <w:tc>
          <w:tcPr>
            <w:tcW w:w="3040" w:type="dxa"/>
            <w:vAlign w:val="bottom"/>
            <w:vMerge w:val="restart"/>
          </w:tcPr>
          <w:p>
            <w:pPr>
              <w:ind w:left="28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line="20" w:lineRule="exact"/>
              <w:rPr>
                <w:sz w:val="1"/>
                <w:szCs w:val="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35,000</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8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3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9,217,564</w:t>
            </w: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357,350</w:t>
            </w:r>
          </w:p>
        </w:tc>
        <w:tc>
          <w:tcPr>
            <w:tcW w:w="20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Elyria Foundry Company, L.L.C. (d)</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Metals</w:t>
            </w:r>
          </w:p>
        </w:tc>
        <w:tc>
          <w:tcPr>
            <w:tcW w:w="30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Revolver (L+8.50%), 10.00%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3/31/2017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40" w:type="dxa"/>
            <w:vAlign w:val="bottom"/>
            <w:vMerge w:val="restart"/>
          </w:tcPr>
          <w:p>
            <w:pPr>
              <w:jc w:val="right"/>
              <w:ind w:right="28"/>
              <w:spacing w:after="0"/>
              <w:rPr>
                <w:sz w:val="20"/>
                <w:szCs w:val="20"/>
                <w:color w:val="auto"/>
              </w:rPr>
            </w:pPr>
            <w:r>
              <w:rPr>
                <w:rFonts w:ascii="Arial" w:cs="Arial" w:eastAsia="Arial" w:hAnsi="Arial"/>
                <w:sz w:val="14"/>
                <w:szCs w:val="14"/>
                <w:color w:val="auto"/>
              </w:rPr>
              <w:t>Total Metals</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17,717,564</w:t>
            </w: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8,857,350</w:t>
            </w:r>
          </w:p>
        </w:tc>
        <w:tc>
          <w:tcPr>
            <w:tcW w:w="20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Mercury Network, LLC</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Real Estate</w:t>
            </w:r>
          </w:p>
        </w:tc>
        <w:tc>
          <w:tcPr>
            <w:tcW w:w="3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8"/>
              </w:rPr>
              <w:t>First Lien Term Loan 10.5% Cash, 8/24/2021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15,791,286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15,649,233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15,871,821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Mercury Network, LLC (g)</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Real Estate</w:t>
            </w:r>
          </w:p>
        </w:tc>
        <w:tc>
          <w:tcPr>
            <w:tcW w:w="3040" w:type="dxa"/>
            <w:vAlign w:val="bottom"/>
          </w:tcPr>
          <w:p>
            <w:pPr>
              <w:ind w:left="28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413,043</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413,043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789,031</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0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Real Estate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16,062,276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16,660,852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Sub Total Non-control/Non-affiliated investments</w:t>
            </w:r>
          </w:p>
        </w:tc>
        <w:tc>
          <w:tcPr>
            <w:tcW w:w="1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80" w:type="dxa"/>
            <w:vAlign w:val="bottom"/>
            <w:gridSpan w:val="2"/>
            <w:vMerge w:val="continue"/>
          </w:tcPr>
          <w:p>
            <w:pPr>
              <w:spacing w:after="0"/>
              <w:rPr>
                <w:sz w:val="14"/>
                <w:szCs w:val="14"/>
                <w:color w:val="auto"/>
              </w:rPr>
            </w:pPr>
          </w:p>
        </w:tc>
        <w:tc>
          <w:tcPr>
            <w:tcW w:w="1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5"/>
              </w:rPr>
              <w:t>270,029,200</w:t>
            </w:r>
          </w:p>
        </w:tc>
        <w:tc>
          <w:tcPr>
            <w:tcW w:w="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w w:val="97"/>
              </w:rPr>
              <w:t>262,303,777</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- 12.0% (b)</w:t>
            </w:r>
          </w:p>
        </w:tc>
        <w:tc>
          <w:tcPr>
            <w:tcW w:w="142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line="130" w:lineRule="exact"/>
              <w:rPr>
                <w:sz w:val="20"/>
                <w:szCs w:val="20"/>
                <w:color w:val="auto"/>
              </w:rPr>
            </w:pPr>
            <w:r>
              <w:rPr>
                <w:rFonts w:ascii="Arial" w:cs="Arial" w:eastAsia="Arial" w:hAnsi="Arial"/>
                <w:sz w:val="14"/>
                <w:szCs w:val="14"/>
                <w:color w:val="auto"/>
              </w:rPr>
              <w:t>Saratoga Investment Corp. CLO 2013-1, Ltd. (a),</w:t>
            </w:r>
          </w:p>
        </w:tc>
        <w:tc>
          <w:tcPr>
            <w:tcW w:w="1420" w:type="dxa"/>
            <w:vAlign w:val="bottom"/>
          </w:tcPr>
          <w:p>
            <w:pPr>
              <w:ind w:left="60"/>
              <w:spacing w:after="0" w:line="130" w:lineRule="exact"/>
              <w:rPr>
                <w:sz w:val="20"/>
                <w:szCs w:val="20"/>
                <w:color w:val="auto"/>
              </w:rPr>
            </w:pPr>
            <w:r>
              <w:rPr>
                <w:rFonts w:ascii="Arial" w:cs="Arial" w:eastAsia="Arial" w:hAnsi="Arial"/>
                <w:sz w:val="14"/>
                <w:szCs w:val="14"/>
                <w:color w:val="auto"/>
              </w:rPr>
              <w:t>Structured Finance</w:t>
            </w:r>
          </w:p>
        </w:tc>
        <w:tc>
          <w:tcPr>
            <w:tcW w:w="3040" w:type="dxa"/>
            <w:vAlign w:val="bottom"/>
          </w:tcPr>
          <w:p>
            <w:pPr>
              <w:ind w:left="280"/>
              <w:spacing w:after="0" w:line="130" w:lineRule="exact"/>
              <w:rPr>
                <w:sz w:val="20"/>
                <w:szCs w:val="20"/>
                <w:color w:val="auto"/>
              </w:rPr>
            </w:pPr>
            <w:r>
              <w:rPr>
                <w:rFonts w:ascii="Arial" w:cs="Arial" w:eastAsia="Arial" w:hAnsi="Arial"/>
                <w:sz w:val="14"/>
                <w:szCs w:val="14"/>
                <w:color w:val="auto"/>
                <w:w w:val="98"/>
              </w:rPr>
              <w:t>Other/Structured Finance Securities 13.26%,</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(d), (e), (f)</w:t>
            </w:r>
          </w:p>
        </w:tc>
        <w:tc>
          <w:tcPr>
            <w:tcW w:w="1420" w:type="dxa"/>
            <w:vAlign w:val="bottom"/>
          </w:tcPr>
          <w:p>
            <w:pPr>
              <w:ind w:left="60"/>
              <w:spacing w:after="0"/>
              <w:rPr>
                <w:sz w:val="20"/>
                <w:szCs w:val="20"/>
                <w:color w:val="auto"/>
              </w:rPr>
            </w:pPr>
            <w:r>
              <w:rPr>
                <w:rFonts w:ascii="Arial" w:cs="Arial" w:eastAsia="Arial" w:hAnsi="Arial"/>
                <w:sz w:val="14"/>
                <w:szCs w:val="14"/>
                <w:color w:val="auto"/>
              </w:rPr>
              <w:t>Securities</w:t>
            </w:r>
          </w:p>
        </w:tc>
        <w:tc>
          <w:tcPr>
            <w:tcW w:w="3040" w:type="dxa"/>
            <w:vAlign w:val="bottom"/>
          </w:tcPr>
          <w:p>
            <w:pPr>
              <w:ind w:left="280"/>
              <w:spacing w:after="0"/>
              <w:rPr>
                <w:sz w:val="20"/>
                <w:szCs w:val="20"/>
                <w:color w:val="auto"/>
              </w:rPr>
            </w:pPr>
            <w:r>
              <w:rPr>
                <w:rFonts w:ascii="Arial" w:cs="Arial" w:eastAsia="Arial" w:hAnsi="Arial"/>
                <w:sz w:val="14"/>
                <w:szCs w:val="14"/>
                <w:color w:val="auto"/>
              </w:rPr>
              <w:t>10/17/2025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30,000,000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10,948,369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10,986,945</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Saratoga Investment Corp. Class F</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Structured Finance</w:t>
            </w:r>
          </w:p>
        </w:tc>
        <w:tc>
          <w:tcPr>
            <w:tcW w:w="30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Other/Structured Finance Securities</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Note (a), (d), (f)</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Securities</w:t>
            </w:r>
          </w:p>
        </w:tc>
        <w:tc>
          <w:tcPr>
            <w:tcW w:w="3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(L+8.50%), 9.22%, 10/20/2025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4,279,050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4"/>
                <w:szCs w:val="14"/>
                <w:color w:val="auto"/>
              </w:rPr>
              <w:t>Sub Total Control investments</w:t>
            </w:r>
          </w:p>
        </w:tc>
        <w:tc>
          <w:tcPr>
            <w:tcW w:w="1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80" w:type="dxa"/>
            <w:vAlign w:val="bottom"/>
            <w:gridSpan w:val="2"/>
            <w:vMerge w:val="continue"/>
          </w:tcPr>
          <w:p>
            <w:pPr>
              <w:spacing w:after="0"/>
              <w:rPr>
                <w:sz w:val="13"/>
                <w:szCs w:val="13"/>
                <w:color w:val="auto"/>
              </w:rPr>
            </w:pPr>
          </w:p>
        </w:tc>
        <w:tc>
          <w:tcPr>
            <w:tcW w:w="14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15,448,369</w:t>
            </w: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15,265,995</w:t>
            </w:r>
          </w:p>
        </w:tc>
        <w:tc>
          <w:tcPr>
            <w:tcW w:w="20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- 217.4% (b)</w:t>
            </w:r>
          </w:p>
        </w:tc>
        <w:tc>
          <w:tcPr>
            <w:tcW w:w="142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285,477,569</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277,569,772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217.4%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24"/>
                <w:szCs w:val="24"/>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Fair Value</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20" w:type="dxa"/>
            <w:vAlign w:val="bottom"/>
            <w:tcBorders>
              <w:top w:val="single" w:sz="8" w:color="CCEEFF"/>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 and cash and cash equivalents, reserve accounts - 18.2%</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U.S. Bank Money Market (l)</w:t>
            </w:r>
          </w:p>
        </w:tc>
        <w:tc>
          <w:tcPr>
            <w:tcW w:w="14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23,291,512</w:t>
            </w:r>
          </w:p>
        </w:tc>
        <w:tc>
          <w:tcPr>
            <w:tcW w:w="1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23,291,512</w:t>
            </w: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23,291,512</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 and cash and cash equivalents, reserve accounts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23,291,512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23,291,512</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23,291,512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a non-qualifying investment as defined under Section 55 (a) of the Investment Company Act of 1940, as amended. Non-qualifying assets represent 6.2% of the Company’s portfolio at fair value. As a BDC, the Company can only invest 30% of its portfolio in non-qualifying assets.</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Percentages are based on net assets of $127,679,730 as of November 30, 2016.</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6 to the consolidated financial statements).</w:t>
      </w:r>
    </w:p>
    <w:p>
      <w:pPr>
        <w:spacing w:after="0" w:line="20" w:lineRule="exact"/>
        <w:rPr>
          <w:rFonts w:ascii="Arial" w:cs="Arial" w:eastAsia="Arial" w:hAnsi="Arial"/>
          <w:sz w:val="17"/>
          <w:szCs w:val="17"/>
          <w:color w:val="auto"/>
        </w:rPr>
      </w:pPr>
    </w:p>
    <w:p>
      <w:pPr>
        <w:ind w:left="460" w:right="260" w:hanging="452"/>
        <w:spacing w:after="0" w:line="28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13.26% interest rate in the table above represents the effective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7"/>
              </w:rPr>
              <w:t>Sales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Interest</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Management</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1"/>
              </w:rPr>
              <w:t>Net Realized</w:t>
            </w:r>
          </w:p>
        </w:tc>
        <w:tc>
          <w:tcPr>
            <w:tcW w:w="2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Net Unrealized</w:t>
            </w:r>
          </w:p>
        </w:tc>
        <w:tc>
          <w:tcPr>
            <w:tcW w:w="0" w:type="dxa"/>
            <w:vAlign w:val="bottom"/>
          </w:tcPr>
          <w:p>
            <w:pPr>
              <w:spacing w:after="0"/>
              <w:rPr>
                <w:sz w:val="1"/>
                <w:szCs w:val="1"/>
                <w:color w:val="auto"/>
              </w:rPr>
            </w:pPr>
          </w:p>
        </w:tc>
      </w:tr>
      <w:tr>
        <w:trPr>
          <w:trHeight w:val="149"/>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8"/>
              </w:rPr>
              <w:t>Purchases</w:t>
            </w:r>
          </w:p>
        </w:tc>
        <w:tc>
          <w:tcPr>
            <w:tcW w:w="26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Redemptions</w:t>
            </w:r>
          </w:p>
        </w:tc>
        <w:tc>
          <w:tcPr>
            <w:tcW w:w="2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Appreciation</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8"/>
              </w:rPr>
              <w:t>(Cost)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Income</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Fee Income</w:t>
            </w:r>
          </w:p>
        </w:tc>
        <w:tc>
          <w:tcPr>
            <w:tcW w:w="12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w w:val="86"/>
              </w:rPr>
              <w:t>(Losses)</w:t>
            </w:r>
          </w:p>
        </w:tc>
        <w:tc>
          <w:tcPr>
            <w:tcW w:w="2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0" w:type="dxa"/>
            <w:vAlign w:val="bottom"/>
          </w:tcPr>
          <w:p>
            <w:pPr>
              <w:spacing w:after="0"/>
              <w:rPr>
                <w:sz w:val="1"/>
                <w:szCs w:val="1"/>
                <w:color w:val="auto"/>
              </w:rPr>
            </w:pPr>
          </w:p>
        </w:tc>
      </w:tr>
      <w:tr>
        <w:trPr>
          <w:trHeight w:val="182"/>
        </w:trPr>
        <w:tc>
          <w:tcPr>
            <w:tcW w:w="6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Saratoga</w:t>
            </w:r>
          </w:p>
        </w:tc>
        <w:tc>
          <w:tcPr>
            <w:tcW w:w="3800" w:type="dxa"/>
            <w:vAlign w:val="bottom"/>
            <w:tcBorders>
              <w:top w:val="single" w:sz="8" w:color="CCEEFF"/>
            </w:tcBorders>
            <w:shd w:val="clear" w:color="auto" w:fill="CCEEFF"/>
          </w:tcPr>
          <w:p>
            <w:pPr>
              <w:ind w:left="80"/>
              <w:spacing w:after="0" w:line="182" w:lineRule="exact"/>
              <w:rPr>
                <w:sz w:val="20"/>
                <w:szCs w:val="20"/>
                <w:color w:val="auto"/>
              </w:rPr>
            </w:pPr>
            <w:r>
              <w:rPr>
                <w:rFonts w:ascii="Arial" w:cs="Arial" w:eastAsia="Arial" w:hAnsi="Arial"/>
                <w:sz w:val="18"/>
                <w:szCs w:val="18"/>
                <w:color w:val="auto"/>
              </w:rPr>
              <w:t>Investment Corp. CLO</w:t>
            </w: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2013-1, Ltd.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1,569,492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1,123,559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241,347</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Saratoga Investment Corp. Class F Note</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spacing w:after="0"/>
              <w:rPr>
                <w:sz w:val="20"/>
                <w:szCs w:val="20"/>
                <w:color w:val="auto"/>
              </w:rPr>
            </w:pPr>
            <w:r>
              <w:rPr>
                <w:rFonts w:ascii="Arial" w:cs="Arial" w:eastAsia="Arial" w:hAnsi="Arial"/>
                <w:sz w:val="18"/>
                <w:szCs w:val="18"/>
                <w:color w:val="auto"/>
                <w:w w:val="87"/>
              </w:rPr>
              <w:t>4,500,000</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18,433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(220,950)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Non-income producing at November 30,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Non-U.S. company. The principal place of business for Polar Holding Company, Ltd. is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an unfunded commitment as of November 30, 2016 (see Note 7 to the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entire commitment was unfunded at November 30, 2016. As such, no interest is being earned on this investment.</w:t>
      </w:r>
    </w:p>
    <w:p>
      <w:pPr>
        <w:spacing w:after="0" w:line="9"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within cash and cash equivalents and cash and cash equivalents, reserve accounts in the Company’s Consolidated Statements of Assets and Liabilities as of November 30,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8"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29,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Principal/</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18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Industry</w:t>
            </w:r>
          </w:p>
        </w:tc>
        <w:tc>
          <w:tcPr>
            <w:tcW w:w="28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Investment Interest Rate / Maturity</w:t>
            </w:r>
          </w:p>
        </w:tc>
        <w:tc>
          <w:tcPr>
            <w:tcW w:w="8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(c)</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gridSpan w:val="3"/>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2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of Shares</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Non-control/Non-affiliated investments - 216.6% (b)</w:t>
            </w:r>
          </w:p>
        </w:tc>
        <w:tc>
          <w:tcPr>
            <w:tcW w:w="2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National Truck Protection Co., Inc. (d), (g)</w:t>
            </w: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Automotive Aftermarket</w:t>
            </w: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1,116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1,000,000</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1,695,303</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National Truck Protection Co., Inc. (d)</w:t>
            </w: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Automotive Aftermarket</w:t>
            </w: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First Lien Term Loan 15.50% Cash, 9/13/2018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6,776,770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6,776,770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6,776,770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Take 5 Oil Change, L.L.C. (d), (g)</w:t>
            </w: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Automotive Aftermarket</w:t>
            </w: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7,128</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480,535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6,235,209</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Total Automotive Aftermarket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8,257,305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14,707,282</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4"/>
                <w:szCs w:val="14"/>
                <w:color w:val="auto"/>
              </w:rPr>
              <w:t>Legacy Cabinets Holdings (d), (g)</w:t>
            </w:r>
          </w:p>
        </w:tc>
        <w:tc>
          <w:tcPr>
            <w:tcW w:w="1800" w:type="dxa"/>
            <w:vAlign w:val="bottom"/>
            <w:gridSpan w:val="2"/>
            <w:vMerge w:val="restart"/>
          </w:tcPr>
          <w:p>
            <w:pPr>
              <w:spacing w:after="0"/>
              <w:rPr>
                <w:sz w:val="20"/>
                <w:szCs w:val="20"/>
                <w:color w:val="auto"/>
              </w:rPr>
            </w:pPr>
            <w:r>
              <w:rPr>
                <w:rFonts w:ascii="Arial" w:cs="Arial" w:eastAsia="Arial" w:hAnsi="Arial"/>
                <w:sz w:val="14"/>
                <w:szCs w:val="14"/>
                <w:color w:val="auto"/>
              </w:rPr>
              <w:t>Building Products</w:t>
            </w:r>
          </w:p>
        </w:tc>
        <w:tc>
          <w:tcPr>
            <w:tcW w:w="2840" w:type="dxa"/>
            <w:vAlign w:val="bottom"/>
            <w:gridSpan w:val="2"/>
            <w:vMerge w:val="restart"/>
          </w:tcPr>
          <w:p>
            <w:pPr>
              <w:spacing w:after="0"/>
              <w:rPr>
                <w:sz w:val="20"/>
                <w:szCs w:val="20"/>
                <w:color w:val="auto"/>
              </w:rPr>
            </w:pPr>
            <w:r>
              <w:rPr>
                <w:rFonts w:ascii="Arial" w:cs="Arial" w:eastAsia="Arial" w:hAnsi="Arial"/>
                <w:sz w:val="14"/>
                <w:szCs w:val="14"/>
                <w:color w:val="auto"/>
              </w:rPr>
              <w:t>Common Stock Voting A-1</w:t>
            </w:r>
          </w:p>
        </w:tc>
        <w:tc>
          <w:tcPr>
            <w:tcW w:w="80" w:type="dxa"/>
            <w:vAlign w:val="bottom"/>
          </w:tcPr>
          <w:p>
            <w:pPr>
              <w:spacing w:after="0" w:line="20" w:lineRule="exact"/>
              <w:rPr>
                <w:sz w:val="1"/>
                <w:szCs w:val="1"/>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2,535</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80" w:type="dxa"/>
            <w:vAlign w:val="bottom"/>
            <w:gridSpan w:val="3"/>
            <w:vMerge w:val="continue"/>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220,900</w:t>
            </w: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2,676,909</w:t>
            </w:r>
          </w:p>
        </w:tc>
        <w:tc>
          <w:tcPr>
            <w:tcW w:w="18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Building Products</w:t>
            </w: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Voting B-1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1,600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139,424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1,689,568</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Polar Holding Company,</w:t>
            </w:r>
          </w:p>
        </w:tc>
        <w:tc>
          <w:tcPr>
            <w:tcW w:w="1800" w:type="dxa"/>
            <w:vAlign w:val="bottom"/>
            <w:gridSpan w:val="2"/>
          </w:tcPr>
          <w:p>
            <w:pPr>
              <w:spacing w:after="0" w:line="130" w:lineRule="exact"/>
              <w:rPr>
                <w:sz w:val="20"/>
                <w:szCs w:val="20"/>
                <w:color w:val="auto"/>
              </w:rPr>
            </w:pPr>
            <w:r>
              <w:rPr>
                <w:rFonts w:ascii="Arial" w:cs="Arial" w:eastAsia="Arial" w:hAnsi="Arial"/>
                <w:sz w:val="14"/>
                <w:szCs w:val="14"/>
                <w:color w:val="auto"/>
              </w:rPr>
              <w:t>Building Products</w:t>
            </w: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(L+9.00%), 10.00%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gridSpan w:val="2"/>
          </w:tcPr>
          <w:p>
            <w:pPr>
              <w:ind w:left="140"/>
              <w:spacing w:after="0"/>
              <w:rPr>
                <w:sz w:val="20"/>
                <w:szCs w:val="20"/>
                <w:color w:val="auto"/>
              </w:rPr>
            </w:pPr>
            <w:r>
              <w:rPr>
                <w:rFonts w:ascii="Arial" w:cs="Arial" w:eastAsia="Arial" w:hAnsi="Arial"/>
                <w:sz w:val="14"/>
                <w:szCs w:val="14"/>
                <w:color w:val="auto"/>
              </w:rPr>
              <w:t>Ltd. (a), (d), (i)</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Cash, 9/30/2016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2,000,000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2,000,000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Total Building Products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2,360,324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6,366,477</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4"/>
                <w:szCs w:val="14"/>
                <w:color w:val="auto"/>
              </w:rPr>
              <w:t>Avionte Holdings, LLC (g)</w:t>
            </w:r>
          </w:p>
        </w:tc>
        <w:tc>
          <w:tcPr>
            <w:tcW w:w="1800" w:type="dxa"/>
            <w:vAlign w:val="bottom"/>
            <w:gridSpan w:val="2"/>
            <w:vMerge w:val="restart"/>
          </w:tcPr>
          <w:p>
            <w:pPr>
              <w:spacing w:after="0"/>
              <w:rPr>
                <w:sz w:val="20"/>
                <w:szCs w:val="20"/>
                <w:color w:val="auto"/>
              </w:rPr>
            </w:pPr>
            <w:r>
              <w:rPr>
                <w:rFonts w:ascii="Arial" w:cs="Arial" w:eastAsia="Arial" w:hAnsi="Arial"/>
                <w:sz w:val="14"/>
                <w:szCs w:val="14"/>
                <w:color w:val="auto"/>
              </w:rPr>
              <w:t>Business Services</w:t>
            </w:r>
          </w:p>
        </w:tc>
        <w:tc>
          <w:tcPr>
            <w:tcW w:w="2840" w:type="dxa"/>
            <w:vAlign w:val="bottom"/>
            <w:gridSpan w:val="2"/>
            <w:vMerge w:val="restart"/>
          </w:tcPr>
          <w:p>
            <w:pPr>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line="20" w:lineRule="exact"/>
              <w:rPr>
                <w:sz w:val="1"/>
                <w:szCs w:val="1"/>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80" w:type="dxa"/>
            <w:vAlign w:val="bottom"/>
            <w:gridSpan w:val="3"/>
            <w:vMerge w:val="continue"/>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100,000</w:t>
            </w: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169,850</w:t>
            </w:r>
          </w:p>
        </w:tc>
        <w:tc>
          <w:tcPr>
            <w:tcW w:w="18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Avionte Holdings,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First Lien Term Loan (L+8.25%), 9.75%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1/8/2019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2,406,342</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2,376,045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2,382,844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Avionte Holdings, LLC (j), (k)</w:t>
            </w:r>
          </w:p>
        </w:tc>
        <w:tc>
          <w:tcPr>
            <w:tcW w:w="180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rPr>
              <w:t>Delayed Draw Term Loan A (L+8.25%),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9.75% Cash, 1/8/2019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BMC Software, Inc. (d)</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Syndicated Loan (L+4.00%), 5.00%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9/10/2020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5,671,667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5,633,920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4,520,318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Courion Corporation</w:t>
            </w:r>
          </w:p>
        </w:tc>
        <w:tc>
          <w:tcPr>
            <w:tcW w:w="180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(L+10.00%), 11.00%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Cash, 6/1/2021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15,000,000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14,856,720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14,850,000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Dispensing Dynamics</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International (d)</w:t>
            </w: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Note 12.50% Cash, 1/1/2018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12,000,000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12,025,101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10,950,000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Easy Ice, LLC (d)</w:t>
            </w:r>
          </w:p>
        </w:tc>
        <w:tc>
          <w:tcPr>
            <w:tcW w:w="180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w w:val="98"/>
              </w:rPr>
              <w:t>First Lien Term Loan (L+8.75%), 9.50%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1/15/2020</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14,000,000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13,873,485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13,806,098</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Emily Street Enterprises,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5"/>
              </w:rPr>
              <w:t>Senior Secured Note (L+8.50%), 10.00%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1/23/2020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8,400,000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8,305,033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8,568,000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Emily Street Enterprises, L.L.C. (g)</w:t>
            </w:r>
          </w:p>
        </w:tc>
        <w:tc>
          <w:tcPr>
            <w:tcW w:w="180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rPr>
              <w:t>Warrant Membership Interests, Expires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12/28/2022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49,318</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400,000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577,020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Erwin, Inc.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(L+11.50%), 13.50%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(12.50% Cash/1.00% PIK), 8/28/2021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13,000,000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12,870,023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12,870,000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Finalsite Holdings, Inc.</w:t>
            </w:r>
          </w:p>
        </w:tc>
        <w:tc>
          <w:tcPr>
            <w:tcW w:w="180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(L+9.00%), 10.25%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Cash, 5/21/2020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7,500,000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7,440,729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7,500,000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Help/Systems Holdings, Inc.(Help/Systems,</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First Lien Term Loan (L+5.25%), 6.25%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LLC)</w:t>
            </w: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10/8/2021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4,904,573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4,895,000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Help/Systems Holdings, Inc.(Help/Systems,</w:t>
            </w:r>
          </w:p>
        </w:tc>
        <w:tc>
          <w:tcPr>
            <w:tcW w:w="180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(L+9.50%), 10.50%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gridSpan w:val="2"/>
          </w:tcPr>
          <w:p>
            <w:pPr>
              <w:ind w:left="140"/>
              <w:spacing w:after="0"/>
              <w:rPr>
                <w:sz w:val="20"/>
                <w:szCs w:val="20"/>
                <w:color w:val="auto"/>
              </w:rPr>
            </w:pPr>
            <w:r>
              <w:rPr>
                <w:rFonts w:ascii="Arial" w:cs="Arial" w:eastAsia="Arial" w:hAnsi="Arial"/>
                <w:sz w:val="14"/>
                <w:szCs w:val="14"/>
                <w:color w:val="auto"/>
              </w:rPr>
              <w:t>LLC)</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Cash, 10/8/2022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2,912,784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2,910,000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Identity Automation Systems (g)</w:t>
            </w: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Class A Units</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232,616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232,616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427,409</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Identity Automation Systems</w:t>
            </w:r>
          </w:p>
        </w:tc>
        <w:tc>
          <w:tcPr>
            <w:tcW w:w="180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(L+9.25%), 10.25%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Cash, 12/18/2020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6,900,000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6,842,573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6,900,000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Identity Automation Systems (j), (k)</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Delayed Draw Term Loan 10.25%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12/18/2020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Knowland Technology Holdings, L.L.C.</w:t>
            </w: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w w:val="98"/>
              </w:rPr>
              <w:t>First Lien Term Loan 8.00% Cash, 11/29/2017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5,259,171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5,224,422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5,259,171</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14.00% (12.00%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LLC (d)</w:t>
            </w: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Cash/2.00% PIK), 3/6/2018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9,035,515</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8,952,442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9,035,515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Vector Controls Holding Co.,</w:t>
            </w:r>
          </w:p>
        </w:tc>
        <w:tc>
          <w:tcPr>
            <w:tcW w:w="180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rPr>
              <w:t>Warrants to Purchase Limited Liability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gridSpan w:val="2"/>
          </w:tcPr>
          <w:p>
            <w:pPr>
              <w:ind w:left="140"/>
              <w:spacing w:after="0"/>
              <w:rPr>
                <w:sz w:val="20"/>
                <w:szCs w:val="20"/>
                <w:color w:val="auto"/>
              </w:rPr>
            </w:pPr>
            <w:r>
              <w:rPr>
                <w:rFonts w:ascii="Arial" w:cs="Arial" w:eastAsia="Arial" w:hAnsi="Arial"/>
                <w:sz w:val="14"/>
                <w:szCs w:val="14"/>
                <w:color w:val="auto"/>
              </w:rPr>
              <w:t>LLC (d), (g)</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Company Interests, Expires 5/31/2025</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354,819</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Total Business Services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106,950,466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2"/>
              </w:rPr>
              <w:t>105,976,044</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4"/>
                <w:szCs w:val="14"/>
                <w:color w:val="auto"/>
              </w:rPr>
              <w:t>Advanced Air &amp; Heat of Florida, LLC</w:t>
            </w:r>
          </w:p>
        </w:tc>
        <w:tc>
          <w:tcPr>
            <w:tcW w:w="1800" w:type="dxa"/>
            <w:vAlign w:val="bottom"/>
            <w:gridSpan w:val="2"/>
            <w:vMerge w:val="restart"/>
          </w:tcPr>
          <w:p>
            <w:pPr>
              <w:spacing w:after="0"/>
              <w:rPr>
                <w:sz w:val="20"/>
                <w:szCs w:val="20"/>
                <w:color w:val="auto"/>
              </w:rPr>
            </w:pPr>
            <w:r>
              <w:rPr>
                <w:rFonts w:ascii="Arial" w:cs="Arial" w:eastAsia="Arial" w:hAnsi="Arial"/>
                <w:sz w:val="14"/>
                <w:szCs w:val="14"/>
                <w:color w:val="auto"/>
              </w:rPr>
              <w:t>Consumer Products</w:t>
            </w:r>
          </w:p>
        </w:tc>
        <w:tc>
          <w:tcPr>
            <w:tcW w:w="2840" w:type="dxa"/>
            <w:vAlign w:val="bottom"/>
            <w:gridSpan w:val="2"/>
            <w:vMerge w:val="restart"/>
          </w:tcPr>
          <w:p>
            <w:pPr>
              <w:spacing w:after="0"/>
              <w:rPr>
                <w:sz w:val="20"/>
                <w:szCs w:val="20"/>
                <w:color w:val="auto"/>
              </w:rPr>
            </w:pPr>
            <w:r>
              <w:rPr>
                <w:rFonts w:ascii="Arial" w:cs="Arial" w:eastAsia="Arial" w:hAnsi="Arial"/>
                <w:sz w:val="14"/>
                <w:szCs w:val="14"/>
                <w:color w:val="auto"/>
              </w:rPr>
              <w:t>First Lien Term Loan 9.50% Cash, 7/17/2020</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6,800,000</w:t>
            </w: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80" w:type="dxa"/>
            <w:vAlign w:val="bottom"/>
            <w:gridSpan w:val="3"/>
            <w:vMerge w:val="continue"/>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6,733,661</w:t>
            </w: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6,800,000</w:t>
            </w:r>
          </w:p>
        </w:tc>
        <w:tc>
          <w:tcPr>
            <w:tcW w:w="18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 (g)</w:t>
            </w: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210,456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1,791,242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Targus Holdings, Inc. (d)</w:t>
            </w:r>
          </w:p>
        </w:tc>
        <w:tc>
          <w:tcPr>
            <w:tcW w:w="1800" w:type="dxa"/>
            <w:vAlign w:val="bottom"/>
            <w:gridSpan w:val="2"/>
          </w:tcPr>
          <w:p>
            <w:pPr>
              <w:spacing w:after="0" w:line="130" w:lineRule="exact"/>
              <w:rPr>
                <w:sz w:val="20"/>
                <w:szCs w:val="20"/>
                <w:color w:val="auto"/>
              </w:rPr>
            </w:pPr>
            <w:r>
              <w:rPr>
                <w:rFonts w:ascii="Arial" w:cs="Arial" w:eastAsia="Arial" w:hAnsi="Arial"/>
                <w:sz w:val="14"/>
                <w:szCs w:val="14"/>
                <w:color w:val="auto"/>
              </w:rPr>
              <w:t>Consumer Products</w:t>
            </w: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A-2 15.00% PIK,</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12/31/2019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210,456</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210,456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210,456</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Targus Holdings, Inc. (d)</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2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B 15.00% PIK,</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12/31/2019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631,369</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631,369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631,369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Total Consumer Products</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9,366,728</w:t>
            </w: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7,641,825</w:t>
            </w:r>
          </w:p>
        </w:tc>
        <w:tc>
          <w:tcPr>
            <w:tcW w:w="18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Expedited Travel L.L.C. (g)</w:t>
            </w: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1,647,767</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Expedited Travel L.L.C.</w:t>
            </w:r>
          </w:p>
        </w:tc>
        <w:tc>
          <w:tcPr>
            <w:tcW w:w="1800" w:type="dxa"/>
            <w:vAlign w:val="bottom"/>
            <w:gridSpan w:val="2"/>
          </w:tcPr>
          <w:p>
            <w:pPr>
              <w:spacing w:after="0" w:line="130" w:lineRule="exact"/>
              <w:rPr>
                <w:sz w:val="20"/>
                <w:szCs w:val="20"/>
                <w:color w:val="auto"/>
              </w:rPr>
            </w:pPr>
            <w:r>
              <w:rPr>
                <w:rFonts w:ascii="Arial" w:cs="Arial" w:eastAsia="Arial" w:hAnsi="Arial"/>
                <w:sz w:val="14"/>
                <w:szCs w:val="14"/>
                <w:color w:val="auto"/>
              </w:rPr>
              <w:t>Consumer Services</w:t>
            </w: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10/10/2019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11,475,490</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11,401,380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11,647,623</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My Alarm Center,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2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(L+11.00%), 12.00%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7/9/2019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7,450,500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800" w:type="dxa"/>
            <w:vAlign w:val="bottom"/>
            <w:gridSpan w:val="2"/>
          </w:tcPr>
          <w:p>
            <w:pPr>
              <w:spacing w:after="0" w:line="130" w:lineRule="exact"/>
              <w:rPr>
                <w:sz w:val="20"/>
                <w:szCs w:val="20"/>
                <w:color w:val="auto"/>
              </w:rPr>
            </w:pPr>
            <w:r>
              <w:rPr>
                <w:rFonts w:ascii="Arial" w:cs="Arial" w:eastAsia="Arial" w:hAnsi="Arial"/>
                <w:sz w:val="14"/>
                <w:szCs w:val="14"/>
                <w:color w:val="auto"/>
              </w:rPr>
              <w:t>Consumer Services</w:t>
            </w: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w w:val="98"/>
              </w:rPr>
              <w:t>First Lien Term Loan (L+5.25%), 6.50% Cash,</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4"/>
                <w:szCs w:val="14"/>
                <w:color w:val="auto"/>
              </w:rPr>
              <w:t>7/1/2019</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1,572,921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1,562,787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1,556,248</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2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(L+9.00%), 10.25%</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7/1/2020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10,000,000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9,962,104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9,827,000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Prime Security Services, LLC</w:t>
            </w:r>
          </w:p>
        </w:tc>
        <w:tc>
          <w:tcPr>
            <w:tcW w:w="1800" w:type="dxa"/>
            <w:vAlign w:val="bottom"/>
            <w:gridSpan w:val="2"/>
          </w:tcPr>
          <w:p>
            <w:pPr>
              <w:spacing w:after="0" w:line="130" w:lineRule="exact"/>
              <w:rPr>
                <w:sz w:val="20"/>
                <w:szCs w:val="20"/>
                <w:color w:val="auto"/>
              </w:rPr>
            </w:pPr>
            <w:r>
              <w:rPr>
                <w:rFonts w:ascii="Arial" w:cs="Arial" w:eastAsia="Arial" w:hAnsi="Arial"/>
                <w:sz w:val="14"/>
                <w:szCs w:val="14"/>
                <w:color w:val="auto"/>
              </w:rPr>
              <w:t>Consumer Services</w:t>
            </w: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(L+8.75%), 9.75%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Cash, 7/1/2022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12,000,000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11,829,030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10,980,000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Total Consumer Services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43,255,301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43,109,138</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4"/>
                <w:szCs w:val="14"/>
                <w:color w:val="auto"/>
              </w:rPr>
              <w:t>M/C Acquisition Corp., L.L.C. (d), (g)</w:t>
            </w:r>
          </w:p>
        </w:tc>
        <w:tc>
          <w:tcPr>
            <w:tcW w:w="1800" w:type="dxa"/>
            <w:vAlign w:val="bottom"/>
            <w:gridSpan w:val="2"/>
            <w:vMerge w:val="restart"/>
          </w:tcPr>
          <w:p>
            <w:pPr>
              <w:spacing w:after="0"/>
              <w:rPr>
                <w:sz w:val="20"/>
                <w:szCs w:val="20"/>
                <w:color w:val="auto"/>
              </w:rPr>
            </w:pPr>
            <w:r>
              <w:rPr>
                <w:rFonts w:ascii="Arial" w:cs="Arial" w:eastAsia="Arial" w:hAnsi="Arial"/>
                <w:sz w:val="14"/>
                <w:szCs w:val="14"/>
                <w:color w:val="auto"/>
              </w:rPr>
              <w:t>Education</w:t>
            </w:r>
          </w:p>
        </w:tc>
        <w:tc>
          <w:tcPr>
            <w:tcW w:w="2840" w:type="dxa"/>
            <w:vAlign w:val="bottom"/>
            <w:gridSpan w:val="2"/>
            <w:vMerge w:val="restart"/>
          </w:tcPr>
          <w:p>
            <w:pPr>
              <w:spacing w:after="0"/>
              <w:rPr>
                <w:sz w:val="20"/>
                <w:szCs w:val="20"/>
                <w:color w:val="auto"/>
              </w:rPr>
            </w:pPr>
            <w:r>
              <w:rPr>
                <w:rFonts w:ascii="Arial" w:cs="Arial" w:eastAsia="Arial" w:hAnsi="Arial"/>
                <w:sz w:val="14"/>
                <w:szCs w:val="14"/>
                <w:color w:val="auto"/>
              </w:rPr>
              <w:t>Class A Common Stock</w:t>
            </w:r>
          </w:p>
        </w:tc>
        <w:tc>
          <w:tcPr>
            <w:tcW w:w="80" w:type="dxa"/>
            <w:vAlign w:val="bottom"/>
          </w:tcPr>
          <w:p>
            <w:pPr>
              <w:spacing w:after="0" w:line="20" w:lineRule="exact"/>
              <w:rPr>
                <w:sz w:val="1"/>
                <w:szCs w:val="1"/>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544,761</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80" w:type="dxa"/>
            <w:vAlign w:val="bottom"/>
            <w:gridSpan w:val="3"/>
            <w:vMerge w:val="continue"/>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30,241</w:t>
            </w: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M/C Acquisition Corp., L.L.C. (d)</w:t>
            </w: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Education</w:t>
            </w: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Lien Term Loan 1.00% Cash, 3/31/2016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2,321,073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1,193,790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8,087</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Teachers of Tomorrow, LLC (g), (h)</w:t>
            </w: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Education</w:t>
            </w: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785,475</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Teachers of Tomorrow,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Education</w:t>
            </w:r>
          </w:p>
        </w:tc>
        <w:tc>
          <w:tcPr>
            <w:tcW w:w="2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(L+9.75%), 10.75%</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6/2/2021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10,000,000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9,902,816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9,900,000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Total Education</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11,876,847</w:t>
            </w:r>
          </w:p>
        </w:tc>
        <w:tc>
          <w:tcPr>
            <w:tcW w:w="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10,693,562</w:t>
            </w:r>
          </w:p>
        </w:tc>
        <w:tc>
          <w:tcPr>
            <w:tcW w:w="180" w:type="dxa"/>
            <w:vAlign w:val="bottom"/>
            <w:vMerge w:val="continue"/>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TM Restaurant Group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Food and Beverage</w:t>
            </w:r>
          </w:p>
        </w:tc>
        <w:tc>
          <w:tcPr>
            <w:tcW w:w="2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First Lien Term Loan (L+8.50%), 9.75%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7/16/2017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9,622,319</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9,527,041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9,131,048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Total Food and Beverage</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9,527,041</w:t>
            </w:r>
          </w:p>
        </w:tc>
        <w:tc>
          <w:tcPr>
            <w:tcW w:w="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9,131,048</w:t>
            </w:r>
          </w:p>
        </w:tc>
        <w:tc>
          <w:tcPr>
            <w:tcW w:w="180" w:type="dxa"/>
            <w:vAlign w:val="bottom"/>
            <w:vMerge w:val="continue"/>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Bristol Hospice, LLC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Healthcare Services</w:t>
            </w:r>
          </w:p>
        </w:tc>
        <w:tc>
          <w:tcPr>
            <w:tcW w:w="2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Note 11.00% (10.00%</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Cash/1.00% PIK), 11/29/2018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5,404,747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5,339,820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5,404,747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Censis Technologies, Inc.</w:t>
            </w:r>
          </w:p>
        </w:tc>
        <w:tc>
          <w:tcPr>
            <w:tcW w:w="1800" w:type="dxa"/>
            <w:vAlign w:val="bottom"/>
            <w:gridSpan w:val="2"/>
          </w:tcPr>
          <w:p>
            <w:pPr>
              <w:spacing w:after="0" w:line="130" w:lineRule="exact"/>
              <w:rPr>
                <w:sz w:val="20"/>
                <w:szCs w:val="20"/>
                <w:color w:val="auto"/>
              </w:rPr>
            </w:pPr>
            <w:r>
              <w:rPr>
                <w:rFonts w:ascii="Arial" w:cs="Arial" w:eastAsia="Arial" w:hAnsi="Arial"/>
                <w:sz w:val="14"/>
                <w:szCs w:val="14"/>
                <w:color w:val="auto"/>
              </w:rPr>
              <w:t>Healthcare Services</w:t>
            </w: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B (L+10.00%), 11.00%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Cash, 7/24/2019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11,550,000</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11,377,810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11,459,418</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Censis Technologies, Inc. (g), (h)</w:t>
            </w: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Services</w:t>
            </w: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Limited Partner Interests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999,000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810,642</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Roscoe Medical, Inc. (d), (g)</w:t>
            </w: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Healthcare Services</w:t>
            </w: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334,000</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Roscoe Medical, Inc.</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Healthcare Services</w:t>
            </w:r>
          </w:p>
        </w:tc>
        <w:tc>
          <w:tcPr>
            <w:tcW w:w="2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11.25%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9/26/2019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4,200,000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4,141,519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3,822,000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Ohio Medical, LLC (g)</w:t>
            </w:r>
          </w:p>
        </w:tc>
        <w:tc>
          <w:tcPr>
            <w:tcW w:w="1800" w:type="dxa"/>
            <w:vAlign w:val="bottom"/>
            <w:gridSpan w:val="2"/>
          </w:tcPr>
          <w:p>
            <w:pPr>
              <w:spacing w:after="0" w:line="149" w:lineRule="exact"/>
              <w:rPr>
                <w:sz w:val="20"/>
                <w:szCs w:val="20"/>
                <w:color w:val="auto"/>
              </w:rPr>
            </w:pPr>
            <w:r>
              <w:rPr>
                <w:rFonts w:ascii="Arial" w:cs="Arial" w:eastAsia="Arial" w:hAnsi="Arial"/>
                <w:sz w:val="14"/>
                <w:szCs w:val="14"/>
                <w:color w:val="auto"/>
              </w:rPr>
              <w:t>Healthcare Services</w:t>
            </w: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Ohio Medical, LLC</w:t>
            </w: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Services</w:t>
            </w: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Senior Subordinated Note 12.00%, 7/15/2021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7,300,000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7,228,452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7,227,000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Smile Brands Group Inc. (d)</w:t>
            </w:r>
          </w:p>
        </w:tc>
        <w:tc>
          <w:tcPr>
            <w:tcW w:w="1800" w:type="dxa"/>
            <w:vAlign w:val="bottom"/>
            <w:gridSpan w:val="2"/>
          </w:tcPr>
          <w:p>
            <w:pPr>
              <w:spacing w:after="0" w:line="130" w:lineRule="exact"/>
              <w:rPr>
                <w:sz w:val="20"/>
                <w:szCs w:val="20"/>
                <w:color w:val="auto"/>
              </w:rPr>
            </w:pPr>
            <w:r>
              <w:rPr>
                <w:rFonts w:ascii="Arial" w:cs="Arial" w:eastAsia="Arial" w:hAnsi="Arial"/>
                <w:sz w:val="14"/>
                <w:szCs w:val="14"/>
                <w:color w:val="auto"/>
              </w:rPr>
              <w:t>Healthcare Services</w:t>
            </w:r>
          </w:p>
        </w:tc>
        <w:tc>
          <w:tcPr>
            <w:tcW w:w="2840" w:type="dxa"/>
            <w:vAlign w:val="bottom"/>
            <w:gridSpan w:val="2"/>
          </w:tcPr>
          <w:p>
            <w:pPr>
              <w:spacing w:after="0" w:line="130" w:lineRule="exact"/>
              <w:rPr>
                <w:sz w:val="20"/>
                <w:szCs w:val="20"/>
                <w:color w:val="auto"/>
              </w:rPr>
            </w:pPr>
            <w:r>
              <w:rPr>
                <w:rFonts w:ascii="Arial" w:cs="Arial" w:eastAsia="Arial" w:hAnsi="Arial"/>
                <w:sz w:val="14"/>
                <w:szCs w:val="14"/>
                <w:color w:val="auto"/>
              </w:rPr>
              <w:t>Syndicated Loan (L+7.75%), 10.50% (9.00%</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Cash/1.50% PIK), 8/16/2019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4,420,900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4,362,266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3,216,647</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Zest Holdings, LLC (d)</w:t>
            </w:r>
          </w:p>
        </w:tc>
        <w:tc>
          <w:tcPr>
            <w:tcW w:w="1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Healthcare Services</w:t>
            </w:r>
          </w:p>
        </w:tc>
        <w:tc>
          <w:tcPr>
            <w:tcW w:w="2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Syndicated Loan (L+4.25%), 5.25% Cash,</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8/16/2020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4,207,821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4,142,093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4,130,692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Total Healthcare Services</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38,590,960</w:t>
            </w: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36,905,146</w:t>
            </w:r>
          </w:p>
        </w:tc>
        <w:tc>
          <w:tcPr>
            <w:tcW w:w="18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HMN Holdco, LLC</w:t>
            </w:r>
          </w:p>
        </w:tc>
        <w:tc>
          <w:tcPr>
            <w:tcW w:w="1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Media</w:t>
            </w:r>
          </w:p>
        </w:tc>
        <w:tc>
          <w:tcPr>
            <w:tcW w:w="2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First Lien Term Loan 10.00% Cash, 5/16/2019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8,937,982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8,812,479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8,937,983</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20" w:type="dxa"/>
            <w:vAlign w:val="bottom"/>
            <w:gridSpan w:val="2"/>
          </w:tcPr>
          <w:p>
            <w:pPr>
              <w:spacing w:after="0"/>
              <w:rPr>
                <w:sz w:val="20"/>
                <w:szCs w:val="20"/>
                <w:color w:val="auto"/>
              </w:rPr>
            </w:pPr>
            <w:r>
              <w:rPr>
                <w:rFonts w:ascii="Arial" w:cs="Arial" w:eastAsia="Arial" w:hAnsi="Arial"/>
                <w:sz w:val="14"/>
                <w:szCs w:val="14"/>
                <w:color w:val="auto"/>
              </w:rPr>
              <w:t>HMN Holdco, LLC</w:t>
            </w:r>
          </w:p>
        </w:tc>
        <w:tc>
          <w:tcPr>
            <w:tcW w:w="1800" w:type="dxa"/>
            <w:vAlign w:val="bottom"/>
          </w:tcPr>
          <w:p>
            <w:pPr>
              <w:ind w:left="60"/>
              <w:spacing w:after="0"/>
              <w:rPr>
                <w:sz w:val="20"/>
                <w:szCs w:val="20"/>
                <w:color w:val="auto"/>
              </w:rPr>
            </w:pPr>
            <w:r>
              <w:rPr>
                <w:rFonts w:ascii="Arial" w:cs="Arial" w:eastAsia="Arial" w:hAnsi="Arial"/>
                <w:sz w:val="14"/>
                <w:szCs w:val="14"/>
                <w:color w:val="auto"/>
              </w:rPr>
              <w:t>Media</w:t>
            </w:r>
          </w:p>
        </w:tc>
        <w:tc>
          <w:tcPr>
            <w:tcW w:w="2900" w:type="dxa"/>
            <w:vAlign w:val="bottom"/>
          </w:tcPr>
          <w:p>
            <w:pPr>
              <w:ind w:left="60"/>
              <w:spacing w:after="0"/>
              <w:rPr>
                <w:sz w:val="20"/>
                <w:szCs w:val="20"/>
                <w:color w:val="auto"/>
              </w:rPr>
            </w:pPr>
            <w:r>
              <w:rPr>
                <w:rFonts w:ascii="Arial" w:cs="Arial" w:eastAsia="Arial" w:hAnsi="Arial"/>
                <w:sz w:val="14"/>
                <w:szCs w:val="14"/>
                <w:color w:val="auto"/>
                <w:w w:val="98"/>
              </w:rPr>
              <w:t>First Lien Term Loan 10.00% Cash, 5/16/2019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1,600,000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1,572,821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1,600,000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HMN Holdco, LLC (g)</w:t>
            </w:r>
          </w:p>
        </w:tc>
        <w:tc>
          <w:tcPr>
            <w:tcW w:w="18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Media</w:t>
            </w:r>
          </w:p>
        </w:tc>
        <w:tc>
          <w:tcPr>
            <w:tcW w:w="29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Class A Series, Expires 1/16/2025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4,264</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61,647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314,683</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HMN Holdco, LLC (g)</w:t>
            </w:r>
          </w:p>
        </w:tc>
        <w:tc>
          <w:tcPr>
            <w:tcW w:w="1800" w:type="dxa"/>
            <w:vAlign w:val="bottom"/>
          </w:tcPr>
          <w:p>
            <w:pPr>
              <w:ind w:left="60"/>
              <w:spacing w:after="0" w:line="149" w:lineRule="exact"/>
              <w:rPr>
                <w:sz w:val="20"/>
                <w:szCs w:val="20"/>
                <w:color w:val="auto"/>
              </w:rPr>
            </w:pPr>
            <w:r>
              <w:rPr>
                <w:rFonts w:ascii="Arial" w:cs="Arial" w:eastAsia="Arial" w:hAnsi="Arial"/>
                <w:sz w:val="14"/>
                <w:szCs w:val="14"/>
                <w:color w:val="auto"/>
              </w:rPr>
              <w:t>Media</w:t>
            </w:r>
          </w:p>
        </w:tc>
        <w:tc>
          <w:tcPr>
            <w:tcW w:w="2900" w:type="dxa"/>
            <w:vAlign w:val="bottom"/>
          </w:tcPr>
          <w:p>
            <w:pPr>
              <w:ind w:left="60"/>
              <w:spacing w:after="0" w:line="149" w:lineRule="exact"/>
              <w:rPr>
                <w:sz w:val="20"/>
                <w:szCs w:val="20"/>
                <w:color w:val="auto"/>
              </w:rPr>
            </w:pPr>
            <w:r>
              <w:rPr>
                <w:rFonts w:ascii="Arial" w:cs="Arial" w:eastAsia="Arial" w:hAnsi="Arial"/>
                <w:sz w:val="14"/>
                <w:szCs w:val="14"/>
                <w:color w:val="auto"/>
              </w:rPr>
              <w:t>Class A Warrant, Expires 1/16/2025</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30,320</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438,353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1,889,542</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18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Media</w:t>
            </w:r>
          </w:p>
        </w:tc>
        <w:tc>
          <w:tcPr>
            <w:tcW w:w="29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Warrants to Purchase Limited Liability</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9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Company Interests (Common), Expires</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900" w:type="dxa"/>
            <w:vAlign w:val="bottom"/>
            <w:shd w:val="clear" w:color="auto" w:fill="CCEEFF"/>
          </w:tcPr>
          <w:p>
            <w:pPr>
              <w:ind w:left="60"/>
              <w:spacing w:after="0"/>
              <w:rPr>
                <w:sz w:val="20"/>
                <w:szCs w:val="20"/>
                <w:color w:val="auto"/>
              </w:rPr>
            </w:pPr>
            <w:r>
              <w:rPr>
                <w:rFonts w:ascii="Arial" w:cs="Arial" w:eastAsia="Arial" w:hAnsi="Arial"/>
                <w:sz w:val="14"/>
                <w:szCs w:val="14"/>
                <w:color w:val="auto"/>
              </w:rPr>
              <w:t>5/16/2024</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57,872</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3,309,121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tcPr>
          <w:p>
            <w:pPr>
              <w:spacing w:after="0" w:line="130" w:lineRule="exact"/>
              <w:rPr>
                <w:sz w:val="20"/>
                <w:szCs w:val="20"/>
                <w:color w:val="auto"/>
              </w:rPr>
            </w:pPr>
            <w:r>
              <w:rPr>
                <w:rFonts w:ascii="Arial" w:cs="Arial" w:eastAsia="Arial" w:hAnsi="Arial"/>
                <w:sz w:val="14"/>
                <w:szCs w:val="14"/>
                <w:color w:val="auto"/>
              </w:rPr>
              <w:t>HMN Holdco, LLC (g)</w:t>
            </w:r>
          </w:p>
        </w:tc>
        <w:tc>
          <w:tcPr>
            <w:tcW w:w="1800" w:type="dxa"/>
            <w:vAlign w:val="bottom"/>
          </w:tcPr>
          <w:p>
            <w:pPr>
              <w:ind w:left="60"/>
              <w:spacing w:after="0" w:line="130" w:lineRule="exact"/>
              <w:rPr>
                <w:sz w:val="20"/>
                <w:szCs w:val="20"/>
                <w:color w:val="auto"/>
              </w:rPr>
            </w:pPr>
            <w:r>
              <w:rPr>
                <w:rFonts w:ascii="Arial" w:cs="Arial" w:eastAsia="Arial" w:hAnsi="Arial"/>
                <w:sz w:val="14"/>
                <w:szCs w:val="14"/>
                <w:color w:val="auto"/>
              </w:rPr>
              <w:t>Media</w:t>
            </w:r>
          </w:p>
        </w:tc>
        <w:tc>
          <w:tcPr>
            <w:tcW w:w="2900" w:type="dxa"/>
            <w:vAlign w:val="bottom"/>
          </w:tcPr>
          <w:p>
            <w:pPr>
              <w:ind w:left="60"/>
              <w:spacing w:after="0" w:line="130" w:lineRule="exact"/>
              <w:rPr>
                <w:sz w:val="20"/>
                <w:szCs w:val="20"/>
                <w:color w:val="auto"/>
              </w:rPr>
            </w:pPr>
            <w:r>
              <w:rPr>
                <w:rFonts w:ascii="Arial" w:cs="Arial" w:eastAsia="Arial" w:hAnsi="Arial"/>
                <w:sz w:val="14"/>
                <w:szCs w:val="14"/>
                <w:color w:val="auto"/>
              </w:rPr>
              <w:t>Warrants to Purchase Limited Liability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900" w:type="dxa"/>
            <w:vAlign w:val="bottom"/>
          </w:tcPr>
          <w:p>
            <w:pPr>
              <w:ind w:left="60"/>
              <w:spacing w:after="0"/>
              <w:rPr>
                <w:sz w:val="20"/>
                <w:szCs w:val="20"/>
                <w:color w:val="auto"/>
              </w:rPr>
            </w:pPr>
            <w:r>
              <w:rPr>
                <w:rFonts w:ascii="Arial" w:cs="Arial" w:eastAsia="Arial" w:hAnsi="Arial"/>
                <w:sz w:val="14"/>
                <w:szCs w:val="14"/>
                <w:color w:val="auto"/>
              </w:rPr>
              <w:t>Company Interests, Expires 5/16/2024</w:t>
            </w: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8,139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523,012</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Total Media</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10,885,300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16,574,341</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37"/>
        </w:trPr>
        <w:tc>
          <w:tcPr>
            <w:tcW w:w="2920" w:type="dxa"/>
            <w:vAlign w:val="bottom"/>
            <w:gridSpan w:val="2"/>
          </w:tcPr>
          <w:p>
            <w:pPr>
              <w:spacing w:after="0" w:line="137" w:lineRule="exact"/>
              <w:rPr>
                <w:sz w:val="20"/>
                <w:szCs w:val="20"/>
                <w:color w:val="auto"/>
              </w:rPr>
            </w:pPr>
            <w:r>
              <w:rPr>
                <w:rFonts w:ascii="Arial" w:cs="Arial" w:eastAsia="Arial" w:hAnsi="Arial"/>
                <w:sz w:val="14"/>
                <w:szCs w:val="14"/>
                <w:color w:val="auto"/>
              </w:rPr>
              <w:t>Elyria Foundry Company,</w:t>
            </w:r>
          </w:p>
        </w:tc>
        <w:tc>
          <w:tcPr>
            <w:tcW w:w="1800" w:type="dxa"/>
            <w:vAlign w:val="bottom"/>
          </w:tcPr>
          <w:p>
            <w:pPr>
              <w:ind w:left="60"/>
              <w:spacing w:after="0" w:line="137" w:lineRule="exact"/>
              <w:rPr>
                <w:sz w:val="20"/>
                <w:szCs w:val="20"/>
                <w:color w:val="auto"/>
              </w:rPr>
            </w:pPr>
            <w:r>
              <w:rPr>
                <w:rFonts w:ascii="Arial" w:cs="Arial" w:eastAsia="Arial" w:hAnsi="Arial"/>
                <w:sz w:val="14"/>
                <w:szCs w:val="14"/>
                <w:color w:val="auto"/>
              </w:rPr>
              <w:t>Metals</w:t>
            </w:r>
          </w:p>
        </w:tc>
        <w:tc>
          <w:tcPr>
            <w:tcW w:w="2900" w:type="dxa"/>
            <w:vAlign w:val="bottom"/>
          </w:tcPr>
          <w:p>
            <w:pPr>
              <w:ind w:left="60"/>
              <w:spacing w:after="0" w:line="137"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tcPr>
          <w:p>
            <w:pPr>
              <w:ind w:left="140"/>
              <w:spacing w:after="0"/>
              <w:rPr>
                <w:sz w:val="20"/>
                <w:szCs w:val="20"/>
                <w:color w:val="auto"/>
              </w:rPr>
            </w:pPr>
            <w:r>
              <w:rPr>
                <w:rFonts w:ascii="Arial" w:cs="Arial" w:eastAsia="Arial" w:hAnsi="Arial"/>
                <w:sz w:val="14"/>
                <w:szCs w:val="14"/>
                <w:color w:val="auto"/>
              </w:rPr>
              <w:t>L.L.C. (d), (g)</w:t>
            </w:r>
          </w:p>
        </w:tc>
        <w:tc>
          <w:tcPr>
            <w:tcW w:w="18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35,000</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9,217,564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2,026,150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Elyria Foundry Company,</w:t>
            </w:r>
          </w:p>
        </w:tc>
        <w:tc>
          <w:tcPr>
            <w:tcW w:w="18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Metals</w:t>
            </w:r>
          </w:p>
        </w:tc>
        <w:tc>
          <w:tcPr>
            <w:tcW w:w="29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Revolver 10.00% Cash, 3/31/2017</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L.L.C. (d)</w:t>
            </w:r>
          </w:p>
        </w:tc>
        <w:tc>
          <w:tcPr>
            <w:tcW w:w="180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8,500,000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8,500,000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900" w:type="dxa"/>
            <w:vAlign w:val="bottom"/>
            <w:vMerge w:val="restart"/>
          </w:tcPr>
          <w:p>
            <w:pPr>
              <w:jc w:val="right"/>
              <w:ind w:right="8"/>
              <w:spacing w:after="0"/>
              <w:rPr>
                <w:sz w:val="20"/>
                <w:szCs w:val="20"/>
                <w:color w:val="auto"/>
              </w:rPr>
            </w:pPr>
            <w:r>
              <w:rPr>
                <w:rFonts w:ascii="Arial" w:cs="Arial" w:eastAsia="Arial" w:hAnsi="Arial"/>
                <w:sz w:val="14"/>
                <w:szCs w:val="14"/>
                <w:color w:val="auto"/>
              </w:rPr>
              <w:t>Total Metals</w:t>
            </w: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17,717,564</w:t>
            </w:r>
          </w:p>
        </w:tc>
        <w:tc>
          <w:tcPr>
            <w:tcW w:w="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10,526,150</w:t>
            </w:r>
          </w:p>
        </w:tc>
        <w:tc>
          <w:tcPr>
            <w:tcW w:w="180" w:type="dxa"/>
            <w:vAlign w:val="bottom"/>
            <w:vMerge w:val="continue"/>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Mercury Network, LLC</w:t>
            </w:r>
          </w:p>
        </w:tc>
        <w:tc>
          <w:tcPr>
            <w:tcW w:w="18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Real Estate</w:t>
            </w:r>
          </w:p>
        </w:tc>
        <w:tc>
          <w:tcPr>
            <w:tcW w:w="29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First Lien Term Loan (L+9.25%), 10.25%</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29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Cash, 4/24/2020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9,025,000</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8,944,211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9,025,000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Mercury Network, LLC (g)</w:t>
            </w:r>
          </w:p>
        </w:tc>
        <w:tc>
          <w:tcPr>
            <w:tcW w:w="1800" w:type="dxa"/>
            <w:vAlign w:val="bottom"/>
          </w:tcPr>
          <w:p>
            <w:pPr>
              <w:ind w:left="60"/>
              <w:spacing w:after="0" w:line="149" w:lineRule="exact"/>
              <w:rPr>
                <w:sz w:val="20"/>
                <w:szCs w:val="20"/>
                <w:color w:val="auto"/>
              </w:rPr>
            </w:pPr>
            <w:r>
              <w:rPr>
                <w:rFonts w:ascii="Arial" w:cs="Arial" w:eastAsia="Arial" w:hAnsi="Arial"/>
                <w:sz w:val="14"/>
                <w:szCs w:val="14"/>
                <w:color w:val="auto"/>
              </w:rPr>
              <w:t>Real Estate</w:t>
            </w:r>
          </w:p>
        </w:tc>
        <w:tc>
          <w:tcPr>
            <w:tcW w:w="2900" w:type="dxa"/>
            <w:vAlign w:val="bottom"/>
          </w:tcPr>
          <w:p>
            <w:pPr>
              <w:ind w:left="6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413,043</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413,043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512,173</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2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Total Real Estate</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9,357,254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9,537,173</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 Total Non-control/Non-affiliated investments</w:t>
            </w: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20" w:type="dxa"/>
            <w:vAlign w:val="bottom"/>
            <w:gridSpan w:val="3"/>
            <w:vMerge w:val="continue"/>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268,145,090</w:t>
            </w:r>
          </w:p>
        </w:tc>
        <w:tc>
          <w:tcPr>
            <w:tcW w:w="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5"/>
              </w:rPr>
              <w:t>271,168,186</w:t>
            </w:r>
          </w:p>
        </w:tc>
        <w:tc>
          <w:tcPr>
            <w:tcW w:w="180" w:type="dxa"/>
            <w:vAlign w:val="bottom"/>
            <w:vMerge w:val="continue"/>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- 10.3% (b)</w:t>
            </w:r>
          </w:p>
        </w:tc>
        <w:tc>
          <w:tcPr>
            <w:tcW w:w="180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00" w:type="dxa"/>
            <w:vAlign w:val="bottom"/>
          </w:tcPr>
          <w:p>
            <w:pPr>
              <w:spacing w:after="0" w:line="130" w:lineRule="exact"/>
              <w:rPr>
                <w:sz w:val="20"/>
                <w:szCs w:val="20"/>
                <w:color w:val="auto"/>
              </w:rPr>
            </w:pPr>
            <w:r>
              <w:rPr>
                <w:rFonts w:ascii="Arial" w:cs="Arial" w:eastAsia="Arial" w:hAnsi="Arial"/>
                <w:sz w:val="14"/>
                <w:szCs w:val="14"/>
                <w:color w:val="auto"/>
                <w:w w:val="94"/>
              </w:rPr>
              <w:t>Saratoga Investment Corp. CLO 2013-1, Ltd. (a),</w:t>
            </w:r>
          </w:p>
        </w:tc>
        <w:tc>
          <w:tcPr>
            <w:tcW w:w="1800" w:type="dxa"/>
            <w:vAlign w:val="bottom"/>
          </w:tcPr>
          <w:p>
            <w:pPr>
              <w:ind w:left="60"/>
              <w:spacing w:after="0" w:line="130" w:lineRule="exact"/>
              <w:rPr>
                <w:sz w:val="20"/>
                <w:szCs w:val="20"/>
                <w:color w:val="auto"/>
              </w:rPr>
            </w:pPr>
            <w:r>
              <w:rPr>
                <w:rFonts w:ascii="Arial" w:cs="Arial" w:eastAsia="Arial" w:hAnsi="Arial"/>
                <w:sz w:val="14"/>
                <w:szCs w:val="14"/>
                <w:color w:val="auto"/>
                <w:w w:val="93"/>
              </w:rPr>
              <w:t>Structured Finance Securities</w:t>
            </w:r>
          </w:p>
        </w:tc>
        <w:tc>
          <w:tcPr>
            <w:tcW w:w="2900" w:type="dxa"/>
            <w:vAlign w:val="bottom"/>
          </w:tcPr>
          <w:p>
            <w:pPr>
              <w:ind w:left="60"/>
              <w:spacing w:after="0" w:line="130" w:lineRule="exact"/>
              <w:rPr>
                <w:sz w:val="20"/>
                <w:szCs w:val="20"/>
                <w:color w:val="auto"/>
              </w:rPr>
            </w:pPr>
            <w:r>
              <w:rPr>
                <w:rFonts w:ascii="Arial" w:cs="Arial" w:eastAsia="Arial" w:hAnsi="Arial"/>
                <w:sz w:val="14"/>
                <w:szCs w:val="14"/>
                <w:color w:val="auto"/>
              </w:rPr>
              <w:t>Other/Structured Finance Securities 16.14%,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tcPr>
          <w:p>
            <w:pPr>
              <w:ind w:left="140"/>
              <w:spacing w:after="0"/>
              <w:rPr>
                <w:sz w:val="20"/>
                <w:szCs w:val="20"/>
                <w:color w:val="auto"/>
              </w:rPr>
            </w:pPr>
            <w:r>
              <w:rPr>
                <w:rFonts w:ascii="Arial" w:cs="Arial" w:eastAsia="Arial" w:hAnsi="Arial"/>
                <w:sz w:val="14"/>
                <w:szCs w:val="14"/>
                <w:color w:val="auto"/>
              </w:rPr>
              <w:t>(d), (e), (f)</w:t>
            </w:r>
          </w:p>
        </w:tc>
        <w:tc>
          <w:tcPr>
            <w:tcW w:w="1800" w:type="dxa"/>
            <w:vAlign w:val="bottom"/>
          </w:tcPr>
          <w:p>
            <w:pPr>
              <w:spacing w:after="0"/>
              <w:rPr>
                <w:sz w:val="14"/>
                <w:szCs w:val="14"/>
                <w:color w:val="auto"/>
              </w:rPr>
            </w:pPr>
          </w:p>
        </w:tc>
        <w:tc>
          <w:tcPr>
            <w:tcW w:w="2900" w:type="dxa"/>
            <w:vAlign w:val="bottom"/>
          </w:tcPr>
          <w:p>
            <w:pPr>
              <w:ind w:left="60"/>
              <w:spacing w:after="0"/>
              <w:rPr>
                <w:sz w:val="20"/>
                <w:szCs w:val="20"/>
                <w:color w:val="auto"/>
              </w:rPr>
            </w:pPr>
            <w:r>
              <w:rPr>
                <w:rFonts w:ascii="Arial" w:cs="Arial" w:eastAsia="Arial" w:hAnsi="Arial"/>
                <w:sz w:val="14"/>
                <w:szCs w:val="14"/>
                <w:color w:val="auto"/>
              </w:rPr>
              <w:t>10/17/2023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30,000,000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13,030,751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12,827,980</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 Total Control investments</w:t>
            </w:r>
          </w:p>
        </w:tc>
        <w:tc>
          <w:tcPr>
            <w:tcW w:w="180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13,030,751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12,827,980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 - 226.9% (b)</w:t>
            </w:r>
          </w:p>
        </w:tc>
        <w:tc>
          <w:tcPr>
            <w:tcW w:w="1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20" w:type="dxa"/>
            <w:vAlign w:val="bottom"/>
            <w:gridSpan w:val="2"/>
            <w:vMerge w:val="continue"/>
          </w:tcPr>
          <w:p>
            <w:pPr>
              <w:spacing w:after="0"/>
              <w:rPr>
                <w:sz w:val="13"/>
                <w:szCs w:val="13"/>
                <w:color w:val="auto"/>
              </w:rPr>
            </w:pPr>
          </w:p>
        </w:tc>
        <w:tc>
          <w:tcPr>
            <w:tcW w:w="18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281,175,841</w:t>
            </w:r>
          </w:p>
        </w:tc>
        <w:tc>
          <w:tcPr>
            <w:tcW w:w="1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5"/>
              </w:rPr>
              <w:t>283,996,166</w:t>
            </w:r>
          </w:p>
        </w:tc>
        <w:tc>
          <w:tcPr>
            <w:tcW w:w="180" w:type="dxa"/>
            <w:vAlign w:val="bottom"/>
            <w:vMerge w:val="continue"/>
          </w:tcPr>
          <w:p>
            <w:pPr>
              <w:spacing w:after="0"/>
              <w:rPr>
                <w:sz w:val="13"/>
                <w:szCs w:val="13"/>
                <w:color w:val="auto"/>
              </w:rPr>
            </w:pP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Fair Value</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0" w:type="dxa"/>
            <w:vAlign w:val="bottom"/>
            <w:tcBorders>
              <w:top w:val="single" w:sz="8" w:color="CCEEFF"/>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 and cash and cash equivalents, reserve accounts - 5.6%</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line="149" w:lineRule="exact"/>
              <w:rPr>
                <w:sz w:val="20"/>
                <w:szCs w:val="20"/>
                <w:color w:val="auto"/>
              </w:rPr>
            </w:pPr>
            <w:r>
              <w:rPr>
                <w:rFonts w:ascii="Arial" w:cs="Arial" w:eastAsia="Arial" w:hAnsi="Arial"/>
                <w:sz w:val="14"/>
                <w:szCs w:val="14"/>
                <w:color w:val="auto"/>
              </w:rPr>
              <w:t>U.S. Bank Money Market (l)</w:t>
            </w:r>
          </w:p>
        </w:tc>
        <w:tc>
          <w:tcPr>
            <w:tcW w:w="18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7,034,783</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7,034,783</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7,034,783</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 and cash and cash equivalents, reserve accounts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7,034,783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7,034,783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7,034,783</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 non-qualifying investment as defined under Section 55 (a) of the Investment Company Act of 1940, as amended. Non-qualifying assets represent 5.2% of the Company’s portfolio at fair value. As a BDC, the Company can only invest 30% of its portfolio in non-qualifying assets.</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Percentages are based on net assets of $125,149,875 as of February 29, 2016.</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6 to the consolidated financial statements).</w:t>
      </w:r>
    </w:p>
    <w:p>
      <w:pPr>
        <w:spacing w:after="0" w:line="20" w:lineRule="exact"/>
        <w:rPr>
          <w:rFonts w:ascii="Arial" w:cs="Arial" w:eastAsia="Arial" w:hAnsi="Arial"/>
          <w:sz w:val="17"/>
          <w:szCs w:val="17"/>
          <w:color w:val="auto"/>
        </w:rPr>
      </w:pPr>
    </w:p>
    <w:p>
      <w:pPr>
        <w:ind w:left="460" w:right="2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16.14% interest rate in the table above represents the effective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Interest</w:t>
            </w: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Management</w:t>
            </w: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360" w:type="dxa"/>
            <w:vAlign w:val="bottom"/>
          </w:tcPr>
          <w:p>
            <w:pPr>
              <w:spacing w:after="0"/>
              <w:rPr>
                <w:sz w:val="14"/>
                <w:szCs w:val="14"/>
                <w:color w:val="auto"/>
              </w:rPr>
            </w:pPr>
          </w:p>
        </w:tc>
        <w:tc>
          <w:tcPr>
            <w:tcW w:w="10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3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7"/>
              </w:rPr>
              <w:t>Redemptions</w:t>
            </w:r>
          </w:p>
        </w:tc>
        <w:tc>
          <w:tcPr>
            <w:tcW w:w="36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Sales (Cost)</w:t>
            </w:r>
          </w:p>
        </w:tc>
        <w:tc>
          <w:tcPr>
            <w:tcW w:w="36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Fee Income</w:t>
            </w:r>
          </w:p>
        </w:tc>
        <w:tc>
          <w:tcPr>
            <w:tcW w:w="1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Gains</w:t>
            </w:r>
          </w:p>
        </w:tc>
        <w:tc>
          <w:tcPr>
            <w:tcW w:w="360" w:type="dxa"/>
            <w:vAlign w:val="bottom"/>
          </w:tcPr>
          <w:p>
            <w:pPr>
              <w:spacing w:after="0"/>
              <w:rPr>
                <w:sz w:val="12"/>
                <w:szCs w:val="12"/>
                <w:color w:val="auto"/>
              </w:rPr>
            </w:pP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6"/>
              </w:rPr>
              <w:t>(Losses)</w:t>
            </w:r>
          </w:p>
        </w:tc>
        <w:tc>
          <w:tcPr>
            <w:tcW w:w="3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Saratoga</w:t>
            </w:r>
          </w:p>
        </w:tc>
        <w:tc>
          <w:tcPr>
            <w:tcW w:w="32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Investment Corp. CLO 2013-1, Ltd.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2,665,648</w:t>
            </w: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1,494,779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 (1,280,916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Non-income producing at February 29,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Non-U.S. company. The principal place of business for Polar Holding Company, Ltd. is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an unfunded commitment as of February 29, 2016 (see Note 7 to the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entire commitment was unfunded at February 29, 2016. As such, no interest is being earned on this investment.</w:t>
      </w:r>
    </w:p>
    <w:p>
      <w:pPr>
        <w:spacing w:after="0" w:line="9"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within cash and cash equivalents and cash and cash equivalents, reserve accounts in the Company’s Consolidated Statements of Assets and Liabilities as of February 29, 2016.</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For the nine months ended</w:t>
            </w:r>
          </w:p>
        </w:tc>
        <w:tc>
          <w:tcPr>
            <w:tcW w:w="44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6"/>
              </w:rPr>
              <w:t>November 30, 2016</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November 30,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FROM OPERATIONS:</w:t>
            </w:r>
          </w:p>
        </w:tc>
        <w:tc>
          <w:tcPr>
            <w:tcW w:w="1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20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500"/>
              <w:spacing w:after="0"/>
              <w:rPr>
                <w:sz w:val="20"/>
                <w:szCs w:val="20"/>
                <w:color w:val="auto"/>
              </w:rPr>
            </w:pPr>
            <w:r>
              <w:rPr>
                <w:rFonts w:ascii="Arial" w:cs="Arial" w:eastAsia="Arial" w:hAnsi="Arial"/>
                <w:sz w:val="18"/>
                <w:szCs w:val="18"/>
                <w:color w:val="auto"/>
              </w:rPr>
              <w:t>8,561,204</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7,578,534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from investments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12,299,899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4,231,006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18"/>
                <w:szCs w:val="18"/>
                <w:color w:val="auto"/>
              </w:rPr>
              <w:t>(10,728,122)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239,354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net assets from operations</w:t>
            </w:r>
          </w:p>
        </w:tc>
        <w:tc>
          <w:tcPr>
            <w:tcW w:w="18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10,132,981</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12,048,894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DECREASE FROM SHAREHOLDER DISTRIBUTIONS:</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declared</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(8,472,209)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(10,767,093)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w w:val="98"/>
              </w:rPr>
              <w:t>Net decrease in net assets from shareholder distributions</w:t>
            </w:r>
          </w:p>
        </w:tc>
        <w:tc>
          <w:tcPr>
            <w:tcW w:w="18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(8,472,209)</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(10,767,093)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CAPITAL SHARE TRANSACTIONS: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Stock dividend distribution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500"/>
              <w:spacing w:after="0"/>
              <w:rPr>
                <w:sz w:val="20"/>
                <w:szCs w:val="20"/>
                <w:color w:val="auto"/>
              </w:rPr>
            </w:pPr>
            <w:r>
              <w:rPr>
                <w:rFonts w:ascii="Arial" w:cs="Arial" w:eastAsia="Arial" w:hAnsi="Arial"/>
                <w:sz w:val="18"/>
                <w:szCs w:val="18"/>
                <w:color w:val="auto"/>
              </w:rPr>
              <w:t>4,125,696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3,778,630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(3,256,613)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Offering costs</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(346,826)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Net increase in net assets from capital share transactions</w:t>
            </w:r>
          </w:p>
        </w:tc>
        <w:tc>
          <w:tcPr>
            <w:tcW w:w="18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869,083</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Total increase in net assets</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2,529,855</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4,674,624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125,149,875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122,598,742</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Net assets at end of period</w:t>
            </w:r>
          </w:p>
        </w:tc>
        <w:tc>
          <w:tcPr>
            <w:tcW w:w="18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127,679,730</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127,273,366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20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22.21</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Common shares outstanding at end of period</w:t>
            </w: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2"/>
          </w:tcPr>
          <w:p>
            <w:pPr>
              <w:jc w:val="right"/>
              <w:ind w:right="500"/>
              <w:spacing w:after="0"/>
              <w:rPr>
                <w:sz w:val="20"/>
                <w:szCs w:val="20"/>
                <w:color w:val="auto"/>
              </w:rPr>
            </w:pPr>
            <w:r>
              <w:rPr>
                <w:rFonts w:ascii="Arial" w:cs="Arial" w:eastAsia="Arial" w:hAnsi="Arial"/>
                <w:sz w:val="18"/>
                <w:szCs w:val="18"/>
                <w:color w:val="auto"/>
              </w:rPr>
              <w:t>5,748,247</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5,634,115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Distribution in excess of net investment income</w:t>
            </w:r>
          </w:p>
        </w:tc>
        <w:tc>
          <w:tcPr>
            <w:tcW w:w="20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(26,128,907)</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(27,094,304)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0" w:type="dxa"/>
            <w:vAlign w:val="bottom"/>
            <w:gridSpan w:val="5"/>
          </w:tcPr>
          <w:p>
            <w:pPr>
              <w:jc w:val="center"/>
              <w:ind w:left="211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840" w:type="dxa"/>
            <w:vAlign w:val="bottom"/>
          </w:tcPr>
          <w:p>
            <w:pPr>
              <w:jc w:val="right"/>
              <w:ind w:right="123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For the nine months ended</w:t>
            </w:r>
          </w:p>
        </w:tc>
        <w:tc>
          <w:tcPr>
            <w:tcW w:w="4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November 30, 2016</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November 30,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540"/>
              <w:spacing w:after="0"/>
              <w:rPr>
                <w:sz w:val="20"/>
                <w:szCs w:val="20"/>
                <w:color w:val="auto"/>
              </w:rPr>
            </w:pPr>
            <w:r>
              <w:rPr>
                <w:rFonts w:ascii="Arial" w:cs="Arial" w:eastAsia="Arial" w:hAnsi="Arial"/>
                <w:sz w:val="18"/>
                <w:szCs w:val="18"/>
                <w:color w:val="auto"/>
              </w:rPr>
              <w:t>10,132,981</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12,048,894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INCREASE IN NET ASSETS FROM</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TO NET CASH PROVIDED BY OPERATING ACTIVITIES:</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700"/>
              <w:spacing w:after="0"/>
              <w:rPr>
                <w:sz w:val="20"/>
                <w:szCs w:val="20"/>
                <w:color w:val="auto"/>
              </w:rPr>
            </w:pPr>
            <w:r>
              <w:rPr>
                <w:rFonts w:ascii="Arial" w:cs="Arial" w:eastAsia="Arial" w:hAnsi="Arial"/>
                <w:sz w:val="18"/>
                <w:szCs w:val="18"/>
                <w:color w:val="auto"/>
              </w:rPr>
              <w:t>Payment-in-kind interest income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color w:val="auto"/>
              </w:rPr>
              <w:t>(433,609)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(900,398)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on investments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(408,557)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700"/>
              <w:spacing w:after="0"/>
              <w:rPr>
                <w:sz w:val="20"/>
                <w:szCs w:val="20"/>
                <w:color w:val="auto"/>
              </w:rPr>
            </w:pPr>
            <w:r>
              <w:rPr>
                <w:rFonts w:ascii="Arial" w:cs="Arial" w:eastAsia="Arial" w:hAnsi="Arial"/>
                <w:sz w:val="18"/>
                <w:szCs w:val="18"/>
                <w:color w:val="auto"/>
              </w:rPr>
              <w:t>Amortization of deferred debt financing costs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540"/>
              <w:spacing w:after="0"/>
              <w:rPr>
                <w:sz w:val="20"/>
                <w:szCs w:val="20"/>
                <w:color w:val="auto"/>
              </w:rPr>
            </w:pPr>
            <w:r>
              <w:rPr>
                <w:rFonts w:ascii="Arial" w:cs="Arial" w:eastAsia="Arial" w:hAnsi="Arial"/>
                <w:sz w:val="18"/>
                <w:szCs w:val="18"/>
                <w:color w:val="auto"/>
              </w:rPr>
              <w:t>775,707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669,831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 from investments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(12,299,899)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700"/>
              <w:spacing w:after="0"/>
              <w:rPr>
                <w:sz w:val="20"/>
                <w:szCs w:val="20"/>
                <w:color w:val="auto"/>
              </w:rPr>
            </w:pPr>
            <w:r>
              <w:rPr>
                <w:rFonts w:ascii="Arial" w:cs="Arial" w:eastAsia="Arial" w:hAnsi="Arial"/>
                <w:sz w:val="18"/>
                <w:szCs w:val="18"/>
                <w:color w:val="auto"/>
              </w:rPr>
              <w:t>Net unrealized (appreciation) depreciation on investments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540"/>
              <w:spacing w:after="0"/>
              <w:rPr>
                <w:sz w:val="20"/>
                <w:szCs w:val="20"/>
                <w:color w:val="auto"/>
              </w:rPr>
            </w:pPr>
            <w:r>
              <w:rPr>
                <w:rFonts w:ascii="Arial" w:cs="Arial" w:eastAsia="Arial" w:hAnsi="Arial"/>
                <w:sz w:val="18"/>
                <w:szCs w:val="18"/>
                <w:color w:val="auto"/>
              </w:rPr>
              <w:t>10,728,122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(239,354)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sales and repayments of investments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94,691,232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62,676,779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700"/>
              <w:spacing w:after="0"/>
              <w:rPr>
                <w:sz w:val="20"/>
                <w:szCs w:val="20"/>
                <w:color w:val="auto"/>
              </w:rPr>
            </w:pPr>
            <w:r>
              <w:rPr>
                <w:rFonts w:ascii="Arial" w:cs="Arial" w:eastAsia="Arial" w:hAnsi="Arial"/>
                <w:sz w:val="18"/>
                <w:szCs w:val="18"/>
                <w:color w:val="auto"/>
              </w:rPr>
              <w:t>Purchase of investments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color w:val="auto"/>
              </w:rPr>
              <w:t>(85,850,895)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(57,428,806)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operating assets: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Arial" w:cs="Arial" w:eastAsia="Arial" w:hAnsi="Arial"/>
                <w:sz w:val="18"/>
                <w:szCs w:val="18"/>
                <w:color w:val="auto"/>
              </w:rPr>
              <w:t>Interest receivable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color w:val="auto"/>
              </w:rPr>
              <w:t>(788,833)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(504,339)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Due from affiliate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(46,078)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Arial" w:cs="Arial" w:eastAsia="Arial" w:hAnsi="Arial"/>
                <w:sz w:val="18"/>
                <w:szCs w:val="18"/>
                <w:color w:val="auto"/>
              </w:rPr>
              <w:t>Management fee receivable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color w:val="auto"/>
              </w:rPr>
              <w:t>(959)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106,195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Arial" w:cs="Arial" w:eastAsia="Arial" w:hAnsi="Arial"/>
                <w:sz w:val="18"/>
                <w:szCs w:val="18"/>
                <w:color w:val="auto"/>
              </w:rPr>
              <w:t>Receivable from unsettled trades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540"/>
              <w:spacing w:after="0"/>
              <w:rPr>
                <w:sz w:val="20"/>
                <w:szCs w:val="20"/>
                <w:color w:val="auto"/>
              </w:rPr>
            </w:pPr>
            <w:r>
              <w:rPr>
                <w:rFonts w:ascii="Arial" w:cs="Arial" w:eastAsia="Arial" w:hAnsi="Arial"/>
                <w:sz w:val="18"/>
                <w:szCs w:val="18"/>
                <w:color w:val="auto"/>
              </w:rPr>
              <w:t>15,097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operating liabilities: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Arial" w:cs="Arial" w:eastAsia="Arial" w:hAnsi="Arial"/>
                <w:sz w:val="18"/>
                <w:szCs w:val="18"/>
                <w:color w:val="auto"/>
              </w:rPr>
              <w:t>Base management and incentive fees payable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540"/>
              <w:spacing w:after="0"/>
              <w:rPr>
                <w:sz w:val="20"/>
                <w:szCs w:val="20"/>
                <w:color w:val="auto"/>
              </w:rPr>
            </w:pPr>
            <w:r>
              <w:rPr>
                <w:rFonts w:ascii="Arial" w:cs="Arial" w:eastAsia="Arial" w:hAnsi="Arial"/>
                <w:sz w:val="18"/>
                <w:szCs w:val="18"/>
                <w:color w:val="auto"/>
              </w:rPr>
              <w:t>338,491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(178,074)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(183,082)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Arial" w:cs="Arial" w:eastAsia="Arial" w:hAnsi="Arial"/>
                <w:sz w:val="18"/>
                <w:szCs w:val="18"/>
                <w:color w:val="auto"/>
              </w:rPr>
              <w:t>Interest and debt fees payable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color w:val="auto"/>
              </w:rPr>
              <w:t>(453,760)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(555,104)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Payable for repurchases of common stock</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(20,957)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060"/>
              <w:spacing w:after="0"/>
              <w:rPr>
                <w:sz w:val="20"/>
                <w:szCs w:val="20"/>
                <w:color w:val="auto"/>
              </w:rPr>
            </w:pPr>
            <w:r>
              <w:rPr>
                <w:rFonts w:ascii="Arial" w:cs="Arial" w:eastAsia="Arial" w:hAnsi="Arial"/>
                <w:sz w:val="18"/>
                <w:szCs w:val="18"/>
                <w:color w:val="auto"/>
              </w:rPr>
              <w:t>Directors fees payable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540"/>
              <w:spacing w:after="0"/>
              <w:rPr>
                <w:sz w:val="20"/>
                <w:szCs w:val="20"/>
                <w:color w:val="auto"/>
              </w:rPr>
            </w:pPr>
            <w:r>
              <w:rPr>
                <w:rFonts w:ascii="Arial" w:cs="Arial" w:eastAsia="Arial" w:hAnsi="Arial"/>
                <w:sz w:val="18"/>
                <w:szCs w:val="18"/>
                <w:color w:val="auto"/>
              </w:rPr>
              <w:t>19,500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Due to manager</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59,603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16,380,299</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10,628,372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Borrowings on debt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540"/>
              <w:spacing w:after="0"/>
              <w:rPr>
                <w:sz w:val="20"/>
                <w:szCs w:val="20"/>
                <w:color w:val="auto"/>
              </w:rPr>
            </w:pPr>
            <w:r>
              <w:rPr>
                <w:rFonts w:ascii="Arial" w:cs="Arial" w:eastAsia="Arial" w:hAnsi="Arial"/>
                <w:sz w:val="18"/>
                <w:szCs w:val="18"/>
                <w:color w:val="auto"/>
              </w:rPr>
              <w:t>9,000,000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Paydowns on debt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Issuance of notes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13,074,525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Payments of deferred debt financing costs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(644,845)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480"/>
              <w:spacing w:after="0"/>
              <w:rPr>
                <w:sz w:val="20"/>
                <w:szCs w:val="20"/>
                <w:color w:val="auto"/>
              </w:rPr>
            </w:pPr>
            <w:r>
              <w:rPr>
                <w:rFonts w:ascii="Arial" w:cs="Arial" w:eastAsia="Arial" w:hAnsi="Arial"/>
                <w:sz w:val="18"/>
                <w:szCs w:val="18"/>
                <w:color w:val="auto"/>
              </w:rPr>
              <w:t>(3,256,613)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(38,981)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Payments of cash dividends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(5,222,112)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(6,503,846)</w:t>
            </w:r>
          </w:p>
        </w:tc>
        <w:tc>
          <w:tcPr>
            <w:tcW w:w="0" w:type="dxa"/>
            <w:vAlign w:val="bottom"/>
          </w:tcPr>
          <w:p>
            <w:pPr>
              <w:spacing w:after="0"/>
              <w:rPr>
                <w:sz w:val="1"/>
                <w:szCs w:val="1"/>
                <w:color w:val="auto"/>
              </w:rPr>
            </w:pP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(123,570)</w:t>
            </w: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(3,527,055)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IN CASH AND CASH EQUIVALENTS AND CASH AND</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EQUIVALENTS, RESERVE ACCOUNTS</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16,256,729</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7,101,317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tcPr>
          <w:p>
            <w:pPr>
              <w:spacing w:after="0" w:line="201" w:lineRule="exact"/>
              <w:rPr>
                <w:sz w:val="20"/>
                <w:szCs w:val="20"/>
                <w:color w:val="auto"/>
              </w:rPr>
            </w:pPr>
            <w:r>
              <w:rPr>
                <w:rFonts w:ascii="Arial" w:cs="Arial" w:eastAsia="Arial" w:hAnsi="Arial"/>
                <w:sz w:val="18"/>
                <w:szCs w:val="18"/>
                <w:color w:val="auto"/>
              </w:rPr>
              <w:t>CASH AND CASH EQUIVALENTS AND CASH AND CASH EQUIVALENTS,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RESERVE ACCOUNTS, BEGINNING OF PERIOD</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2"/>
          </w:tcPr>
          <w:p>
            <w:pPr>
              <w:jc w:val="right"/>
              <w:ind w:right="540"/>
              <w:spacing w:after="0"/>
              <w:rPr>
                <w:sz w:val="20"/>
                <w:szCs w:val="20"/>
                <w:color w:val="auto"/>
              </w:rPr>
            </w:pPr>
            <w:r>
              <w:rPr>
                <w:rFonts w:ascii="Arial" w:cs="Arial" w:eastAsia="Arial" w:hAnsi="Arial"/>
                <w:sz w:val="18"/>
                <w:szCs w:val="18"/>
                <w:color w:val="auto"/>
              </w:rPr>
              <w:t>7,034,783</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20,063,372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AND CASH AND CASH EQUIVALENTS,</w:t>
            </w:r>
          </w:p>
        </w:tc>
        <w:tc>
          <w:tcPr>
            <w:tcW w:w="5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 ACCOUNTS, END OF PERIOD</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23,291,512</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27,164,689</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Supplemental information:</w:t>
            </w: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during the period</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6,784,922</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6,126,220</w:t>
            </w: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Supplemental non-cash information:</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Payment-in-kind interest income</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433,609</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540"/>
              <w:spacing w:after="0"/>
              <w:rPr>
                <w:sz w:val="20"/>
                <w:szCs w:val="20"/>
                <w:color w:val="auto"/>
              </w:rPr>
            </w:pPr>
            <w:r>
              <w:rPr>
                <w:rFonts w:ascii="Arial" w:cs="Arial" w:eastAsia="Arial" w:hAnsi="Arial"/>
                <w:sz w:val="18"/>
                <w:szCs w:val="18"/>
                <w:color w:val="auto"/>
              </w:rPr>
              <w:t>408,557</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377,279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775,707</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Stock dividend distribution</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540"/>
              <w:spacing w:after="0"/>
              <w:rPr>
                <w:sz w:val="20"/>
                <w:szCs w:val="20"/>
                <w:color w:val="auto"/>
              </w:rPr>
            </w:pPr>
            <w:r>
              <w:rPr>
                <w:rFonts w:ascii="Arial" w:cs="Arial" w:eastAsia="Arial" w:hAnsi="Arial"/>
                <w:sz w:val="18"/>
                <w:szCs w:val="18"/>
                <w:color w:val="auto"/>
              </w:rPr>
              <w:t>4,125,696</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3,778,630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November 30, 2016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Saratoga Investment Corp. (the “Company”, “we”, “our” and “us”) is a non-diversified closed-end management investment company incorporated in Maryland that has elected to be treated and is regulated as a business development company (“BDC”) under the Investment Company Act of 1940 (the “1940 Act”). The Company commenced operations on March 23, 2007 as GSC Investment Corp. and completed the initial public offering (“IPO”) on March 28, 2007. The Company has elected to be treated as a regulated investment company (“RIC”) under subchapter M of the Internal Revenue Code (the “Code”). The Company expects to continue to qualify and to elect to be treated, for tax purposes, as a RIC. The Company’s investment objective is to generate current income and, to a lesser extent, capital appreciation from its investments.</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GSC Investment, LLC (the “LLC”) was organized in May 2006 as a Maryland limited liability company. As of February 28, 2007, the LLC had not yet commenced its operations and investment activities.</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March 21, 2007, the Company was incorporated and concurrently therewith the LLC was merged with and into the Company, with the Company as the surviving entity, in accordance with the procedure for such merger in the LLC’s limited liability company agreement and Maryland law. In connection with such merger, each outstanding limited liability company interest of the LLC was converted into a share of common stock of the Company.</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July 30, 2010, the Company changed its name from “GSC Investment Corp.” to “Saratoga Investment Corp.” in connection with the consummation of a recapitalization transaction.</w:t>
      </w:r>
    </w:p>
    <w:p>
      <w:pPr>
        <w:spacing w:after="0" w:line="170"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The Company is externally managed and advised by the investment adviser, Saratoga Investment Advisors, LLC (the “Manager”), pursuant to a management agreement (the “Management Agreement”). Prior to July 30, 2010, the Company was managed and advised by GSCP (NJ), L.P.</w:t>
      </w:r>
    </w:p>
    <w:p>
      <w:pPr>
        <w:spacing w:after="0" w:line="124"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Company has established wholly-owned subsidiaries, SIA Avionte, Inc., SIA GH, Inc., SIA Mercury, Inc., SIA TT, Inc., and SIA Vector, Inc., which are structured as Delaware entities, or tax blockers, to hold equity or equity-like investments in portfolio companies organized as limited liability companies, or LLCs (or other forms of pass through entities). Tax blockers are consolidated for accounting purposes, but are not consolidated for income tax purposes and may incur income tax expense as a result of their ownership of portfolio companies.</w:t>
      </w:r>
    </w:p>
    <w:p>
      <w:pPr>
        <w:spacing w:after="0" w:line="17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April 2, 2015, the SBA issued a “green light” letter inviting the Company to continue the application process to obtain a license to form and operate its second SBIC subsidiary. On September 27, 2016, the SBA informed us that as part of their continued review of our application for a second license, and in order to ensure that they were reviewing the most current information available, we would need to update all previously submitted materials and invited us to reapply. As a result of this request, with which we are in the process of complying, the existing “green light” letter that the SBA issued to us will expire. If approved in the future, a second SBIC license would provide us an incremental source of long-term capital by permitting us to issue up to $150.0 million of additional SBA-guaranteed debentures in addition to the $150.0 million already approved under the first license.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accompanying consolidated financial statements have been prepared on the accrual basis of accounting in conformity with U.S. generally accepted accounting principles (“U.S. GAAP”), are stated in U.S. Dollars and include the accounts of the Company and its special purpose financing subsidiary, Saratoga Investment Funding, LLC (previously known as GSC Investment Funding LLC). All intercompany accounts and transactions have been eliminated in consolidation. All references made to the “Company,” “we,” and “us” herein include Saratoga Investment Corp. and its consolidated subsidiaries, except as stated otherwise.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The Company and SBIC LP are both considered to be investment companies for financial reporting purposes and have applied the guidance in the Financial Accounting Standards Board (“FASB”) Accounting Standards Codification (“ASC”) Topic 946, </w:t>
      </w:r>
      <w:r>
        <w:rPr>
          <w:rFonts w:ascii="Arial" w:cs="Arial" w:eastAsia="Arial" w:hAnsi="Arial"/>
          <w:sz w:val="18"/>
          <w:szCs w:val="18"/>
          <w:i w:val="1"/>
          <w:iCs w:val="1"/>
          <w:color w:val="auto"/>
        </w:rPr>
        <w:t>“Financial Services — Investment Companies”</w:t>
      </w:r>
      <w:r>
        <w:rPr>
          <w:rFonts w:ascii="Arial" w:cs="Arial" w:eastAsia="Arial" w:hAnsi="Arial"/>
          <w:sz w:val="18"/>
          <w:szCs w:val="18"/>
          <w:color w:val="auto"/>
        </w:rPr>
        <w:t xml:space="preserve"> (“ASC Topic 946”). There have been no changes to the Company or SBIC LP’s status as investment companies during the nine months ended November 30,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preparation of the accompanying consolidated financial statements in conformity with U.S. GAAP requires management to make estimates and assumptions that affect the reported amounts of assets and liabilities, and disclosure of contingent assets and liabilities at the date of the financial statements, and income, gains (losses) and expenses during the period reported. Actual results could differ materially from those estimates.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Cash and cash equivalents include short-term, liquid investments in a money market fund. Cash and cash equivalents are carried at cost which approximates fair value. Per section 12(d)(1)(A) of the 1940 Act, the Company may not invest in another registered investment company such as a money market fund if such investment would cause the Company to exceed any of the following limitations:</w:t>
      </w:r>
    </w:p>
    <w:p>
      <w:pPr>
        <w:spacing w:after="0" w:line="8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own more than 3.0% of the total outstanding voting stock of the money market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hold securities in the money market fund having an aggregate value in excess of 5.0% of the value of our total assets; or</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hold securities in money market funds and other registered investment companies and BDCs having an aggregate value in excess of 10.0% of the value of our total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November 30, 2016, the Company did not exceed any of these limitations.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Reserve Accounts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Cash and cash equivalents, reserve accounts include amounts held in designated bank accounts, in the form of cash and short-term liquid investments in money market funds, representing payments received on secured investments or other reserved amounts associated with our $45.0 million senior secured revolving credit facility with Madison Capital Funding LLC. The Company is required to use these amounts to pay interest expense, reduce borrowings, or pay other amounts in accordance with the terms of the senior secured revolving credit facility.</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addition, cash and cash equivalents, reserve accounts also include amounts held in designated bank accounts, in the form of cash and short-term liquid investments in money market funds, within our wholly-owned subsidiary, SBIC LP.</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In November 2016, the FASB issued Accounting Standards Update (“ASU”) 2016-18, Statement of Cash Flows (Topic 230): </w:t>
      </w:r>
      <w:r>
        <w:rPr>
          <w:rFonts w:ascii="Arial" w:cs="Arial" w:eastAsia="Arial" w:hAnsi="Arial"/>
          <w:sz w:val="17"/>
          <w:szCs w:val="17"/>
          <w:i w:val="1"/>
          <w:iCs w:val="1"/>
          <w:color w:val="auto"/>
        </w:rPr>
        <w:t>Restricted Cash</w:t>
      </w:r>
      <w:r>
        <w:rPr>
          <w:rFonts w:ascii="Arial" w:cs="Arial" w:eastAsia="Arial" w:hAnsi="Arial"/>
          <w:sz w:val="17"/>
          <w:szCs w:val="17"/>
          <w:color w:val="auto"/>
        </w:rPr>
        <w:t xml:space="preserve"> (“ASU 2016-18”). ASU 2016-18 requires that the statements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statements of cash flows. The new guidance is effective for fiscal years, and interim periods within those fiscal years, beginning after December 15, 2017, and early adoption is permitted and is to be applied on a retrospective basis. The Company has adopted the provisions of ASU 2016-18 as of November 30, 2016. The adoption of the provisions of ASU 2016-18 did not materially impact the Company’s consolidated financial position or results of operations. Prior period amounts were reclassified to conform to the current period presentation.</w:t>
      </w:r>
    </w:p>
    <w:p>
      <w:pPr>
        <w:spacing w:after="0" w:line="179"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The following table provides a reconciliation of cash and cash equivalents and cash and cash equivalents, reserve accounts reported within the consolidated statements of assets and liabilities that sum to the total of the same such amounts shown in the consolidated statements of cash flows: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30,</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November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5,770,230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6,019,448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Cash and cash equivalents, reserve accounts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17,521,282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21,145,241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 and cash and cash equivalents, reserve accounts</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23,291,512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27,164,689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Company classifies its investments in accordance with the requirements of the 1940 Act. Under the 1940 Act, “Control Investments” are defined as investments in companies in which we own more than 25.0% of the voting securities or maintain greater than 50.0% of the board representation. Under the 1940 Act, “Affiliated Investments” are defined as those non-control investments in companies in which we own between 5.0% and 25.0% of the voting securities. Under the 1940 Act, “Non-affiliated Investments” are defined as investments that are neither Control Investments nor Affiliated Investments.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The Company accounts for its investments at fair value in accordance with the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balance sheet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7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our Manager,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6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900" w:right="62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our Manager and preliminary valuation conclusions are documented and discussed with the senior management of our Manager; and</w:t>
      </w:r>
    </w:p>
    <w:p>
      <w:pPr>
        <w:spacing w:after="0" w:line="75"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 selection of these preliminary valuations each quarter so that the valuation of each investment for which market quotes are not readily available is reviewed by the independent valuation firm at least once each fiscal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900" w:right="8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and approves each preliminary valuation and our Manager and independent valuation firm (if applicable) will supplement the preliminary valuation to reflect any comments provided by the audit committee; 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approves the fair value of each investment, in good faith, based on the input of our Manager, independent valuation firm (to the extent applicable) and the audit committee of our board of directors.</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board of directors. Specifically, we use Intex cash flow models, or an appropriate substitute, to form the basis for the valuation of our investment in Saratoga CLO. The models use a set of assumptions including projected default rates, recovery rates, reinvestment rates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 analysis on expected future cash flows to determine a valuation for our investment in Saratoga CLO. 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We account for derivative financial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recognizing all derivative instruments as either assets or liabilities on the consolidated statements of assets and liabilities at fair value. The Company values derivative contracts at the closing fair value provided by the counterparty. Changes in the values of derivative contracts are included in the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 and Income Recognition</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 of premiums on investments.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income on our investment in Saratoga CLO is recorded using the effective interest method in accordance with the provisions of ASC</w:t>
      </w:r>
    </w:p>
    <w:p>
      <w:pPr>
        <w:spacing w:after="0" w:line="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(“ASC 325-40”),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Other income includes dividends received, origination fees, structuring fees and advisory fees, and is recorded in the consolidated statements of operations when earned.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w:t>
      </w:r>
    </w:p>
    <w:p>
      <w:pPr>
        <w:spacing w:after="0" w:line="121"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Financing Costs</w:t>
      </w:r>
    </w:p>
    <w:p>
      <w:pPr>
        <w:spacing w:after="0" w:line="12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Financing costs incurred in connection with our credit facility and notes are deferred and amortized using the straight line method over the life of the respective facility and debt securities. Financing costs incurred in connection with our SBA debentures are deferred and amortized using the effective yield method over the life of the debentures.</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ASU 2015-03, </w:t>
      </w:r>
      <w:r>
        <w:rPr>
          <w:rFonts w:ascii="Arial" w:cs="Arial" w:eastAsia="Arial" w:hAnsi="Arial"/>
          <w:sz w:val="18"/>
          <w:szCs w:val="18"/>
          <w:i w:val="1"/>
          <w:iCs w:val="1"/>
          <w:color w:val="auto"/>
        </w:rPr>
        <w:t>Interest—Imputation of Interest (Subtopic 835-30): Simplifying the Presentation of Debt Issuance Costs</w:t>
      </w:r>
      <w:r>
        <w:rPr>
          <w:rFonts w:ascii="Arial" w:cs="Arial" w:eastAsia="Arial" w:hAnsi="Arial"/>
          <w:sz w:val="18"/>
          <w:szCs w:val="18"/>
          <w:color w:val="auto"/>
        </w:rPr>
        <w:t xml:space="preserve"> (“ASU 2015-03”) requires that debt issuance costs related to a recognized debt liability be presented in the balance sheet as a direct deduction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from the carrying amount of that debt liability, consistent with debt discounts. The Company has adopted the provisions of ASU 2015-03 as of February 28, 2015, by reclassifying deferred debt financing costs from within total assets to within total liabilities as a contra-liability. Prior period amounts were reclassified to conform to the current period presentation.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the ordinary course of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 Therefore, the Company has not accrued any liabilities in connection with such indemnifications.</w:t>
      </w:r>
    </w:p>
    <w:p>
      <w:pPr>
        <w:spacing w:after="0" w:line="166"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Company has filed an election to be treated, for tax purposes, as a RIC under the Code and, among other things, intends to make the requisite distributions to its stockholders which will relieve the Company from federal income taxes. Therefore, no provision has been recorded for federal income taxes.</w:t>
      </w:r>
    </w:p>
    <w:p>
      <w:pPr>
        <w:spacing w:after="0" w:line="18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(“IRS”),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on the consolidated statements of operations. During the fiscal year ended February 29, 2016, the Company did not incur any interest or penalties. Although we file federal and state tax returns, our major tax jurisdiction is federal. The 2013, 2014, 2015 and 2016 federal tax years for the Company remain subject to examination by the IRS. As of November 30, 2016 and February 29, 2016, there were no uncertain tax positions. The Company is not aware of any tax positions for which it is reasonably possible that the total amounts of unrecognized tax benefits will change significantly in the next 12 months.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Dividends to common stockholders are recorded on the ex-dividend date. The amount to be paid out as a dividend is determined by the board of directors. Net realized capital gains, if any, are generally distributed at least annually, although we may decide to retain such capital gains for reinvestment.</w:t>
      </w:r>
    </w:p>
    <w:p>
      <w:pPr>
        <w:spacing w:after="0" w:line="12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have adopted a dividend reinvestment plan (“DRIP”) that provides for reinvestment of our dividend distributions on behalf of our stockholders unless a stockholder elects to receive cash. As a result, if our board of directors authorizes, and we declare a cash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records an expense accrual on the consolidated statements of operations, relating to the capital gains incentive fee payable on the consolidated statements of assets and liabilities, by the Company to its investment adviser when the net realized and unrealized gain on its investments exceed all net realized and unrealized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net of realized and unrealized losses for the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In August 2016, the FASB issued ASU 2016-15, Statement of Cash Flows (Topic 230),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xml:space="preserve"> (“ASU 2016-15”), which is intended to reduce the existing diversity in practice in how certain cash receipts and cash payments are presented and classified in the statement of cash flows. The guidance is effective for annual periods beginning after December 15, 2017, and interim periods therein. Early adoption is permitted. Management is currently evaluating the impact ASU 2016-15 will have on the Company’s consolidated financial statements and disclosures.</w:t>
      </w:r>
    </w:p>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Amendments to the Leases</w:t>
      </w:r>
      <w:r>
        <w:rPr>
          <w:rFonts w:ascii="Arial" w:cs="Arial" w:eastAsia="Arial" w:hAnsi="Arial"/>
          <w:sz w:val="18"/>
          <w:szCs w:val="18"/>
          <w:color w:val="auto"/>
        </w:rPr>
        <w:t xml:space="preserve"> (“ASC Topic 842”), which will require for all operating leases the recognition of a right-of-use asset and a lease liability, in the statement of financial position. The lease cost will be allocated over the lease term on a straight-line basis. This guidance is effective for annual and interim periods beginning after December 15, 2018. Management is currently evaluating the impact these changes will have on the Company’s consolidated financial statements and disclosures.</w:t>
      </w:r>
    </w:p>
    <w:p>
      <w:pPr>
        <w:spacing w:after="0" w:line="18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retains many current requirements for the classification and measurement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however, it significantly revises an entity’s accounting related to (1) the classification and measurement of investments in equity securities and</w:t>
      </w:r>
    </w:p>
    <w:p>
      <w:pPr>
        <w:ind w:right="40" w:firstLine="8"/>
        <w:spacing w:after="0" w:line="254"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presentation of certain fair value changes for financial 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 adoption of this standard has on the Company’s consolidated financial statements and disclosures.</w:t>
      </w:r>
    </w:p>
    <w:p>
      <w:pPr>
        <w:spacing w:after="0" w:line="1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does not believe these changes will have a material impact on the Company’s consolidated financial statements and disclosures.</w:t>
      </w:r>
    </w:p>
    <w:p>
      <w:pPr>
        <w:spacing w:after="0" w:line="165"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In May 2016, ASU 2016-12 amended ASU 2014-09 and deferred the effective period to December 15, 2017. Management is currently evaluating the impact these changes will have on the Company’s consolidated financial statements and disclosures.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the ordinary course of its business, the Company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Company is also exposed to credit risk related to maintaining all of its cash and cash equivalents, including those in reserve accounts, at a major financial institution and credit risk related to any of its derivative counterparties.</w:t>
      </w:r>
    </w:p>
    <w:p>
      <w:pPr>
        <w:spacing w:after="0" w:line="17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Company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87"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2—Valuations based on inputs other than quoted prices in active markets, which are either directly or indirectly observable.</w:t>
      </w:r>
    </w:p>
    <w:p>
      <w:pPr>
        <w:spacing w:after="0" w:line="130"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 broker would not be held to such a price in an actual transaction. The non-binding nature of consensus pricing and/or quotes accompanied by a disclaimer would result in classification as a Level 3 asset, assuming no additional corroborating evidence.</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of directors that is consistent with ASC 820 and the 1940 Act (see Note 2).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November 30, 2016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8"/>
              </w:rPr>
              <w:t>Fair Value Measurements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3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3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First lien term loans</w:t>
            </w:r>
          </w:p>
        </w:tc>
        <w:tc>
          <w:tcPr>
            <w:tcW w:w="3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160,460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160,460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80,195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80,195</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3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15,266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15,266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3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12,022</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34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277,570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277,570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420" w:type="dxa"/>
            <w:vAlign w:val="bottom"/>
            <w:vMerge w:val="restart"/>
          </w:tcPr>
          <w:p>
            <w:pPr>
              <w:jc w:val="right"/>
              <w:ind w:right="1610"/>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29, 2016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8"/>
              </w:rPr>
              <w:t>Fair Value Measurements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3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First lien term loans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144,643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144,643</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88,178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88,178</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12,828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12,828</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26,479</w:t>
            </w: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3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283,996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283,996</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2016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Syndicated</w:t>
            </w: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Second</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12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lien</w:t>
            </w:r>
          </w:p>
        </w:tc>
        <w:tc>
          <w:tcPr>
            <w:tcW w:w="10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finance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stock/</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loans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 loans</w:t>
            </w:r>
          </w:p>
        </w:tc>
        <w:tc>
          <w:tcPr>
            <w:tcW w:w="12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term loans</w:t>
            </w:r>
          </w:p>
        </w:tc>
        <w:tc>
          <w:tcPr>
            <w:tcW w:w="8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securities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equities</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29, 2016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11,868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144,643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88,178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26,479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283,996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unrealized appreciation/(depreciation) on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(13,085)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(10,728)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69,671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10,996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86,693</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Sales and repayments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(4,571)</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(54,033)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(19,500)</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(14,505)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(94,691)</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12,300</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Balance as of November 30, 2016</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9,627</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160,460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80,195</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15,266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12,022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277,570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w w:val="95"/>
              </w:rPr>
              <w:t>Unrealized gains (losses) for the period relating to those Level 3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that were still held by the Company at the end of the period:</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Net change in unrealized gains (losses):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1,075</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(1,981)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repayments represent net proceeds received from investments sold, and principal paydowns received, during the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and restructurings, if any, are recognized at the beginning of the period in which they occur.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2015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Syndicated</w:t>
            </w: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2"/>
              </w:rPr>
              <w:t>Second</w:t>
            </w:r>
          </w:p>
        </w:tc>
        <w:tc>
          <w:tcPr>
            <w:tcW w:w="120" w:type="dxa"/>
            <w:vAlign w:val="bottom"/>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Unsecured</w:t>
            </w:r>
          </w:p>
        </w:tc>
        <w:tc>
          <w:tcPr>
            <w:tcW w:w="1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lien</w:t>
            </w: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9"/>
              </w:rPr>
              <w:t>finance</w:t>
            </w: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8"/>
              </w:rPr>
              <w:t>stock/</w:t>
            </w:r>
          </w:p>
        </w:tc>
        <w:tc>
          <w:tcPr>
            <w:tcW w:w="100" w:type="dxa"/>
            <w:vAlign w:val="bottom"/>
          </w:tcPr>
          <w:p>
            <w:pPr>
              <w:spacing w:after="0"/>
              <w:rPr>
                <w:sz w:val="12"/>
                <w:szCs w:val="12"/>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loans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 loans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term loans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notes</w:t>
            </w:r>
          </w:p>
        </w:tc>
        <w:tc>
          <w:tcPr>
            <w:tcW w:w="100" w:type="dxa"/>
            <w:vAlign w:val="bottom"/>
          </w:tcPr>
          <w:p>
            <w:pPr>
              <w:spacing w:after="0"/>
              <w:rPr>
                <w:sz w:val="14"/>
                <w:szCs w:val="14"/>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securities</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equities</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2015</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18,302</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145,207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35,603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17,031</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20,165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240,538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unrealized appreciation/(depreciation) on investments</w:t>
            </w:r>
          </w:p>
        </w:tc>
        <w:tc>
          <w:tcPr>
            <w:tcW w:w="1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30,254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27,341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58,707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Sales and repayments</w:t>
            </w:r>
          </w:p>
        </w:tc>
        <w:tc>
          <w:tcPr>
            <w:tcW w:w="12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(28,657)</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(19,502)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(5,917)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(3,946)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(62,677)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Restructures in</w:t>
            </w:r>
          </w:p>
        </w:tc>
        <w:tc>
          <w:tcPr>
            <w:tcW w:w="120" w:type="dxa"/>
            <w:vAlign w:val="bottom"/>
          </w:tcPr>
          <w:p>
            <w:pPr>
              <w:spacing w:after="0"/>
              <w:rPr>
                <w:sz w:val="18"/>
                <w:szCs w:val="18"/>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Restructures out</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Balance as of November 30, 2015</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14,538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145,639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43,561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21,524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241,038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rPr>
              <w:t>Unrealized gains (losses) for the period relating to those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Level 3 assets that were still held by the Company at the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end of the period:</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Net change in unrealized gains (losses):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1,577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repayments represent net proceeds received from investments sold, and principal paydowns received, during the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and restructurings, if any, are recognized at the beginning of the period in which they occur.</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November 30, 2016 were as follows (dollars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2060" w:type="dxa"/>
            <w:vAlign w:val="bottom"/>
            <w:gridSpan w:val="2"/>
          </w:tcPr>
          <w:p>
            <w:pPr>
              <w:ind w:left="240"/>
              <w:spacing w:after="0"/>
              <w:rPr>
                <w:sz w:val="20"/>
                <w:szCs w:val="20"/>
                <w:color w:val="auto"/>
              </w:rPr>
            </w:pPr>
            <w:r>
              <w:rPr>
                <w:rFonts w:ascii="Arial" w:cs="Arial" w:eastAsia="Arial" w:hAnsi="Arial"/>
                <w:sz w:val="14"/>
                <w:szCs w:val="14"/>
                <w:b w:val="1"/>
                <w:bCs w:val="1"/>
                <w:color w:val="auto"/>
              </w:rPr>
              <w:t>Valuation Technique</w:t>
            </w:r>
          </w:p>
        </w:tc>
        <w:tc>
          <w:tcPr>
            <w:tcW w:w="2080" w:type="dxa"/>
            <w:vAlign w:val="bottom"/>
            <w:gridSpan w:val="2"/>
          </w:tcPr>
          <w:p>
            <w:pPr>
              <w:ind w:left="260"/>
              <w:spacing w:after="0"/>
              <w:rPr>
                <w:sz w:val="20"/>
                <w:szCs w:val="20"/>
                <w:color w:val="auto"/>
              </w:rPr>
            </w:pPr>
            <w:r>
              <w:rPr>
                <w:rFonts w:ascii="Arial" w:cs="Arial" w:eastAsia="Arial" w:hAnsi="Arial"/>
                <w:sz w:val="14"/>
                <w:szCs w:val="14"/>
                <w:b w:val="1"/>
                <w:bCs w:val="1"/>
                <w:color w:val="auto"/>
              </w:rPr>
              <w:t>Unobservable Input</w:t>
            </w:r>
          </w:p>
        </w:tc>
        <w:tc>
          <w:tcPr>
            <w:tcW w:w="1260" w:type="dxa"/>
            <w:vAlign w:val="bottom"/>
            <w:gridSpan w:val="2"/>
          </w:tcPr>
          <w:p>
            <w:pPr>
              <w:ind w:left="440"/>
              <w:spacing w:after="0"/>
              <w:rPr>
                <w:sz w:val="20"/>
                <w:szCs w:val="20"/>
                <w:color w:val="auto"/>
              </w:rPr>
            </w:pPr>
            <w:r>
              <w:rPr>
                <w:rFonts w:ascii="Arial" w:cs="Arial" w:eastAsia="Arial" w:hAnsi="Arial"/>
                <w:sz w:val="14"/>
                <w:szCs w:val="14"/>
                <w:b w:val="1"/>
                <w:bCs w:val="1"/>
                <w:color w:val="auto"/>
              </w:rPr>
              <w:t>Range</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9,627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3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 (%)</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97.6%</w:t>
            </w:r>
          </w:p>
        </w:tc>
        <w:tc>
          <w:tcPr>
            <w:tcW w:w="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- 99.9%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First lien term loans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160,460</w:t>
            </w:r>
          </w:p>
        </w:tc>
        <w:tc>
          <w:tcPr>
            <w:tcW w:w="2260" w:type="dxa"/>
            <w:vAlign w:val="bottom"/>
            <w:gridSpan w:val="3"/>
          </w:tcPr>
          <w:p>
            <w:pPr>
              <w:ind w:left="200"/>
              <w:spacing w:after="0"/>
              <w:rPr>
                <w:sz w:val="20"/>
                <w:szCs w:val="20"/>
                <w:color w:val="auto"/>
              </w:rPr>
            </w:pPr>
            <w:r>
              <w:rPr>
                <w:rFonts w:ascii="Arial" w:cs="Arial" w:eastAsia="Arial" w:hAnsi="Arial"/>
                <w:sz w:val="18"/>
                <w:szCs w:val="18"/>
                <w:color w:val="auto"/>
              </w:rPr>
              <w:t>Market Comparables</w:t>
            </w:r>
          </w:p>
        </w:tc>
        <w:tc>
          <w:tcPr>
            <w:tcW w:w="2080" w:type="dxa"/>
            <w:vAlign w:val="bottom"/>
            <w:gridSpan w:val="2"/>
          </w:tcPr>
          <w:p>
            <w:pPr>
              <w:spacing w:after="0"/>
              <w:rPr>
                <w:sz w:val="20"/>
                <w:szCs w:val="20"/>
                <w:color w:val="auto"/>
              </w:rPr>
            </w:pPr>
            <w:r>
              <w:rPr>
                <w:rFonts w:ascii="Arial" w:cs="Arial" w:eastAsia="Arial" w:hAnsi="Arial"/>
                <w:sz w:val="18"/>
                <w:szCs w:val="18"/>
                <w:color w:val="auto"/>
              </w:rPr>
              <w:t>Market Yield (%)</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6"/>
              </w:rPr>
              <w:t>6.4% - 16.4%</w:t>
            </w:r>
          </w:p>
        </w:tc>
      </w:tr>
      <w:tr>
        <w:trPr>
          <w:trHeight w:val="216"/>
        </w:trPr>
        <w:tc>
          <w:tcPr>
            <w:tcW w:w="3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1.0x</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- 6.8x</w:t>
            </w:r>
          </w:p>
        </w:tc>
      </w:tr>
      <w:tr>
        <w:trPr>
          <w:trHeight w:val="216"/>
        </w:trPr>
        <w:tc>
          <w:tcPr>
            <w:tcW w:w="3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Third-Party Bid (%)</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96.0%</w:t>
            </w:r>
          </w:p>
        </w:tc>
        <w:tc>
          <w:tcPr>
            <w:tcW w:w="700" w:type="dxa"/>
            <w:vAlign w:val="bottom"/>
          </w:tcPr>
          <w:p>
            <w:pPr>
              <w:ind w:left="60"/>
              <w:spacing w:after="0"/>
              <w:rPr>
                <w:sz w:val="20"/>
                <w:szCs w:val="20"/>
                <w:color w:val="auto"/>
              </w:rPr>
            </w:pPr>
            <w:r>
              <w:rPr>
                <w:rFonts w:ascii="Arial" w:cs="Arial" w:eastAsia="Arial" w:hAnsi="Arial"/>
                <w:sz w:val="18"/>
                <w:szCs w:val="18"/>
                <w:color w:val="auto"/>
                <w:w w:val="99"/>
              </w:rPr>
              <w:t>- 99.9%</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80,195</w:t>
            </w:r>
          </w:p>
        </w:tc>
        <w:tc>
          <w:tcPr>
            <w:tcW w:w="2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Market Comparables</w:t>
            </w: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6"/>
              </w:rPr>
              <w:t>8.3% - 15.0%</w:t>
            </w:r>
          </w:p>
        </w:tc>
      </w:tr>
      <w:tr>
        <w:trPr>
          <w:trHeight w:val="216"/>
        </w:trPr>
        <w:tc>
          <w:tcPr>
            <w:tcW w:w="3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Third-Party Bid (%)</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2"/>
              </w:rPr>
              <w:t>94.0% - 102.0%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15,266</w:t>
            </w:r>
          </w:p>
        </w:tc>
        <w:tc>
          <w:tcPr>
            <w:tcW w:w="22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Discounted Cash Flow</w:t>
            </w: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- 15.0%</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Equity interests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12,022</w:t>
            </w:r>
          </w:p>
        </w:tc>
        <w:tc>
          <w:tcPr>
            <w:tcW w:w="2260" w:type="dxa"/>
            <w:vAlign w:val="bottom"/>
            <w:gridSpan w:val="3"/>
          </w:tcPr>
          <w:p>
            <w:pPr>
              <w:ind w:left="200"/>
              <w:spacing w:after="0"/>
              <w:rPr>
                <w:sz w:val="20"/>
                <w:szCs w:val="20"/>
                <w:color w:val="auto"/>
              </w:rPr>
            </w:pPr>
            <w:r>
              <w:rPr>
                <w:rFonts w:ascii="Arial" w:cs="Arial" w:eastAsia="Arial" w:hAnsi="Arial"/>
                <w:sz w:val="18"/>
                <w:szCs w:val="18"/>
                <w:color w:val="auto"/>
              </w:rPr>
              <w:t>Market Comparables</w:t>
            </w:r>
          </w:p>
        </w:tc>
        <w:tc>
          <w:tcPr>
            <w:tcW w:w="2080" w:type="dxa"/>
            <w:vAlign w:val="bottom"/>
            <w:gridSpan w:val="2"/>
          </w:tcPr>
          <w:p>
            <w:pPr>
              <w:spacing w:after="0"/>
              <w:rPr>
                <w:sz w:val="20"/>
                <w:szCs w:val="20"/>
                <w:color w:val="auto"/>
              </w:rPr>
            </w:pPr>
            <w:r>
              <w:rPr>
                <w:rFonts w:ascii="Arial" w:cs="Arial" w:eastAsia="Arial" w:hAnsi="Arial"/>
                <w:sz w:val="18"/>
                <w:szCs w:val="18"/>
                <w:color w:val="auto"/>
              </w:rPr>
              <w:t>EBITDA Multiples (x)</w:t>
            </w:r>
          </w:p>
        </w:tc>
        <w:tc>
          <w:tcPr>
            <w:tcW w:w="560" w:type="dxa"/>
            <w:vAlign w:val="bottom"/>
          </w:tcPr>
          <w:p>
            <w:pPr>
              <w:jc w:val="right"/>
              <w:spacing w:after="0"/>
              <w:rPr>
                <w:sz w:val="20"/>
                <w:szCs w:val="20"/>
                <w:color w:val="auto"/>
              </w:rPr>
            </w:pPr>
            <w:r>
              <w:rPr>
                <w:rFonts w:ascii="Arial" w:cs="Arial" w:eastAsia="Arial" w:hAnsi="Arial"/>
                <w:sz w:val="18"/>
                <w:szCs w:val="18"/>
                <w:color w:val="auto"/>
              </w:rPr>
              <w:t>2.9x</w:t>
            </w:r>
          </w:p>
        </w:tc>
        <w:tc>
          <w:tcPr>
            <w:tcW w:w="700" w:type="dxa"/>
            <w:vAlign w:val="bottom"/>
          </w:tcPr>
          <w:p>
            <w:pPr>
              <w:ind w:left="20"/>
              <w:spacing w:after="0"/>
              <w:rPr>
                <w:sz w:val="20"/>
                <w:szCs w:val="20"/>
                <w:color w:val="auto"/>
              </w:rPr>
            </w:pPr>
            <w:r>
              <w:rPr>
                <w:rFonts w:ascii="Arial" w:cs="Arial" w:eastAsia="Arial" w:hAnsi="Arial"/>
                <w:sz w:val="18"/>
                <w:szCs w:val="18"/>
                <w:color w:val="auto"/>
              </w:rPr>
              <w:t>- 11.9x</w:t>
            </w:r>
          </w:p>
        </w:tc>
      </w:tr>
      <w:tr>
        <w:trPr>
          <w:trHeight w:val="350"/>
        </w:trPr>
        <w:tc>
          <w:tcPr>
            <w:tcW w:w="3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26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29, 2016 were as follows (dollars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Fair Value</w:t>
            </w:r>
          </w:p>
        </w:tc>
        <w:tc>
          <w:tcPr>
            <w:tcW w:w="2080" w:type="dxa"/>
            <w:vAlign w:val="bottom"/>
            <w:gridSpan w:val="2"/>
          </w:tcPr>
          <w:p>
            <w:pPr>
              <w:ind w:left="260"/>
              <w:spacing w:after="0"/>
              <w:rPr>
                <w:sz w:val="20"/>
                <w:szCs w:val="20"/>
                <w:color w:val="auto"/>
              </w:rPr>
            </w:pPr>
            <w:r>
              <w:rPr>
                <w:rFonts w:ascii="Arial" w:cs="Arial" w:eastAsia="Arial" w:hAnsi="Arial"/>
                <w:sz w:val="14"/>
                <w:szCs w:val="14"/>
                <w:b w:val="1"/>
                <w:bCs w:val="1"/>
                <w:color w:val="auto"/>
              </w:rPr>
              <w:t>Valuation Technique</w:t>
            </w:r>
          </w:p>
        </w:tc>
        <w:tc>
          <w:tcPr>
            <w:tcW w:w="2120" w:type="dxa"/>
            <w:vAlign w:val="bottom"/>
            <w:gridSpan w:val="2"/>
          </w:tcPr>
          <w:p>
            <w:pPr>
              <w:ind w:left="280"/>
              <w:spacing w:after="0"/>
              <w:rPr>
                <w:sz w:val="20"/>
                <w:szCs w:val="20"/>
                <w:color w:val="auto"/>
              </w:rPr>
            </w:pPr>
            <w:r>
              <w:rPr>
                <w:rFonts w:ascii="Arial" w:cs="Arial" w:eastAsia="Arial" w:hAnsi="Arial"/>
                <w:sz w:val="14"/>
                <w:szCs w:val="14"/>
                <w:b w:val="1"/>
                <w:bCs w:val="1"/>
                <w:color w:val="auto"/>
              </w:rPr>
              <w:t>Unobservable Input</w:t>
            </w:r>
          </w:p>
        </w:tc>
        <w:tc>
          <w:tcPr>
            <w:tcW w:w="1180" w:type="dxa"/>
            <w:vAlign w:val="bottom"/>
          </w:tcPr>
          <w:p>
            <w:pPr>
              <w:ind w:left="400"/>
              <w:spacing w:after="0"/>
              <w:rPr>
                <w:sz w:val="20"/>
                <w:szCs w:val="20"/>
                <w:color w:val="auto"/>
              </w:rPr>
            </w:pPr>
            <w:r>
              <w:rPr>
                <w:rFonts w:ascii="Arial" w:cs="Arial" w:eastAsia="Arial" w:hAnsi="Arial"/>
                <w:sz w:val="14"/>
                <w:szCs w:val="14"/>
                <w:b w:val="1"/>
                <w:bCs w:val="1"/>
                <w:color w:val="auto"/>
              </w:rPr>
              <w:t>Range</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11,868</w:t>
            </w:r>
          </w:p>
        </w:tc>
        <w:tc>
          <w:tcPr>
            <w:tcW w:w="4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3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 (%)</w:t>
            </w:r>
          </w:p>
        </w:tc>
        <w:tc>
          <w:tcPr>
            <w:tcW w:w="3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72.5% - 98.2%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First lien term loans</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144,643</w:t>
            </w:r>
          </w:p>
        </w:tc>
        <w:tc>
          <w:tcPr>
            <w:tcW w:w="2080" w:type="dxa"/>
            <w:vAlign w:val="bottom"/>
            <w:gridSpan w:val="2"/>
          </w:tcPr>
          <w:p>
            <w:pPr>
              <w:spacing w:after="0"/>
              <w:rPr>
                <w:sz w:val="20"/>
                <w:szCs w:val="20"/>
                <w:color w:val="auto"/>
              </w:rPr>
            </w:pPr>
            <w:r>
              <w:rPr>
                <w:rFonts w:ascii="Arial" w:cs="Arial" w:eastAsia="Arial" w:hAnsi="Arial"/>
                <w:sz w:val="18"/>
                <w:szCs w:val="18"/>
                <w:color w:val="auto"/>
              </w:rPr>
              <w:t>Market Comparables</w:t>
            </w:r>
          </w:p>
        </w:tc>
        <w:tc>
          <w:tcPr>
            <w:tcW w:w="2120" w:type="dxa"/>
            <w:vAlign w:val="bottom"/>
            <w:gridSpan w:val="2"/>
          </w:tcPr>
          <w:p>
            <w:pPr>
              <w:spacing w:after="0"/>
              <w:rPr>
                <w:sz w:val="20"/>
                <w:szCs w:val="20"/>
                <w:color w:val="auto"/>
              </w:rPr>
            </w:pPr>
            <w:r>
              <w:rPr>
                <w:rFonts w:ascii="Arial" w:cs="Arial" w:eastAsia="Arial" w:hAnsi="Arial"/>
                <w:sz w:val="18"/>
                <w:szCs w:val="18"/>
                <w:color w:val="auto"/>
              </w:rPr>
              <w:t>Market Yield (%)</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6.8% - 15.5%</w:t>
            </w:r>
          </w:p>
        </w:tc>
      </w:tr>
      <w:tr>
        <w:trPr>
          <w:trHeight w:val="216"/>
        </w:trPr>
        <w:tc>
          <w:tcPr>
            <w:tcW w:w="3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1.0x</w:t>
            </w:r>
          </w:p>
        </w:tc>
      </w:tr>
      <w:tr>
        <w:trPr>
          <w:trHeight w:val="202"/>
        </w:trPr>
        <w:tc>
          <w:tcPr>
            <w:tcW w:w="3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Revenue Multiples (x)</w:t>
            </w:r>
          </w:p>
        </w:tc>
        <w:tc>
          <w:tcPr>
            <w:tcW w:w="1180" w:type="dxa"/>
            <w:vAlign w:val="bottom"/>
          </w:tcPr>
          <w:p>
            <w:pPr>
              <w:spacing w:after="0"/>
              <w:rPr>
                <w:sz w:val="17"/>
                <w:szCs w:val="17"/>
                <w:color w:val="auto"/>
              </w:rPr>
            </w:pPr>
          </w:p>
        </w:tc>
      </w:tr>
      <w:tr>
        <w:trPr>
          <w:trHeight w:val="244"/>
        </w:trPr>
        <w:tc>
          <w:tcPr>
            <w:tcW w:w="3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Third-Party Bid (%)</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91.3% - 98.9%</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88,178</w:t>
            </w: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 - 15.0%</w:t>
            </w:r>
          </w:p>
        </w:tc>
      </w:tr>
      <w:tr>
        <w:trPr>
          <w:trHeight w:val="216"/>
        </w:trPr>
        <w:tc>
          <w:tcPr>
            <w:tcW w:w="3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Third-Party Bid (%)</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91.5% - 98.6%</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12,828</w:t>
            </w: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Discounted Cash Flow</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 (%)</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rPr>
              <w:t>Equity interests</w:t>
            </w:r>
          </w:p>
        </w:tc>
        <w:tc>
          <w:tcPr>
            <w:tcW w:w="114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26,479</w:t>
            </w:r>
          </w:p>
        </w:tc>
        <w:tc>
          <w:tcPr>
            <w:tcW w:w="2080" w:type="dxa"/>
            <w:vAlign w:val="bottom"/>
            <w:gridSpan w:val="2"/>
          </w:tcPr>
          <w:p>
            <w:pPr>
              <w:spacing w:after="0" w:line="201" w:lineRule="exact"/>
              <w:rPr>
                <w:sz w:val="20"/>
                <w:szCs w:val="20"/>
                <w:color w:val="auto"/>
              </w:rPr>
            </w:pPr>
            <w:r>
              <w:rPr>
                <w:rFonts w:ascii="Arial" w:cs="Arial" w:eastAsia="Arial" w:hAnsi="Arial"/>
                <w:sz w:val="18"/>
                <w:szCs w:val="18"/>
                <w:color w:val="auto"/>
              </w:rPr>
              <w:t>Market Comparables</w:t>
            </w: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EBITDA Multiples (x)</w:t>
            </w:r>
          </w:p>
        </w:tc>
        <w:tc>
          <w:tcPr>
            <w:tcW w:w="1180" w:type="dxa"/>
            <w:vAlign w:val="bottom"/>
          </w:tcPr>
          <w:p>
            <w:pPr>
              <w:spacing w:after="0"/>
              <w:rPr>
                <w:sz w:val="17"/>
                <w:szCs w:val="17"/>
                <w:color w:val="auto"/>
              </w:rPr>
            </w:pPr>
          </w:p>
        </w:tc>
      </w:tr>
      <w:tr>
        <w:trPr>
          <w:trHeight w:val="244"/>
        </w:trPr>
        <w:tc>
          <w:tcPr>
            <w:tcW w:w="3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Revenue Multiples (x)</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6.8x - 16.4x</w:t>
            </w:r>
          </w:p>
        </w:tc>
      </w:tr>
    </w:tbl>
    <w:p>
      <w:pPr>
        <w:spacing w:after="0" w:line="2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investments utilizing a market comparables valuation technique, a significant increase (decrease) in the market yield, in isolation, would result in a significantly lower (higher) fair value measurement, and a significant increase (decrease) in any of the EBITDA or revenue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 For investments utilizing a market quote in deriving a value, a significant increase (decrease) in the market quote, in isolation, would result in a significantly higher (lower) fair value measurement.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investments as of November 30, 2016, at amortized cost and fair value was as follows (dollars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Investments at</w:t>
            </w: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Amortized Cost</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60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Amortized Cost</w:t>
            </w:r>
          </w:p>
        </w:tc>
        <w:tc>
          <w:tcPr>
            <w:tcW w:w="680" w:type="dxa"/>
            <w:vAlign w:val="bottom"/>
            <w:tcBorders>
              <w:bottom w:val="single" w:sz="8" w:color="CCEEFF"/>
            </w:tcBorders>
            <w:gridSpan w:val="2"/>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Fair Value</w:t>
            </w:r>
          </w:p>
        </w:tc>
        <w:tc>
          <w:tcPr>
            <w:tcW w:w="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First lien term loans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162,236</w:t>
            </w:r>
          </w:p>
        </w:tc>
        <w:tc>
          <w:tcPr>
            <w:tcW w:w="66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160,460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81,213</w:t>
            </w: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80,195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15,448</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15,266</w:t>
            </w: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12,022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285,478</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277,570</w:t>
            </w:r>
          </w:p>
        </w:tc>
        <w:tc>
          <w:tcPr>
            <w:tcW w:w="700" w:type="dxa"/>
            <w:vAlign w:val="bottom"/>
            <w:vMerge w:val="continue"/>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investments as of February 29, 2016, at amortized cost and fair value was as follows (dollars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Investments at</w:t>
            </w: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Amortized Cost</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60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Amortized Cost</w:t>
            </w:r>
          </w:p>
        </w:tc>
        <w:tc>
          <w:tcPr>
            <w:tcW w:w="680" w:type="dxa"/>
            <w:vAlign w:val="bottom"/>
            <w:tcBorders>
              <w:bottom w:val="single" w:sz="8" w:color="CCEEFF"/>
            </w:tcBorders>
            <w:gridSpan w:val="2"/>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Fair Value</w:t>
            </w:r>
          </w:p>
        </w:tc>
        <w:tc>
          <w:tcPr>
            <w:tcW w:w="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First lien term loans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146,246</w:t>
            </w:r>
          </w:p>
        </w:tc>
        <w:tc>
          <w:tcPr>
            <w:tcW w:w="66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144,643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89,486</w:t>
            </w: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88,178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13,031</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12,828</w:t>
            </w: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26,479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281,176</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283,996</w:t>
            </w:r>
          </w:p>
        </w:tc>
        <w:tc>
          <w:tcPr>
            <w:tcW w:w="700" w:type="dxa"/>
            <w:vAlign w:val="bottom"/>
            <w:vMerge w:val="continue"/>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loans and debt securities for which market quotations are not available, we determine their fair value based on third party indicative broker quotes, where available, or the assumptions that a hypothetical market participant would use to value the security in a current hypothetical sale using a market yield valuation methodology. In applying the market yield valuation methodology, we determine the fair value based on such factors as market participant assumptions including synthetic credit ratings, estimated remaining life, current market yield and interest rate spreads of similar securities as of the measurement date. If, in our judgment, the market yield methodology is not sufficient or appropriate, we may use additional methodologies such as an asset liquidation or expected recovery model.</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equity securities of portfolio companies and partnership interests, we determine the fair value based on the market approach with value then attributed to equity or equity like securities using the enterprise value waterfall valuation methodology. Under the enterprise value waterfall valuation methodology, we determine the enterprise fair value of the portfolio company and then waterfall the enterprise value over the portfolio company’s securities in order of their preference relative to one another. To estimate the enterprise value of the portfolio company, we weigh some or all of the traditional market valuation methods and factors based on the individual circumstances of the portfolio company in order to estimate the enterprise value. The methodologies for performing investments may be based on, among other things: valuations of comparable public companies, recent sales of private and public comparable companies, discounting the forecasted cash flows of the portfolio company, third party valuations of the portfolio company, considering offers from third parties to buy the company, estimating the value to potential strategic buyers and considering the value of recent investments in the equity securities of the portfolio company. For non-performing investments, we may estimate the liquidation or collateral value of the portfolio company’s assets and liabilities. We also take into account historical and anticipated financial results.</w:t>
      </w:r>
    </w:p>
    <w:p>
      <w:pPr>
        <w:spacing w:after="0" w:line="17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investment in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For the quarter ended November 30, 2013, in connection with the refinancing of the Saratoga CLO liabilities, we ran Intex models based on assumptions about the refinanced Saratoga CLO’s structure, including capital structure, cost of liabilities and reinvestment period. We use the output from the Intex models (i.e., the estimated cash flows) to perform a discounted cash flow analysis on expected future cash flows to determine a valuation for our investment in Saratoga CLO at November 30, 2016. The significant inputs for the valuation model include:</w:t>
      </w:r>
    </w:p>
    <w:p>
      <w:pPr>
        <w:spacing w:after="0" w:line="75"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 rates: 2.0%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Recovery rates: 35-70%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Prepayment rate: 20.0%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Reinvestment rate / price: L+375bps / $99.50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Saratoga Investment Corp. CLO 2013-1, Ltd. (“Saratoga CLO”)</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On January 22, 2008, we invested $30.0 million in all of the outstanding subordinated notes of GSC Investment Corp. CLO 2007, Ltd., a collateralized loan obligation fund managed by us that invests primarily in senior secured loans. Additionally, we entered into a collateral management agreement with GSC Investment Corp. CLO 2007, Ltd. pursuant to which we act as collateral manager to it. The Saratoga CLO was initially refinanced in October 2013 and its reinvestment period ended in October 2016. On November 15, 2016, we completed the second refinancing of the Saratoga CLO. The Saratoga CLO refinancing, among other things, extended its reinvestment period to October 2018, and extended its legal maturity date to October 2025. Following the refinancing, the Saratoga CLO portfolio remained at the same size and with a similar capital structure of approximately $300.0 million in aggregate principal amount of predominantly senior secured first lien term loans. In addition to refinancing its liabilities, we also purchased $4.5 million in aggregate principal amount of the Class F notes tranche of the Saratoga CLO at par, with a coupon of LIBOR plus 8.5%.</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Saratoga CLO remains 100% owned and managed by Saratoga Investment Corp. Following the refinancing, we receive a base management fee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0.10% and a subordinated management fee of 0.40% of the fee basis amount at the beginning of the collection period, paid quarterly to the extent of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We are also entitled to an incentive management fee equal to 20.0% of excess cash flow to the extent the Saratoga CLO subordinated notes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internal rate of return paid in cash equal to or greater than 12.0%. For the three months ended November 30, 2016 and November 30, 2015, we accrued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and $0.4 million in management fee income, respectively, and $0.5 million and $0.8 million in interest income, respectively, from Saratoga CLO.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November 30, 2016 and November 30, 2015, we accrued $1.1 million and $1.1 million in management fee income,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$1.6 million and $2.0 million in interest income, respectively, from Saratoga CLO. We did not accrue any amounts related to the incentive management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fee from Saratoga CLO as the 12.0% hurdle rate has not yet been achieved.</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November 30, 2016, the Company determined that the fair value of its investment in the subordinated notes of Saratoga CLO was $11.0 million. The Company determines the fair value of its investment in the subordinated notes of Saratoga CLO based on the present value of the projected future cash flows of the subordinated notes over the life of Saratoga CLO. At November 30, 2016, Saratoga CLO had investments with a principal balance of $297.5 million and a weighted average spread over LIBOR of 4.31%, and had debt with a principal balance of $282.4 million with a weighted average spread over LIBOR of 2.35%. As a result, Saratoga CLO earns a “spread” between the interest income it receives on its investments and the interest expense it pays on its debt and other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operating expenses, which is distributed quarterly to the Company as the holder of its subordinated notes. At November 30, 2016, the present value of the projected future cash flows of the subordinated notes was approximately $11.0 million, using an 15.0% discount rate. Saratoga Investment Corp. invested $32.8 million into the CLO since January 2008, and to date has since received distributions of $48.5 million and management fees of $16.1 million.</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Below is certain financial information from the separate financial statements of Saratoga CLO as of November 30, 2016 (unaudited) and February 29, 2016 and for the three and nine months ended November 30, 2016 and November 30, 2015 (unaudited).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6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November 30, 2016</w:t>
            </w:r>
          </w:p>
        </w:tc>
        <w:tc>
          <w:tcPr>
            <w:tcW w:w="4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29,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(unaudited)</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Loans (amortized cost of $294,551,697 and $300,112,538, respectively)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289,961,397</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284,652,926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w w:val="96"/>
              </w:rPr>
              <w:t>Fair Value Other/Structured finance securities (amortized cost of $3,531,218 and $3,531,218, respectively)</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investments at fair value (amortized cost of $298,082,915 and $303,643,756, respectively)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289,998,852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284,844,789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1420" w:type="dxa"/>
            <w:vAlign w:val="bottom"/>
            <w:gridSpan w:val="2"/>
          </w:tcPr>
          <w:p>
            <w:pPr>
              <w:jc w:val="right"/>
              <w:ind w:right="328"/>
              <w:spacing w:after="0"/>
              <w:rPr>
                <w:sz w:val="20"/>
                <w:szCs w:val="20"/>
                <w:color w:val="auto"/>
              </w:rPr>
            </w:pPr>
            <w:r>
              <w:rPr>
                <w:rFonts w:ascii="Arial" w:cs="Arial" w:eastAsia="Arial" w:hAnsi="Arial"/>
                <w:sz w:val="18"/>
                <w:szCs w:val="18"/>
                <w:color w:val="auto"/>
              </w:rPr>
              <w:t>16,002,200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2,349,633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open trades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2,691,831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1,734,794</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307,738,346</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291,584,815</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883,263</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Payable from open trades</w:t>
            </w:r>
          </w:p>
        </w:tc>
        <w:tc>
          <w:tcPr>
            <w:tcW w:w="180" w:type="dxa"/>
            <w:vAlign w:val="bottom"/>
          </w:tcPr>
          <w:p>
            <w:pPr>
              <w:spacing w:after="0"/>
              <w:rPr>
                <w:sz w:val="18"/>
                <w:szCs w:val="18"/>
                <w:color w:val="auto"/>
              </w:rPr>
            </w:pPr>
          </w:p>
        </w:tc>
        <w:tc>
          <w:tcPr>
            <w:tcW w:w="1420" w:type="dxa"/>
            <w:vAlign w:val="bottom"/>
            <w:gridSpan w:val="2"/>
          </w:tcPr>
          <w:p>
            <w:pPr>
              <w:jc w:val="right"/>
              <w:ind w:right="328"/>
              <w:spacing w:after="0"/>
              <w:rPr>
                <w:sz w:val="20"/>
                <w:szCs w:val="20"/>
                <w:color w:val="auto"/>
              </w:rPr>
            </w:pPr>
            <w:r>
              <w:rPr>
                <w:rFonts w:ascii="Arial" w:cs="Arial" w:eastAsia="Arial" w:hAnsi="Arial"/>
                <w:sz w:val="18"/>
                <w:szCs w:val="18"/>
                <w:color w:val="auto"/>
              </w:rPr>
              <w:t>11,925,775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7,123,854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46,078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Accrued base management fee</w:t>
            </w:r>
          </w:p>
        </w:tc>
        <w:tc>
          <w:tcPr>
            <w:tcW w:w="180" w:type="dxa"/>
            <w:vAlign w:val="bottom"/>
          </w:tcPr>
          <w:p>
            <w:pPr>
              <w:spacing w:after="0"/>
              <w:rPr>
                <w:sz w:val="18"/>
                <w:szCs w:val="18"/>
                <w:color w:val="auto"/>
              </w:rPr>
            </w:pPr>
          </w:p>
        </w:tc>
        <w:tc>
          <w:tcPr>
            <w:tcW w:w="1420" w:type="dxa"/>
            <w:vAlign w:val="bottom"/>
            <w:gridSpan w:val="2"/>
          </w:tcPr>
          <w:p>
            <w:pPr>
              <w:jc w:val="right"/>
              <w:ind w:right="328"/>
              <w:spacing w:after="0"/>
              <w:rPr>
                <w:sz w:val="20"/>
                <w:szCs w:val="20"/>
                <w:color w:val="auto"/>
              </w:rPr>
            </w:pPr>
            <w:r>
              <w:rPr>
                <w:rFonts w:ascii="Arial" w:cs="Arial" w:eastAsia="Arial" w:hAnsi="Arial"/>
                <w:sz w:val="18"/>
                <w:szCs w:val="18"/>
                <w:color w:val="auto"/>
              </w:rPr>
              <w:t>65,471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Accrued subordinated management fee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Class A-1 Notes - SIC CLO 2013-1, Ltd.</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170,000,000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A-1 Notes - SIC CLO 2013-1, Ltd.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(1,319,258)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Class A-2 Notes - SIC CLO 2013-1, Ltd.</w:t>
            </w:r>
          </w:p>
        </w:tc>
        <w:tc>
          <w:tcPr>
            <w:tcW w:w="180" w:type="dxa"/>
            <w:vAlign w:val="bottom"/>
          </w:tcPr>
          <w:p>
            <w:pPr>
              <w:spacing w:after="0"/>
              <w:rPr>
                <w:sz w:val="18"/>
                <w:szCs w:val="18"/>
                <w:color w:val="auto"/>
              </w:rPr>
            </w:pPr>
          </w:p>
        </w:tc>
        <w:tc>
          <w:tcPr>
            <w:tcW w:w="1420" w:type="dxa"/>
            <w:vAlign w:val="bottom"/>
            <w:gridSpan w:val="2"/>
          </w:tcPr>
          <w:p>
            <w:pPr>
              <w:jc w:val="right"/>
              <w:ind w:right="328"/>
              <w:spacing w:after="0"/>
              <w:rPr>
                <w:sz w:val="20"/>
                <w:szCs w:val="20"/>
                <w:color w:val="auto"/>
              </w:rPr>
            </w:pPr>
            <w:r>
              <w:rPr>
                <w:rFonts w:ascii="Arial" w:cs="Arial" w:eastAsia="Arial" w:hAnsi="Arial"/>
                <w:sz w:val="18"/>
                <w:szCs w:val="18"/>
                <w:color w:val="auto"/>
              </w:rPr>
              <w:t>20,000,000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A-2 Notes - SIC CLO 2013-1, Ltd.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Class B Notes - SIC CLO 2013-1, Ltd.</w:t>
            </w:r>
          </w:p>
        </w:tc>
        <w:tc>
          <w:tcPr>
            <w:tcW w:w="180" w:type="dxa"/>
            <w:vAlign w:val="bottom"/>
          </w:tcPr>
          <w:p>
            <w:pPr>
              <w:spacing w:after="0"/>
              <w:rPr>
                <w:sz w:val="18"/>
                <w:szCs w:val="18"/>
                <w:color w:val="auto"/>
              </w:rPr>
            </w:pPr>
          </w:p>
        </w:tc>
        <w:tc>
          <w:tcPr>
            <w:tcW w:w="1420" w:type="dxa"/>
            <w:vAlign w:val="bottom"/>
            <w:gridSpan w:val="2"/>
          </w:tcPr>
          <w:p>
            <w:pPr>
              <w:jc w:val="right"/>
              <w:ind w:right="328"/>
              <w:spacing w:after="0"/>
              <w:rPr>
                <w:sz w:val="20"/>
                <w:szCs w:val="20"/>
                <w:color w:val="auto"/>
              </w:rPr>
            </w:pPr>
            <w:r>
              <w:rPr>
                <w:rFonts w:ascii="Arial" w:cs="Arial" w:eastAsia="Arial" w:hAnsi="Arial"/>
                <w:sz w:val="18"/>
                <w:szCs w:val="18"/>
                <w:color w:val="auto"/>
              </w:rPr>
              <w:t>44,800,000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B Notes - SIC CLO 2013-1, Ltd.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Class C Notes - SIC CLO 2013-1, Ltd.</w:t>
            </w:r>
          </w:p>
        </w:tc>
        <w:tc>
          <w:tcPr>
            <w:tcW w:w="180" w:type="dxa"/>
            <w:vAlign w:val="bottom"/>
          </w:tcPr>
          <w:p>
            <w:pPr>
              <w:spacing w:after="0"/>
              <w:rPr>
                <w:sz w:val="18"/>
                <w:szCs w:val="18"/>
                <w:color w:val="auto"/>
              </w:rPr>
            </w:pPr>
          </w:p>
        </w:tc>
        <w:tc>
          <w:tcPr>
            <w:tcW w:w="1420" w:type="dxa"/>
            <w:vAlign w:val="bottom"/>
            <w:gridSpan w:val="2"/>
          </w:tcPr>
          <w:p>
            <w:pPr>
              <w:jc w:val="right"/>
              <w:ind w:right="328"/>
              <w:spacing w:after="0"/>
              <w:rPr>
                <w:sz w:val="20"/>
                <w:szCs w:val="20"/>
                <w:color w:val="auto"/>
              </w:rPr>
            </w:pPr>
            <w:r>
              <w:rPr>
                <w:rFonts w:ascii="Arial" w:cs="Arial" w:eastAsia="Arial" w:hAnsi="Arial"/>
                <w:sz w:val="18"/>
                <w:szCs w:val="18"/>
                <w:color w:val="auto"/>
              </w:rPr>
              <w:t>16,000,000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C Notes - SIC CLO 2013-1, Ltd.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(79,605)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Class D Notes - SIC CLO 2013-1, Ltd.</w:t>
            </w:r>
          </w:p>
        </w:tc>
        <w:tc>
          <w:tcPr>
            <w:tcW w:w="180" w:type="dxa"/>
            <w:vAlign w:val="bottom"/>
          </w:tcPr>
          <w:p>
            <w:pPr>
              <w:spacing w:after="0"/>
              <w:rPr>
                <w:sz w:val="18"/>
                <w:szCs w:val="18"/>
                <w:color w:val="auto"/>
              </w:rPr>
            </w:pPr>
          </w:p>
        </w:tc>
        <w:tc>
          <w:tcPr>
            <w:tcW w:w="1420" w:type="dxa"/>
            <w:vAlign w:val="bottom"/>
            <w:gridSpan w:val="2"/>
          </w:tcPr>
          <w:p>
            <w:pPr>
              <w:jc w:val="right"/>
              <w:ind w:right="328"/>
              <w:spacing w:after="0"/>
              <w:rPr>
                <w:sz w:val="20"/>
                <w:szCs w:val="20"/>
                <w:color w:val="auto"/>
              </w:rPr>
            </w:pPr>
            <w:r>
              <w:rPr>
                <w:rFonts w:ascii="Arial" w:cs="Arial" w:eastAsia="Arial" w:hAnsi="Arial"/>
                <w:sz w:val="18"/>
                <w:szCs w:val="18"/>
                <w:color w:val="auto"/>
              </w:rPr>
              <w:t>14,000,000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D Notes - SIC CLO 2013-1, Ltd.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(369,566)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Class E Notes - SIC CLO 2013-1, Ltd.</w:t>
            </w:r>
          </w:p>
        </w:tc>
        <w:tc>
          <w:tcPr>
            <w:tcW w:w="180" w:type="dxa"/>
            <w:vAlign w:val="bottom"/>
          </w:tcPr>
          <w:p>
            <w:pPr>
              <w:spacing w:after="0"/>
              <w:rPr>
                <w:sz w:val="18"/>
                <w:szCs w:val="18"/>
                <w:color w:val="auto"/>
              </w:rPr>
            </w:pPr>
          </w:p>
        </w:tc>
        <w:tc>
          <w:tcPr>
            <w:tcW w:w="1420" w:type="dxa"/>
            <w:vAlign w:val="bottom"/>
            <w:gridSpan w:val="2"/>
          </w:tcPr>
          <w:p>
            <w:pPr>
              <w:jc w:val="right"/>
              <w:ind w:right="328"/>
              <w:spacing w:after="0"/>
              <w:rPr>
                <w:sz w:val="20"/>
                <w:szCs w:val="20"/>
                <w:color w:val="auto"/>
              </w:rPr>
            </w:pPr>
            <w:r>
              <w:rPr>
                <w:rFonts w:ascii="Arial" w:cs="Arial" w:eastAsia="Arial" w:hAnsi="Arial"/>
                <w:sz w:val="18"/>
                <w:szCs w:val="18"/>
                <w:color w:val="auto"/>
              </w:rPr>
              <w:t>13,100,000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E Notes - SIC CLO 2013-1, Ltd.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(1,353,521)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Class F Notes - SIC CLO 2013-1, Ltd.</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4,500,000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F Notes - SIC CLO 2013-1, Ltd.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debt financing costs, SIC CLO 2013-1, Ltd. Notes</w:t>
            </w:r>
          </w:p>
        </w:tc>
        <w:tc>
          <w:tcPr>
            <w:tcW w:w="180" w:type="dxa"/>
            <w:vAlign w:val="bottom"/>
          </w:tcPr>
          <w:p>
            <w:pPr>
              <w:spacing w:after="0"/>
              <w:rPr>
                <w:sz w:val="18"/>
                <w:szCs w:val="18"/>
                <w:color w:val="auto"/>
              </w:rPr>
            </w:pP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(973,665)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(1,716,554)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30,000,000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324,003,255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313,142,183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NET ASSETS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Ordinary equity, par value $1.00, 250 ordinary shares authorized, 250 and 250 issued and outstanding,</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250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Accumulated loss</w:t>
            </w:r>
          </w:p>
        </w:tc>
        <w:tc>
          <w:tcPr>
            <w:tcW w:w="180" w:type="dxa"/>
            <w:vAlign w:val="bottom"/>
          </w:tcPr>
          <w:p>
            <w:pPr>
              <w:spacing w:after="0"/>
              <w:rPr>
                <w:sz w:val="18"/>
                <w:szCs w:val="18"/>
                <w:color w:val="auto"/>
              </w:rPr>
            </w:pPr>
          </w:p>
        </w:tc>
        <w:tc>
          <w:tcPr>
            <w:tcW w:w="1420" w:type="dxa"/>
            <w:vAlign w:val="bottom"/>
            <w:gridSpan w:val="2"/>
          </w:tcPr>
          <w:p>
            <w:pPr>
              <w:jc w:val="right"/>
              <w:ind w:right="268"/>
              <w:spacing w:after="0"/>
              <w:rPr>
                <w:sz w:val="20"/>
                <w:szCs w:val="20"/>
                <w:color w:val="auto"/>
              </w:rPr>
            </w:pPr>
            <w:r>
              <w:rPr>
                <w:rFonts w:ascii="Arial" w:cs="Arial" w:eastAsia="Arial" w:hAnsi="Arial"/>
                <w:sz w:val="18"/>
                <w:szCs w:val="18"/>
                <w:color w:val="auto"/>
              </w:rPr>
              <w:t>(21,557,623)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(5,803,406)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gain (loss)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5,292,464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(15,754,212)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Total net assets</w:t>
            </w: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(16,264,909)</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(21,557,368)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w w:val="99"/>
              </w:rPr>
              <w:t>307,738,346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291,584,815</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jc w:val="right"/>
              <w:ind w:right="2650"/>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14"/>
                <w:szCs w:val="14"/>
                <w:color w:val="auto"/>
              </w:rPr>
            </w:pPr>
          </w:p>
        </w:tc>
        <w:tc>
          <w:tcPr>
            <w:tcW w:w="22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November 30</w:t>
            </w:r>
          </w:p>
        </w:tc>
        <w:tc>
          <w:tcPr>
            <w:tcW w:w="80" w:type="dxa"/>
            <w:vAlign w:val="bottom"/>
          </w:tcPr>
          <w:p>
            <w:pPr>
              <w:spacing w:after="0"/>
              <w:rPr>
                <w:sz w:val="14"/>
                <w:szCs w:val="14"/>
                <w:color w:val="auto"/>
              </w:rPr>
            </w:pPr>
          </w:p>
        </w:tc>
        <w:tc>
          <w:tcPr>
            <w:tcW w:w="22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$ 4,006,052</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$ 3,559,889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11,823,053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10,711,063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3,095</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82,239</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14,064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515,376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248,057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 income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4,091,386</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3,574,111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12,344,233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10,959,783</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2,457,705</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2,912,974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9,347,508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Professional fees</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39,694</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66,203</w:t>
            </w: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79,120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 expense</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25,974</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48,365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Base management fee</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167,592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184,694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541,763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560,643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Subordinated management fee</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207,625</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184,694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Trustee expenses</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30,871</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26,528</w:t>
            </w: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95,398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302,635</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237,966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717,892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6,641,915</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6,641,915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9,874,011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3,622,817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18,118,426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10,905,392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NET INVESTMENT INCOME (LOSS)</w:t>
            </w:r>
          </w:p>
        </w:tc>
        <w:tc>
          <w:tcPr>
            <w:tcW w:w="1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(5,782,625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(48,706)</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(5,774,193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130,337</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217,472</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351,753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926,507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(6,609,496)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10,714,904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(10,319,542)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Net gain (loss) on investments</w:t>
            </w:r>
          </w:p>
        </w:tc>
        <w:tc>
          <w:tcPr>
            <w:tcW w:w="1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1,056,844</w:t>
            </w:r>
          </w:p>
        </w:tc>
        <w:tc>
          <w:tcPr>
            <w:tcW w:w="3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(6,392,024</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11,066,657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(9,970,425)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96"/>
                <w:shd w:val="clear" w:color="auto" w:fill="CCEEFF"/>
              </w:rPr>
              <w:t>NET INCREASE (DECREASE) IN NET ASSETS RESULTING FROM OPERATIONS</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shd w:val="clear" w:color="auto" w:fill="CCEEFF"/>
              </w:rPr>
              <w:t>$</w:t>
            </w:r>
            <w:r>
              <w:rPr>
                <w:rFonts w:ascii="Arial" w:cs="Arial" w:eastAsia="Arial" w:hAnsi="Arial"/>
                <w:sz w:val="18"/>
                <w:szCs w:val="18"/>
                <w:color w:val="auto"/>
                <w:shd w:val="clear" w:color="auto" w:fill="CCEEFF"/>
              </w:rPr>
              <w:t>(4,725,781)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0"/>
                <w:shd w:val="clear" w:color="auto" w:fill="CCEEFF"/>
              </w:rPr>
              <w:t>$</w:t>
            </w:r>
            <w:r>
              <w:rPr>
                <w:rFonts w:ascii="Arial" w:cs="Arial" w:eastAsia="Arial" w:hAnsi="Arial"/>
                <w:sz w:val="18"/>
                <w:szCs w:val="18"/>
                <w:color w:val="auto"/>
                <w:w w:val="90"/>
                <w:shd w:val="clear" w:color="auto" w:fill="CCEEFF"/>
              </w:rPr>
              <w:t>(6,440,730)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5,292,464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shd w:val="clear" w:color="auto" w:fill="CCEEFF"/>
              </w:rPr>
              <w:t>(9,916,034)</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jc w:val="right"/>
              <w:ind w:right="67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Asset</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LIBOR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Current</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6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Principal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40" w:type="dxa"/>
            <w:vAlign w:val="bottom"/>
          </w:tcPr>
          <w:p>
            <w:pPr>
              <w:spacing w:after="0"/>
              <w:rPr>
                <w:sz w:val="12"/>
                <w:szCs w:val="12"/>
                <w:color w:val="auto"/>
              </w:rPr>
            </w:pPr>
          </w:p>
        </w:tc>
        <w:tc>
          <w:tcPr>
            <w:tcW w:w="17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Industry</w:t>
            </w:r>
          </w:p>
        </w:tc>
        <w:tc>
          <w:tcPr>
            <w:tcW w:w="60" w:type="dxa"/>
            <w:vAlign w:val="bottom"/>
          </w:tcPr>
          <w:p>
            <w:pPr>
              <w:spacing w:after="0"/>
              <w:rPr>
                <w:sz w:val="12"/>
                <w:szCs w:val="12"/>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Asset Name</w:t>
            </w:r>
          </w:p>
        </w:tc>
        <w:tc>
          <w:tcPr>
            <w:tcW w:w="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8"/>
              </w:rPr>
              <w:t>Spread</w:t>
            </w:r>
          </w:p>
        </w:tc>
        <w:tc>
          <w:tcPr>
            <w:tcW w:w="700" w:type="dxa"/>
            <w:vAlign w:val="bottom"/>
            <w:gridSpan w:val="2"/>
            <w:vMerge w:val="continue"/>
          </w:tcPr>
          <w:p>
            <w:pPr>
              <w:spacing w:after="0"/>
              <w:rPr>
                <w:sz w:val="12"/>
                <w:szCs w:val="12"/>
                <w:color w:val="auto"/>
              </w:rPr>
            </w:pPr>
          </w:p>
        </w:tc>
        <w:tc>
          <w:tcPr>
            <w:tcW w:w="5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PIK</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Rate</w:t>
            </w:r>
          </w:p>
        </w:tc>
        <w:tc>
          <w:tcPr>
            <w:tcW w:w="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5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b w:val="1"/>
                <w:bCs w:val="1"/>
                <w:color w:val="auto"/>
              </w:rPr>
              <w:t>Type</w:t>
            </w:r>
          </w:p>
        </w:tc>
        <w:tc>
          <w:tcPr>
            <w:tcW w:w="680" w:type="dxa"/>
            <w:vAlign w:val="bottom"/>
            <w:gridSpan w:val="2"/>
            <w:vMerge w:val="continue"/>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Floor</w:t>
            </w:r>
          </w:p>
        </w:tc>
        <w:tc>
          <w:tcPr>
            <w:tcW w:w="540" w:type="dxa"/>
            <w:vAlign w:val="bottom"/>
            <w:gridSpan w:val="2"/>
            <w:vMerge w:val="continue"/>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(All In)</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Education</w:t>
            </w:r>
          </w:p>
        </w:tc>
        <w:tc>
          <w:tcPr>
            <w:tcW w:w="7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w w:val="97"/>
              </w:rPr>
              <w:t>Management</w:t>
            </w:r>
          </w:p>
        </w:tc>
        <w:tc>
          <w:tcPr>
            <w:tcW w:w="40" w:type="dxa"/>
            <w:vAlign w:val="bottom"/>
            <w:tcBorders>
              <w:top w:val="single" w:sz="8" w:color="CCEEFF"/>
            </w:tcBorders>
            <w:shd w:val="clear" w:color="auto" w:fill="CCEEFF"/>
          </w:tcPr>
          <w:p>
            <w:pPr>
              <w:spacing w:after="0"/>
              <w:rPr>
                <w:sz w:val="10"/>
                <w:szCs w:val="10"/>
                <w:color w:val="auto"/>
              </w:rPr>
            </w:pPr>
          </w:p>
        </w:tc>
        <w:tc>
          <w:tcPr>
            <w:tcW w:w="17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Leisure</w:t>
            </w:r>
          </w:p>
        </w:tc>
        <w:tc>
          <w:tcPr>
            <w:tcW w:w="60" w:type="dxa"/>
            <w:vAlign w:val="bottom"/>
            <w:tcBorders>
              <w:top w:val="single" w:sz="8" w:color="CCEEFF"/>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w w:val="99"/>
              </w:rPr>
              <w:t>A-1 Preferred Shares</w:t>
            </w:r>
          </w:p>
        </w:tc>
        <w:tc>
          <w:tcPr>
            <w:tcW w:w="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Equity</w:t>
            </w:r>
          </w:p>
        </w:tc>
        <w:tc>
          <w:tcPr>
            <w:tcW w:w="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II, LLC</w:t>
            </w:r>
          </w:p>
        </w:tc>
        <w:tc>
          <w:tcPr>
            <w:tcW w:w="1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Goods/Activities/Movies</w:t>
            </w:r>
          </w:p>
        </w:tc>
        <w:tc>
          <w:tcPr>
            <w:tcW w:w="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6,692</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669,214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13,384</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rPr>
              <w:t>Education Management</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w w:val="92"/>
              </w:rPr>
              <w:t>A-2 Preferred Shares</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Equity</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II, LLC</w:t>
            </w:r>
          </w:p>
        </w:tc>
        <w:tc>
          <w:tcPr>
            <w:tcW w:w="1800" w:type="dxa"/>
            <w:vAlign w:val="bottom"/>
            <w:gridSpan w:val="2"/>
          </w:tcPr>
          <w:p>
            <w:pPr>
              <w:ind w:left="40"/>
              <w:spacing w:after="0"/>
              <w:rPr>
                <w:sz w:val="20"/>
                <w:szCs w:val="20"/>
                <w:color w:val="auto"/>
              </w:rPr>
            </w:pPr>
            <w:r>
              <w:rPr>
                <w:rFonts w:ascii="Arial" w:cs="Arial" w:eastAsia="Arial" w:hAnsi="Arial"/>
                <w:sz w:val="14"/>
                <w:szCs w:val="14"/>
                <w:color w:val="auto"/>
              </w:rPr>
              <w:t>Goods/Activities/Movies</w:t>
            </w: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18,975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1,897,538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New Millennium Holdco,</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2"/>
              </w:rPr>
              <w:t>Healthcare &amp; Pharmaceuticals</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Common Stock</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Equity</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14,813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964,466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24,071</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rPr>
              <w:t>24 Hour Holdings III,</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LLC</w:t>
            </w:r>
          </w:p>
        </w:tc>
        <w:tc>
          <w:tcPr>
            <w:tcW w:w="1800" w:type="dxa"/>
            <w:vAlign w:val="bottom"/>
            <w:gridSpan w:val="2"/>
          </w:tcPr>
          <w:p>
            <w:pPr>
              <w:ind w:left="40"/>
              <w:spacing w:after="0"/>
              <w:rPr>
                <w:sz w:val="20"/>
                <w:szCs w:val="20"/>
                <w:color w:val="auto"/>
              </w:rPr>
            </w:pPr>
            <w:r>
              <w:rPr>
                <w:rFonts w:ascii="Arial" w:cs="Arial" w:eastAsia="Arial" w:hAnsi="Arial"/>
                <w:sz w:val="14"/>
                <w:szCs w:val="14"/>
                <w:color w:val="auto"/>
              </w:rPr>
              <w:t>Goods/Activities/Movies</w:t>
            </w: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3.75%</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4.75%</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5/28/2021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488,750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485,341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473,477</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ABB Con-Cise Optical</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2"/>
              </w:rPr>
              <w:t>Healthcare &amp; Pharmaceuticals</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Group, LLC</w:t>
            </w: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5/28/2021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2,000,000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1,998,314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2,012,500</w:t>
            </w:r>
          </w:p>
        </w:tc>
        <w:tc>
          <w:tcPr>
            <w:tcW w:w="0" w:type="dxa"/>
            <w:vAlign w:val="bottom"/>
          </w:tcPr>
          <w:p>
            <w:pPr>
              <w:spacing w:after="0"/>
              <w:rPr>
                <w:sz w:val="1"/>
                <w:szCs w:val="1"/>
                <w:color w:val="auto"/>
              </w:rPr>
            </w:pPr>
          </w:p>
        </w:tc>
      </w:tr>
      <w:tr>
        <w:trPr>
          <w:trHeight w:val="149"/>
        </w:trPr>
        <w:tc>
          <w:tcPr>
            <w:tcW w:w="1540" w:type="dxa"/>
            <w:vAlign w:val="bottom"/>
            <w:gridSpan w:val="2"/>
          </w:tcPr>
          <w:p>
            <w:pPr>
              <w:spacing w:after="0" w:line="149" w:lineRule="exact"/>
              <w:rPr>
                <w:sz w:val="20"/>
                <w:szCs w:val="20"/>
                <w:color w:val="auto"/>
              </w:rPr>
            </w:pPr>
            <w:r>
              <w:rPr>
                <w:rFonts w:ascii="Arial" w:cs="Arial" w:eastAsia="Arial" w:hAnsi="Arial"/>
                <w:sz w:val="14"/>
                <w:szCs w:val="14"/>
                <w:color w:val="auto"/>
              </w:rPr>
              <w:t>Acosta Holdco, Inc.</w:t>
            </w:r>
          </w:p>
        </w:tc>
        <w:tc>
          <w:tcPr>
            <w:tcW w:w="1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Media</w:t>
            </w:r>
          </w:p>
        </w:tc>
        <w:tc>
          <w:tcPr>
            <w:tcW w:w="1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Term Loan B1</w:t>
            </w:r>
          </w:p>
        </w:tc>
        <w:tc>
          <w:tcPr>
            <w:tcW w:w="5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3.25%</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9/26/2021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1,960,150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1,948,749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1,853,577</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Aspen Dental</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2"/>
              </w:rPr>
              <w:t>Healthcare &amp; Pharmaceuticals</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Initial</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Management, Inc.</w:t>
            </w: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4/29/2022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1,488,710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1,484,608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1,497,092</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rPr>
              <w:t>Advantage Sales &amp;</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w w:val="97"/>
              </w:rPr>
              <w:t>Delayed Draw Term</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Marketing, Inc.</w:t>
            </w: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Loan</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3.25%</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4.25%</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7/25/2021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2,452,462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2,449,784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2,432,033</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Aegis Toxicology</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2"/>
              </w:rPr>
              <w:t>Healthcare &amp; Pharmaceuticals</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B Loan</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Science Corporation</w:t>
            </w: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2/24/2021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2,469,866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2,336,816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2,290,801</w:t>
            </w:r>
          </w:p>
        </w:tc>
        <w:tc>
          <w:tcPr>
            <w:tcW w:w="0" w:type="dxa"/>
            <w:vAlign w:val="bottom"/>
          </w:tcPr>
          <w:p>
            <w:pPr>
              <w:spacing w:after="0"/>
              <w:rPr>
                <w:sz w:val="1"/>
                <w:szCs w:val="1"/>
                <w:color w:val="auto"/>
              </w:rPr>
            </w:pPr>
          </w:p>
        </w:tc>
      </w:tr>
      <w:tr>
        <w:trPr>
          <w:trHeight w:val="149"/>
        </w:trPr>
        <w:tc>
          <w:tcPr>
            <w:tcW w:w="1540" w:type="dxa"/>
            <w:vAlign w:val="bottom"/>
            <w:gridSpan w:val="2"/>
          </w:tcPr>
          <w:p>
            <w:pPr>
              <w:spacing w:after="0" w:line="149" w:lineRule="exact"/>
              <w:rPr>
                <w:sz w:val="20"/>
                <w:szCs w:val="20"/>
                <w:color w:val="auto"/>
              </w:rPr>
            </w:pPr>
            <w:r>
              <w:rPr>
                <w:rFonts w:ascii="Arial" w:cs="Arial" w:eastAsia="Arial" w:hAnsi="Arial"/>
                <w:sz w:val="14"/>
                <w:szCs w:val="14"/>
                <w:color w:val="auto"/>
              </w:rPr>
              <w:t>Agrofresh, Inc.</w:t>
            </w:r>
          </w:p>
        </w:tc>
        <w:tc>
          <w:tcPr>
            <w:tcW w:w="1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Food Services</w:t>
            </w:r>
          </w:p>
        </w:tc>
        <w:tc>
          <w:tcPr>
            <w:tcW w:w="1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4.75%</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5.75%</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7/30/2021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1,975,000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1,966,724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1,866,375</w:t>
            </w:r>
          </w:p>
        </w:tc>
        <w:tc>
          <w:tcPr>
            <w:tcW w:w="0" w:type="dxa"/>
            <w:vAlign w:val="bottom"/>
          </w:tcPr>
          <w:p>
            <w:pPr>
              <w:spacing w:after="0"/>
              <w:rPr>
                <w:sz w:val="1"/>
                <w:szCs w:val="1"/>
                <w:color w:val="auto"/>
              </w:rPr>
            </w:pPr>
          </w:p>
        </w:tc>
      </w:tr>
      <w:tr>
        <w:trPr>
          <w:trHeight w:val="149"/>
        </w:trPr>
        <w:tc>
          <w:tcPr>
            <w:tcW w:w="1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Akorn, Inc.</w:t>
            </w:r>
          </w:p>
        </w:tc>
        <w:tc>
          <w:tcPr>
            <w:tcW w:w="18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Healthcare &amp; Pharmaceuticals</w:t>
            </w:r>
          </w:p>
        </w:tc>
        <w:tc>
          <w:tcPr>
            <w:tcW w:w="13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4.25%</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5.25%</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4/16/2021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398,056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396,882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401,042</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rPr>
              <w:t>Albertson’s LLC</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B-4</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Arial" w:cs="Arial" w:eastAsia="Arial" w:hAnsi="Arial"/>
                <w:sz w:val="14"/>
                <w:szCs w:val="14"/>
                <w:color w:val="auto"/>
              </w:rPr>
              <w:t>Drugs)</w:t>
            </w: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3.50%</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4.50%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8/25/2021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2,896,193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2,886,672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2,897,641</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Alere Inc. (fka IM US</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2"/>
              </w:rPr>
              <w:t>Healthcare &amp; Pharmaceuticals</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Holdings, LLC)</w:t>
            </w: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6/20/2022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920,276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918,381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909,923</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rPr>
              <w:t>Alion Science and</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High Tech Industries</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B (First</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Technology</w:t>
            </w:r>
          </w:p>
        </w:tc>
        <w:tc>
          <w:tcPr>
            <w:tcW w:w="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Lien)</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4.50%</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5.50%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8/19/2021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2,962,500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2,950,476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2,899,547</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Alliance Healthcare</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2"/>
              </w:rPr>
              <w:t>Healthcare &amp; Pharmaceuticals</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Services, Inc.</w:t>
            </w: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6/3/2019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987,141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983,080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962,462</w:t>
            </w:r>
          </w:p>
        </w:tc>
        <w:tc>
          <w:tcPr>
            <w:tcW w:w="0" w:type="dxa"/>
            <w:vAlign w:val="bottom"/>
          </w:tcPr>
          <w:p>
            <w:pPr>
              <w:spacing w:after="0"/>
              <w:rPr>
                <w:sz w:val="1"/>
                <w:szCs w:val="1"/>
                <w:color w:val="auto"/>
              </w:rPr>
            </w:pPr>
          </w:p>
        </w:tc>
      </w:tr>
      <w:tr>
        <w:trPr>
          <w:trHeight w:val="149"/>
        </w:trPr>
        <w:tc>
          <w:tcPr>
            <w:tcW w:w="1540" w:type="dxa"/>
            <w:vAlign w:val="bottom"/>
            <w:gridSpan w:val="2"/>
          </w:tcPr>
          <w:p>
            <w:pPr>
              <w:spacing w:after="0" w:line="149" w:lineRule="exact"/>
              <w:rPr>
                <w:sz w:val="20"/>
                <w:szCs w:val="20"/>
                <w:color w:val="auto"/>
              </w:rPr>
            </w:pPr>
            <w:r>
              <w:rPr>
                <w:rFonts w:ascii="Arial" w:cs="Arial" w:eastAsia="Arial" w:hAnsi="Arial"/>
                <w:sz w:val="14"/>
                <w:szCs w:val="14"/>
                <w:color w:val="auto"/>
                <w:w w:val="97"/>
              </w:rPr>
              <w:t>Anchor Glass T/L (11/16)</w:t>
            </w:r>
          </w:p>
        </w:tc>
        <w:tc>
          <w:tcPr>
            <w:tcW w:w="1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Containers/Glass Products</w:t>
            </w:r>
          </w:p>
        </w:tc>
        <w:tc>
          <w:tcPr>
            <w:tcW w:w="1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3.25%</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4.25%</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11/22/2023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497,511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502,190</w:t>
            </w:r>
          </w:p>
        </w:tc>
        <w:tc>
          <w:tcPr>
            <w:tcW w:w="0" w:type="dxa"/>
            <w:vAlign w:val="bottom"/>
          </w:tcPr>
          <w:p>
            <w:pPr>
              <w:spacing w:after="0"/>
              <w:rPr>
                <w:sz w:val="1"/>
                <w:szCs w:val="1"/>
                <w:color w:val="auto"/>
              </w:rPr>
            </w:pPr>
          </w:p>
        </w:tc>
      </w:tr>
      <w:tr>
        <w:trPr>
          <w:trHeight w:val="149"/>
        </w:trPr>
        <w:tc>
          <w:tcPr>
            <w:tcW w:w="1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APCO Holdings, Inc.</w:t>
            </w:r>
          </w:p>
        </w:tc>
        <w:tc>
          <w:tcPr>
            <w:tcW w:w="18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Automotive</w:t>
            </w:r>
          </w:p>
        </w:tc>
        <w:tc>
          <w:tcPr>
            <w:tcW w:w="13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7.00%</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1/31/2022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1,966,351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1,916,134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1,917,192</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rPr>
              <w:t>American Beacon</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Financial Intermediaries</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Advisors, Inc.</w:t>
            </w: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Lien)</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4.25%</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5.25%</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4/30/2022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241,440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240,465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240,762</w:t>
            </w:r>
          </w:p>
        </w:tc>
        <w:tc>
          <w:tcPr>
            <w:tcW w:w="0" w:type="dxa"/>
            <w:vAlign w:val="bottom"/>
          </w:tcPr>
          <w:p>
            <w:pPr>
              <w:spacing w:after="0"/>
              <w:rPr>
                <w:sz w:val="1"/>
                <w:szCs w:val="1"/>
                <w:color w:val="auto"/>
              </w:rPr>
            </w:pPr>
          </w:p>
        </w:tc>
      </w:tr>
      <w:tr>
        <w:trPr>
          <w:trHeight w:val="149"/>
        </w:trPr>
        <w:tc>
          <w:tcPr>
            <w:tcW w:w="1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18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Food Products</w:t>
            </w:r>
          </w:p>
        </w:tc>
        <w:tc>
          <w:tcPr>
            <w:tcW w:w="13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U.S. Term F Loan</w:t>
            </w:r>
          </w:p>
        </w:tc>
        <w:tc>
          <w:tcPr>
            <w:tcW w:w="5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0.75%</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3.25%</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2/24/2021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3,126,374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3,126,374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3,149,822</w:t>
            </w:r>
          </w:p>
        </w:tc>
        <w:tc>
          <w:tcPr>
            <w:tcW w:w="0" w:type="dxa"/>
            <w:vAlign w:val="bottom"/>
          </w:tcPr>
          <w:p>
            <w:pPr>
              <w:spacing w:after="0"/>
              <w:rPr>
                <w:sz w:val="1"/>
                <w:szCs w:val="1"/>
                <w:color w:val="auto"/>
              </w:rPr>
            </w:pPr>
          </w:p>
        </w:tc>
      </w:tr>
      <w:tr>
        <w:trPr>
          <w:trHeight w:val="149"/>
        </w:trPr>
        <w:tc>
          <w:tcPr>
            <w:tcW w:w="1540" w:type="dxa"/>
            <w:vAlign w:val="bottom"/>
            <w:gridSpan w:val="2"/>
          </w:tcPr>
          <w:p>
            <w:pPr>
              <w:spacing w:after="0" w:line="149" w:lineRule="exact"/>
              <w:rPr>
                <w:sz w:val="20"/>
                <w:szCs w:val="20"/>
                <w:color w:val="auto"/>
              </w:rPr>
            </w:pPr>
            <w:r>
              <w:rPr>
                <w:rFonts w:ascii="Arial" w:cs="Arial" w:eastAsia="Arial" w:hAnsi="Arial"/>
                <w:sz w:val="14"/>
                <w:szCs w:val="14"/>
                <w:color w:val="auto"/>
              </w:rPr>
              <w:t>Astoria Energy T/L B</w:t>
            </w:r>
          </w:p>
        </w:tc>
        <w:tc>
          <w:tcPr>
            <w:tcW w:w="1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Utilities</w:t>
            </w:r>
          </w:p>
        </w:tc>
        <w:tc>
          <w:tcPr>
            <w:tcW w:w="1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12/24/2021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1,500,000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1,493,873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1,473,750</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Asurion, LLC (fka</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Insurance</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w w:val="94"/>
              </w:rPr>
              <w:t>Incremental Tranche</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Asurion Corporation)</w:t>
            </w: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B-1 Term Loan</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5/24/2019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531,422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527,619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533,915</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rPr>
              <w:t>Asurion, LLC (fka</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Insurance</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w w:val="97"/>
              </w:rPr>
              <w:t>Term Loan B4 (First</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Asurion Corporation)</w:t>
            </w: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Lien)</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4.00%</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5.00%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8/4/2022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2,440,625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2,430,001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2,454,048</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Auction.com, LLC</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8"/>
              </w:rPr>
              <w:t>Banking, Finance, Insurance</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&amp; Real Estate</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5/13/2019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2,725,552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2,725,288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2,725,552</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rPr>
              <w:t>Avantor Performance</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Materials Holdings,</w:t>
            </w:r>
          </w:p>
        </w:tc>
        <w:tc>
          <w:tcPr>
            <w:tcW w:w="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Inc.</w:t>
            </w: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5.00%</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6.00%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6/21/2022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2,791,407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2,767,475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2,807,681</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Bass Pro Group, LLC</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0.75%</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6/5/2020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1,477,500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1,477,457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1,465,104</w:t>
            </w:r>
          </w:p>
        </w:tc>
        <w:tc>
          <w:tcPr>
            <w:tcW w:w="0" w:type="dxa"/>
            <w:vAlign w:val="bottom"/>
          </w:tcPr>
          <w:p>
            <w:pPr>
              <w:spacing w:after="0"/>
              <w:rPr>
                <w:sz w:val="1"/>
                <w:szCs w:val="1"/>
                <w:color w:val="auto"/>
              </w:rPr>
            </w:pPr>
          </w:p>
        </w:tc>
      </w:tr>
      <w:tr>
        <w:trPr>
          <w:trHeight w:val="149"/>
        </w:trPr>
        <w:tc>
          <w:tcPr>
            <w:tcW w:w="1540" w:type="dxa"/>
            <w:vAlign w:val="bottom"/>
            <w:gridSpan w:val="2"/>
          </w:tcPr>
          <w:p>
            <w:pPr>
              <w:spacing w:after="0" w:line="149" w:lineRule="exact"/>
              <w:rPr>
                <w:sz w:val="20"/>
                <w:szCs w:val="20"/>
                <w:color w:val="auto"/>
              </w:rPr>
            </w:pPr>
            <w:r>
              <w:rPr>
                <w:rFonts w:ascii="Arial" w:cs="Arial" w:eastAsia="Arial" w:hAnsi="Arial"/>
                <w:sz w:val="14"/>
                <w:szCs w:val="14"/>
                <w:color w:val="auto"/>
              </w:rPr>
              <w:t>Belmond Interfin Ltd.</w:t>
            </w:r>
          </w:p>
        </w:tc>
        <w:tc>
          <w:tcPr>
            <w:tcW w:w="1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Lodging &amp; Casinos</w:t>
            </w:r>
          </w:p>
        </w:tc>
        <w:tc>
          <w:tcPr>
            <w:tcW w:w="1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3.00%</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3/19/2021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2,487,500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2,490,779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2,478,172</w:t>
            </w:r>
          </w:p>
        </w:tc>
        <w:tc>
          <w:tcPr>
            <w:tcW w:w="0" w:type="dxa"/>
            <w:vAlign w:val="bottom"/>
          </w:tcPr>
          <w:p>
            <w:pPr>
              <w:spacing w:after="0"/>
              <w:rPr>
                <w:sz w:val="1"/>
                <w:szCs w:val="1"/>
                <w:color w:val="auto"/>
              </w:rPr>
            </w:pPr>
          </w:p>
        </w:tc>
      </w:tr>
      <w:tr>
        <w:trPr>
          <w:trHeight w:val="130"/>
        </w:trPr>
        <w:tc>
          <w:tcPr>
            <w:tcW w:w="334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BJ’s Wholesale Club, Inc. Food/Drug Retailers</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New 2013</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(November)</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Replacement Loan</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(First Lien)</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9/26/2019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2,432,199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2,434,086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2,434,996</w:t>
            </w:r>
          </w:p>
        </w:tc>
        <w:tc>
          <w:tcPr>
            <w:tcW w:w="0" w:type="dxa"/>
            <w:vAlign w:val="bottom"/>
          </w:tcPr>
          <w:p>
            <w:pPr>
              <w:spacing w:after="0"/>
              <w:rPr>
                <w:sz w:val="1"/>
                <w:szCs w:val="1"/>
                <w:color w:val="auto"/>
              </w:rPr>
            </w:pPr>
          </w:p>
        </w:tc>
      </w:tr>
      <w:tr>
        <w:trPr>
          <w:trHeight w:val="149"/>
        </w:trPr>
        <w:tc>
          <w:tcPr>
            <w:tcW w:w="1540" w:type="dxa"/>
            <w:vAlign w:val="bottom"/>
            <w:gridSpan w:val="2"/>
          </w:tcPr>
          <w:p>
            <w:pPr>
              <w:spacing w:after="0" w:line="149" w:lineRule="exact"/>
              <w:rPr>
                <w:sz w:val="20"/>
                <w:szCs w:val="20"/>
                <w:color w:val="auto"/>
              </w:rPr>
            </w:pPr>
            <w:r>
              <w:rPr>
                <w:rFonts w:ascii="Arial" w:cs="Arial" w:eastAsia="Arial" w:hAnsi="Arial"/>
                <w:sz w:val="14"/>
                <w:szCs w:val="14"/>
                <w:color w:val="auto"/>
              </w:rPr>
              <w:t>Blackboard T/L B4</w:t>
            </w:r>
          </w:p>
        </w:tc>
        <w:tc>
          <w:tcPr>
            <w:tcW w:w="1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Term Loan B4</w:t>
            </w:r>
          </w:p>
        </w:tc>
        <w:tc>
          <w:tcPr>
            <w:tcW w:w="5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6/30/2021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3,000,000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2,975,510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2,975,640</w:t>
            </w:r>
          </w:p>
        </w:tc>
        <w:tc>
          <w:tcPr>
            <w:tcW w:w="0" w:type="dxa"/>
            <w:vAlign w:val="bottom"/>
          </w:tcPr>
          <w:p>
            <w:pPr>
              <w:spacing w:after="0"/>
              <w:rPr>
                <w:sz w:val="1"/>
                <w:szCs w:val="1"/>
                <w:color w:val="auto"/>
              </w:rPr>
            </w:pPr>
          </w:p>
        </w:tc>
      </w:tr>
      <w:tr>
        <w:trPr>
          <w:trHeight w:val="149"/>
        </w:trPr>
        <w:tc>
          <w:tcPr>
            <w:tcW w:w="1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BMC Software</w:t>
            </w:r>
          </w:p>
        </w:tc>
        <w:tc>
          <w:tcPr>
            <w:tcW w:w="18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Technology</w:t>
            </w:r>
          </w:p>
        </w:tc>
        <w:tc>
          <w:tcPr>
            <w:tcW w:w="13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9/10/2020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1,964,646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1,919,231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1,917,495</w:t>
            </w:r>
          </w:p>
        </w:tc>
        <w:tc>
          <w:tcPr>
            <w:tcW w:w="0" w:type="dxa"/>
            <w:vAlign w:val="bottom"/>
          </w:tcPr>
          <w:p>
            <w:pPr>
              <w:spacing w:after="0"/>
              <w:rPr>
                <w:sz w:val="1"/>
                <w:szCs w:val="1"/>
                <w:color w:val="auto"/>
              </w:rPr>
            </w:pPr>
          </w:p>
        </w:tc>
      </w:tr>
      <w:tr>
        <w:trPr>
          <w:trHeight w:val="149"/>
        </w:trPr>
        <w:tc>
          <w:tcPr>
            <w:tcW w:w="1540" w:type="dxa"/>
            <w:vAlign w:val="bottom"/>
            <w:gridSpan w:val="2"/>
          </w:tcPr>
          <w:p>
            <w:pPr>
              <w:spacing w:after="0" w:line="149" w:lineRule="exact"/>
              <w:rPr>
                <w:sz w:val="20"/>
                <w:szCs w:val="20"/>
                <w:color w:val="auto"/>
              </w:rPr>
            </w:pPr>
            <w:r>
              <w:rPr>
                <w:rFonts w:ascii="Arial" w:cs="Arial" w:eastAsia="Arial" w:hAnsi="Arial"/>
                <w:sz w:val="14"/>
                <w:szCs w:val="14"/>
                <w:color w:val="auto"/>
              </w:rPr>
              <w:t>BMC Software T/L US</w:t>
            </w:r>
          </w:p>
        </w:tc>
        <w:tc>
          <w:tcPr>
            <w:tcW w:w="1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Technology</w:t>
            </w:r>
          </w:p>
        </w:tc>
        <w:tc>
          <w:tcPr>
            <w:tcW w:w="1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9/10/2020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678,000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666,468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661,335</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Brickman Group</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Brokers/Dealers/Investment</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Initial Term Loan</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Holdings, Inc.</w:t>
            </w:r>
          </w:p>
        </w:tc>
        <w:tc>
          <w:tcPr>
            <w:tcW w:w="1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Houses</w:t>
            </w: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(First Lien)</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12/18/2020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1,464,943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1,454,843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1,464,254</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rPr>
              <w:t>BWAY Holding</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Company</w:t>
            </w:r>
          </w:p>
        </w:tc>
        <w:tc>
          <w:tcPr>
            <w:tcW w:w="1800" w:type="dxa"/>
            <w:vAlign w:val="bottom"/>
            <w:gridSpan w:val="2"/>
          </w:tcPr>
          <w:p>
            <w:pPr>
              <w:ind w:left="40"/>
              <w:spacing w:after="0"/>
              <w:rPr>
                <w:sz w:val="20"/>
                <w:szCs w:val="20"/>
                <w:color w:val="auto"/>
              </w:rPr>
            </w:pPr>
            <w:r>
              <w:rPr>
                <w:rFonts w:ascii="Arial" w:cs="Arial" w:eastAsia="Arial" w:hAnsi="Arial"/>
                <w:sz w:val="14"/>
                <w:szCs w:val="14"/>
                <w:color w:val="auto"/>
              </w:rPr>
              <w:t>Goods/Activities/Movies</w:t>
            </w: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4.50%</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5.50%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8/14/2020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942,307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935,335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944,267</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Camp International</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Aerospace and Defense</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2013 Replacement</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Holding Company</w:t>
            </w:r>
          </w:p>
        </w:tc>
        <w:tc>
          <w:tcPr>
            <w:tcW w:w="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(First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5/31/2019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1,930,150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1,930,627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1,928,954</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rPr>
              <w:t>Candy Intermediate</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Beverage, Food &amp; Tobacco</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Holdings, Inc.</w:t>
            </w: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4.50%</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5.50%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6/15/2023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498,750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496,429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498,750</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Capital Automotive L.P.</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Conglomerate</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Tranche B-1 Term</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Loan Facility</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4/10/2019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1,491,216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1,493,090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1,501,282</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rPr>
              <w:t>Catalent Pharma</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Drugs</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Initial Term B Loan</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Solutions, Inc</w:t>
            </w: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3.25%</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4.25%</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5/20/2021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488,752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487,090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489,885</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Cengage Learning</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Publishing</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Acquisitions, Inc.</w:t>
            </w: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6/7/2023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1,496,250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1,495,685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1,433,033</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w w:val="98"/>
              </w:rPr>
              <w:t>Charter Communications</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4"/>
              </w:rPr>
              <w:t>Cable and Satellite Television</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F Loan</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Operating, LLC</w:t>
            </w: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2.25%</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0.75%</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3.00%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12/31/2020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1,613,703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1,609,776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1,616,624</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CHS/Community Health</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w w:val="92"/>
              </w:rPr>
              <w:t>Healthcare &amp; Pharmaceuticals</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G Loan</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Systems, Inc.</w:t>
            </w: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12/31/2019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1,014,862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992,398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959,683</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rPr>
              <w:t>CHS/Community Health</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2"/>
              </w:rPr>
              <w:t>Healthcare &amp; Pharmaceuticals</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H Loan</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Systems, Inc.</w:t>
            </w: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3.00%</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4.00%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1/27/2021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1,867,318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1,822,085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1,763,458</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CITGO Petroleum</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Oil &amp; Gas</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7/29/2021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1,969,899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1,950,189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1,964,974</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w w:val="97"/>
              </w:rPr>
              <w:t>Communications Sales &amp;</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Telecommunications</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B (First</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Leasing, Inc.</w:t>
            </w: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Lien)</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3.50%</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4.50%</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10/24/2022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1,975,000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1,964,807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1,984,381</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Consolidated Aerospace</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Aerospace and Defense</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Manufacturing, LLC</w:t>
            </w: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8/11/2022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1,437,500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1,431,231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1,322,500</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rPr>
              <w:t>Concordia Healthcare</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2"/>
              </w:rPr>
              <w:t>Healthcare &amp; Pharmaceuticals</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4.25%</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5.25%</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10/21/2021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1,985,000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1,892,204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1,660,175</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CPI Acquisition Inc.</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Technology</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 (First</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8/17/2022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1,436,782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1,418,072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1,303,879</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rPr>
              <w:t>CPI International</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Electronics/Electric</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B Loan</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Acquisition, Inc. (f/k/a</w:t>
            </w:r>
          </w:p>
        </w:tc>
        <w:tc>
          <w:tcPr>
            <w:tcW w:w="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Catalyst Holdings,</w:t>
            </w:r>
          </w:p>
        </w:tc>
        <w:tc>
          <w:tcPr>
            <w:tcW w:w="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Inc.)</w:t>
            </w:r>
          </w:p>
        </w:tc>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3.25%</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4.25%</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11/17/2017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2,552,242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2,551,083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2,533,100</w:t>
            </w:r>
          </w:p>
        </w:tc>
        <w:tc>
          <w:tcPr>
            <w:tcW w:w="0" w:type="dxa"/>
            <w:vAlign w:val="bottom"/>
          </w:tcPr>
          <w:p>
            <w:pPr>
              <w:spacing w:after="0"/>
              <w:rPr>
                <w:sz w:val="1"/>
                <w:szCs w:val="1"/>
                <w:color w:val="auto"/>
              </w:rPr>
            </w:pPr>
          </w:p>
        </w:tc>
      </w:tr>
      <w:tr>
        <w:trPr>
          <w:trHeight w:val="130"/>
        </w:trPr>
        <w:tc>
          <w:tcPr>
            <w:tcW w:w="1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Crosby US Acquisition</w:t>
            </w:r>
          </w:p>
        </w:tc>
        <w:tc>
          <w:tcPr>
            <w:tcW w:w="180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Industrial Equipment</w:t>
            </w:r>
          </w:p>
        </w:tc>
        <w:tc>
          <w:tcPr>
            <w:tcW w:w="13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Initial Term Loan</w:t>
            </w:r>
          </w:p>
        </w:tc>
        <w:tc>
          <w:tcPr>
            <w:tcW w:w="52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(First Lien)</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11/23/2020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729,375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728,747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616,322</w:t>
            </w:r>
          </w:p>
        </w:tc>
        <w:tc>
          <w:tcPr>
            <w:tcW w:w="0" w:type="dxa"/>
            <w:vAlign w:val="bottom"/>
          </w:tcPr>
          <w:p>
            <w:pPr>
              <w:spacing w:after="0"/>
              <w:rPr>
                <w:sz w:val="1"/>
                <w:szCs w:val="1"/>
                <w:color w:val="auto"/>
              </w:rPr>
            </w:pPr>
          </w:p>
        </w:tc>
      </w:tr>
      <w:tr>
        <w:trPr>
          <w:trHeight w:val="130"/>
        </w:trPr>
        <w:tc>
          <w:tcPr>
            <w:tcW w:w="1540" w:type="dxa"/>
            <w:vAlign w:val="bottom"/>
            <w:gridSpan w:val="2"/>
          </w:tcPr>
          <w:p>
            <w:pPr>
              <w:spacing w:after="0" w:line="130" w:lineRule="exact"/>
              <w:rPr>
                <w:sz w:val="20"/>
                <w:szCs w:val="20"/>
                <w:color w:val="auto"/>
              </w:rPr>
            </w:pPr>
            <w:r>
              <w:rPr>
                <w:rFonts w:ascii="Arial" w:cs="Arial" w:eastAsia="Arial" w:hAnsi="Arial"/>
                <w:sz w:val="14"/>
                <w:szCs w:val="14"/>
                <w:color w:val="auto"/>
              </w:rPr>
              <w:t>CT Technologies</w:t>
            </w:r>
          </w:p>
        </w:tc>
        <w:tc>
          <w:tcPr>
            <w:tcW w:w="1800" w:type="dxa"/>
            <w:vAlign w:val="bottom"/>
            <w:gridSpan w:val="2"/>
          </w:tcPr>
          <w:p>
            <w:pPr>
              <w:ind w:left="40"/>
              <w:spacing w:after="0" w:line="130" w:lineRule="exact"/>
              <w:rPr>
                <w:sz w:val="20"/>
                <w:szCs w:val="20"/>
                <w:color w:val="auto"/>
              </w:rPr>
            </w:pPr>
            <w:r>
              <w:rPr>
                <w:rFonts w:ascii="Arial" w:cs="Arial" w:eastAsia="Arial" w:hAnsi="Arial"/>
                <w:sz w:val="14"/>
                <w:szCs w:val="14"/>
                <w:color w:val="auto"/>
                <w:w w:val="92"/>
              </w:rPr>
              <w:t>Healthcare &amp; Pharmaceuticals</w:t>
            </w:r>
          </w:p>
        </w:tc>
        <w:tc>
          <w:tcPr>
            <w:tcW w:w="130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4.25%</w:t>
            </w:r>
          </w:p>
        </w:tc>
        <w:tc>
          <w:tcPr>
            <w:tcW w:w="7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1.00%</w:t>
            </w:r>
          </w:p>
        </w:tc>
        <w:tc>
          <w:tcPr>
            <w:tcW w:w="5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5.25%</w:t>
            </w:r>
          </w:p>
        </w:tc>
        <w:tc>
          <w:tcPr>
            <w:tcW w:w="78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12/1/2021</w:t>
            </w:r>
          </w:p>
        </w:tc>
        <w:tc>
          <w:tcPr>
            <w:tcW w:w="1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6"/>
              </w:rPr>
              <w:t>1,473,844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1,462,088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1,414,890</w:t>
            </w:r>
          </w:p>
        </w:tc>
        <w:tc>
          <w:tcPr>
            <w:tcW w:w="0" w:type="dxa"/>
            <w:vAlign w:val="bottom"/>
          </w:tcPr>
          <w:p>
            <w:pPr>
              <w:spacing w:after="0"/>
              <w:rPr>
                <w:sz w:val="1"/>
                <w:szCs w:val="1"/>
                <w:color w:val="auto"/>
              </w:rPr>
            </w:pPr>
          </w:p>
        </w:tc>
      </w:tr>
      <w:tr>
        <w:trPr>
          <w:trHeight w:val="182"/>
        </w:trPr>
        <w:tc>
          <w:tcPr>
            <w:tcW w:w="1540" w:type="dxa"/>
            <w:vAlign w:val="bottom"/>
            <w:gridSpan w:val="2"/>
          </w:tcPr>
          <w:p>
            <w:pPr>
              <w:ind w:left="160"/>
              <w:spacing w:after="0"/>
              <w:rPr>
                <w:sz w:val="20"/>
                <w:szCs w:val="20"/>
                <w:color w:val="auto"/>
              </w:rPr>
            </w:pPr>
            <w:r>
              <w:rPr>
                <w:rFonts w:ascii="Arial" w:cs="Arial" w:eastAsia="Arial" w:hAnsi="Arial"/>
                <w:sz w:val="14"/>
                <w:szCs w:val="14"/>
                <w:color w:val="auto"/>
              </w:rPr>
              <w:t>Intermediate Hldgs,</w:t>
            </w:r>
          </w:p>
        </w:tc>
        <w:tc>
          <w:tcPr>
            <w:tcW w:w="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72" w:orient="portrait"/>
          <w:cols w:equalWidth="0" w:num="1">
            <w:col w:w="11420"/>
          </w:cols>
          <w:pgMar w:left="240" w:top="459" w:right="239" w:bottom="0" w:gutter="0" w:footer="0" w:header="0"/>
        </w:sectPr>
      </w:pPr>
    </w:p>
    <w:bookmarkStart w:id="25" w:name="page26"/>
    <w:bookmarkEnd w:id="2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Inc</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Culligan International</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Conglomerate</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Company-T/L</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11/17/2023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2,005,000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2,004,975</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2,006,263</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Culligan International</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Conglomerate</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Dollar Loan (First</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Company</w:t>
            </w:r>
          </w:p>
        </w:tc>
        <w:tc>
          <w:tcPr>
            <w:tcW w:w="182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Lien)</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6.25%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12/19/2017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3,757,779</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3,716,494</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3,738,990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Culligan International</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Conglomerate</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7"/>
              </w:rPr>
              <w:t>Dollar Loan (Second</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Company</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6/19/2018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783,162</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762,650</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780,225</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w w:val="97"/>
              </w:rPr>
              <w:t>Cumulus Media Holdings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Broadcast Radio and</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Inc.</w:t>
            </w:r>
          </w:p>
        </w:tc>
        <w:tc>
          <w:tcPr>
            <w:tcW w:w="1820" w:type="dxa"/>
            <w:vAlign w:val="bottom"/>
          </w:tcPr>
          <w:p>
            <w:pPr>
              <w:ind w:left="40"/>
              <w:spacing w:after="0"/>
              <w:rPr>
                <w:sz w:val="20"/>
                <w:szCs w:val="20"/>
                <w:color w:val="auto"/>
              </w:rPr>
            </w:pPr>
            <w:r>
              <w:rPr>
                <w:rFonts w:ascii="Arial" w:cs="Arial" w:eastAsia="Arial" w:hAnsi="Arial"/>
                <w:sz w:val="14"/>
                <w:szCs w:val="14"/>
                <w:color w:val="auto"/>
              </w:rPr>
              <w:t>Television</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12/23/2020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470,093</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467,173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283,231</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DAE Aviation</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Aerospace and Defense</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(StandardAero)</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1,980,000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1,971,835</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1,980,495</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DCS Business Services,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Financial Intermediaries</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B Loan</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Inc.</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3/19/2018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2,109,675</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2,102,627</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2,109,675</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Delta 2 (Lux) S.a.r.l.</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Lodging &amp; Casinos</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B-3</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7/30/2021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6"/>
              </w:rPr>
              <w:t>1,000,000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996,370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1,005,000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Deluxe Entertainment</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Service Group, Inc.</w:t>
            </w:r>
          </w:p>
        </w:tc>
        <w:tc>
          <w:tcPr>
            <w:tcW w:w="1820" w:type="dxa"/>
            <w:vAlign w:val="bottom"/>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tcPr>
          <w:p>
            <w:pPr>
              <w:ind w:left="40"/>
              <w:spacing w:after="0"/>
              <w:rPr>
                <w:sz w:val="20"/>
                <w:szCs w:val="20"/>
                <w:color w:val="auto"/>
              </w:rPr>
            </w:pPr>
            <w:r>
              <w:rPr>
                <w:rFonts w:ascii="Arial" w:cs="Arial" w:eastAsia="Arial" w:hAnsi="Arial"/>
                <w:sz w:val="14"/>
                <w:szCs w:val="14"/>
                <w:color w:val="auto"/>
              </w:rPr>
              <w:t>(Incremental)</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7.00%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2/28/2020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1,000,000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970,592</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971,250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Deluxe Entertainment</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 Group, Inc.</w:t>
            </w:r>
          </w:p>
        </w:tc>
        <w:tc>
          <w:tcPr>
            <w:tcW w:w="1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1,880,622</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1,881,696</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1,837,518</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Diebold, Inc.</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300" w:type="dxa"/>
            <w:vAlign w:val="bottom"/>
          </w:tcPr>
          <w:p>
            <w:pPr>
              <w:ind w:left="4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11/6/2023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400,000</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396,246</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403,668</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DJO Finance, LLC</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Healthcare &amp; Pharmaceuticals</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6/8/2020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493,750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492,061</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472,766</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DPX Holdings B.V.</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w w:val="93"/>
              </w:rPr>
              <w:t>Healthcare &amp; Pharmaceuticals</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w w:val="95"/>
              </w:rPr>
              <w:t>Term Loan 2015 Incr</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Dollar</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3/11/2021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2,932,500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2,927,036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2,936,166</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Drew Marine Group, Inc.</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11/19/2020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2,956,135</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2,927,349</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2,882,232</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w w:val="99"/>
              </w:rPr>
              <w:t>DTZ U.S. Borrower, LLC</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Construction &amp; Building</w:t>
            </w:r>
          </w:p>
        </w:tc>
        <w:tc>
          <w:tcPr>
            <w:tcW w:w="18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Term Loan B Add-on 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11/4/2021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6"/>
              </w:rPr>
              <w:t>1,967,538</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1,959,096</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1,957,700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Edelman Financial</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9"/>
              </w:rPr>
              <w:t>Banking, Finance, Insurance</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Group, Inc.</w:t>
            </w:r>
          </w:p>
        </w:tc>
        <w:tc>
          <w:tcPr>
            <w:tcW w:w="1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&amp; Real Estate</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12/19/2022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1,488,750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1,462,163</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1,489,986</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Education Management</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 A</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II, LLC</w:t>
            </w:r>
          </w:p>
        </w:tc>
        <w:tc>
          <w:tcPr>
            <w:tcW w:w="1820" w:type="dxa"/>
            <w:vAlign w:val="bottom"/>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7/2/2020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501,970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487,866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115,453</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Education Management</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5"/>
              </w:rPr>
              <w:t>Term Loan B (2.00%</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II, LLC</w:t>
            </w:r>
          </w:p>
        </w:tc>
        <w:tc>
          <w:tcPr>
            <w:tcW w:w="1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Cash/6.50% PIK)</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938,381</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916,819</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35,968</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Emerald Performance</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Materials, LLC</w:t>
            </w:r>
          </w:p>
        </w:tc>
        <w:tc>
          <w:tcPr>
            <w:tcW w:w="182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Lien)</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8/1/2021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480,909</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479,214</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482,712</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Emerald Performance</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(Second</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Materials, LLC</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498,071</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497,710</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Emerald 2 Limited</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300" w:type="dxa"/>
            <w:vAlign w:val="bottom"/>
          </w:tcPr>
          <w:p>
            <w:pPr>
              <w:ind w:left="40"/>
              <w:spacing w:after="0" w:line="149" w:lineRule="exact"/>
              <w:rPr>
                <w:sz w:val="20"/>
                <w:szCs w:val="20"/>
                <w:color w:val="auto"/>
              </w:rPr>
            </w:pPr>
            <w:r>
              <w:rPr>
                <w:rFonts w:ascii="Arial" w:cs="Arial" w:eastAsia="Arial" w:hAnsi="Arial"/>
                <w:sz w:val="14"/>
                <w:szCs w:val="14"/>
                <w:color w:val="auto"/>
              </w:rPr>
              <w:t>Term Loan B1A</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5/14/2021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6"/>
              </w:rPr>
              <w:t>1,000,000</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993,485</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925,000</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Endo International plc</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Healthcare &amp; Pharmaceuticals</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3.75%</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9/26/2022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992,500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990,394</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984,749</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EnergySolutions, LLC</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Environmental Industries</w:t>
            </w:r>
          </w:p>
        </w:tc>
        <w:tc>
          <w:tcPr>
            <w:tcW w:w="1300" w:type="dxa"/>
            <w:vAlign w:val="bottom"/>
          </w:tcPr>
          <w:p>
            <w:pPr>
              <w:ind w:left="4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5.75%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6.75%</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5/29/2020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795,000</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784,985</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800,963</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Engility Corporation</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Aerospace and Defense</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B-1</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0.70%</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4.95%</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8/12/2020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250,000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248,811</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251,770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Evergreen Acqco 1 LP</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New Term Loan</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7/9/2019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957,600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956,486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886,383</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EWT Holdings III Corp.</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Industrial Equipment</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9"/>
        </w:trPr>
        <w:tc>
          <w:tcPr>
            <w:tcW w:w="15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(fka WTG Holdings III</w:t>
            </w:r>
          </w:p>
        </w:tc>
        <w:tc>
          <w:tcPr>
            <w:tcW w:w="1820" w:type="dxa"/>
            <w:vAlign w:val="bottom"/>
            <w:shd w:val="clear" w:color="auto" w:fill="CCEEFF"/>
          </w:tcPr>
          <w:p>
            <w:pPr>
              <w:spacing w:after="0"/>
              <w:rPr>
                <w:sz w:val="12"/>
                <w:szCs w:val="12"/>
                <w:color w:val="auto"/>
              </w:rPr>
            </w:pP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1,952,349</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1,948,532</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1,954,789</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EWT Holdings III Corp.</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Capital Equipment</w:t>
            </w:r>
          </w:p>
        </w:tc>
        <w:tc>
          <w:tcPr>
            <w:tcW w:w="1300" w:type="dxa"/>
            <w:vAlign w:val="bottom"/>
          </w:tcPr>
          <w:p>
            <w:pPr>
              <w:ind w:left="4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5.50%</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1/15/2021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995,000</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986,153</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996,662</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Extreme Reach, Inc.</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Media</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7.25%</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2/7/2020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6"/>
              </w:rPr>
              <w:t>2,943,750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2,914,312</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2,969,508</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Federal-Mogul</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Automotive</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Tranche C Term</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82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Loan</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4/15/2021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2,932,500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2,922,802</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2,841,270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Data Corporation</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Financial Intermediaries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First Data T/L Ext</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1,909,673</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1,821,389</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1,917,140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First Eagle Investment</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w w:val="99"/>
              </w:rPr>
              <w:t>Banking, Finance, Insurance</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Management</w:t>
            </w:r>
          </w:p>
        </w:tc>
        <w:tc>
          <w:tcPr>
            <w:tcW w:w="1820" w:type="dxa"/>
            <w:vAlign w:val="bottom"/>
          </w:tcPr>
          <w:p>
            <w:pPr>
              <w:ind w:left="40"/>
              <w:spacing w:after="0"/>
              <w:rPr>
                <w:sz w:val="20"/>
                <w:szCs w:val="20"/>
                <w:color w:val="auto"/>
              </w:rPr>
            </w:pPr>
            <w:r>
              <w:rPr>
                <w:rFonts w:ascii="Arial" w:cs="Arial" w:eastAsia="Arial" w:hAnsi="Arial"/>
                <w:sz w:val="14"/>
                <w:szCs w:val="14"/>
                <w:color w:val="auto"/>
              </w:rPr>
              <w:t>&amp; Real Estate</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12/1/2022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1,488,750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1,462,691</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1,493,871</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Fitness International,</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1,934,146</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1,908,664</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1,934,146</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w w:val="98"/>
              </w:rPr>
              <w:t>FMG Resources (August</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Nonferrous Metals/Minerals</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1540" w:type="dxa"/>
            <w:vAlign w:val="bottom"/>
          </w:tcPr>
          <w:p>
            <w:pPr>
              <w:ind w:left="160"/>
              <w:spacing w:after="0" w:line="149" w:lineRule="exact"/>
              <w:rPr>
                <w:sz w:val="20"/>
                <w:szCs w:val="20"/>
                <w:color w:val="auto"/>
              </w:rPr>
            </w:pPr>
            <w:r>
              <w:rPr>
                <w:rFonts w:ascii="Arial" w:cs="Arial" w:eastAsia="Arial" w:hAnsi="Arial"/>
                <w:sz w:val="14"/>
                <w:szCs w:val="14"/>
                <w:color w:val="auto"/>
              </w:rPr>
              <w:t>2006) Pty LTD (FMG</w:t>
            </w: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w w:val="97"/>
              </w:rPr>
              <w:t>America Finance, Inc.)</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6/28/2019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1,207,069</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1,208,510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1,207,371</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Garda World Security</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B Delayed</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Draw Loan</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197,592</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196,978</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194,012</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Garda World Security</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B Loan</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11/6/2020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772,408</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770,060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758,411</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Gardner Denver, Inc.</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High Tech Industries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Initial Dollar Term</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7/30/2020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2,432,330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2,427,218</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2,363,009</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Gates Global LLC</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tcPr>
          <w:p>
            <w:pPr>
              <w:ind w:left="40"/>
              <w:spacing w:after="0"/>
              <w:rPr>
                <w:sz w:val="20"/>
                <w:szCs w:val="20"/>
                <w:color w:val="auto"/>
              </w:rPr>
            </w:pPr>
            <w:r>
              <w:rPr>
                <w:rFonts w:ascii="Arial" w:cs="Arial" w:eastAsia="Arial" w:hAnsi="Arial"/>
                <w:sz w:val="14"/>
                <w:szCs w:val="14"/>
                <w:color w:val="auto"/>
              </w:rPr>
              <w:t>Lien)</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7/5/2021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482,906</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478,077</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480,139</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General Nutrition</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6"/>
              </w:rPr>
              <w:t>Amended Tranche B</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Centers, Inc.</w:t>
            </w:r>
          </w:p>
        </w:tc>
        <w:tc>
          <w:tcPr>
            <w:tcW w:w="1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2,123,160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2,119,206</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2,025,856</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Global Tel*Link</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82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Lien)</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5/26/2020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2,675,183</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2,668,213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2,635,884</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Goodyear Tire &amp; Rubber</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 (Second Lien)</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Company, The</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4/30/2019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2,000,000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1,978,530</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2,013,500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Grosvenor Capital</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Brokers/Dealers/Investment</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Initial Term Loan</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1540" w:type="dxa"/>
            <w:vAlign w:val="bottom"/>
          </w:tcPr>
          <w:p>
            <w:pPr>
              <w:ind w:left="160"/>
              <w:spacing w:after="0" w:line="149" w:lineRule="exact"/>
              <w:rPr>
                <w:sz w:val="20"/>
                <w:szCs w:val="20"/>
                <w:color w:val="auto"/>
              </w:rPr>
            </w:pPr>
            <w:r>
              <w:rPr>
                <w:rFonts w:ascii="Arial" w:cs="Arial" w:eastAsia="Arial" w:hAnsi="Arial"/>
                <w:sz w:val="14"/>
                <w:szCs w:val="14"/>
                <w:color w:val="auto"/>
                <w:w w:val="94"/>
              </w:rPr>
              <w:t>Management Holdings,</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Houses</w:t>
            </w: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LP</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1,014,560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1,011,388</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1,006,109</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GTCR Valor Companies,</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5/17/2023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1,496,250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1,438,257</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1,442,954</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Harland Clarke Holdings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Publishing</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Tranche B-4 Term</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1540" w:type="dxa"/>
            <w:vAlign w:val="bottom"/>
          </w:tcPr>
          <w:p>
            <w:pPr>
              <w:ind w:left="160"/>
              <w:spacing w:after="0" w:line="149" w:lineRule="exact"/>
              <w:rPr>
                <w:sz w:val="20"/>
                <w:szCs w:val="20"/>
                <w:color w:val="auto"/>
              </w:rPr>
            </w:pPr>
            <w:r>
              <w:rPr>
                <w:rFonts w:ascii="Arial" w:cs="Arial" w:eastAsia="Arial" w:hAnsi="Arial"/>
                <w:sz w:val="14"/>
                <w:szCs w:val="14"/>
                <w:color w:val="auto"/>
              </w:rPr>
              <w:t>Corp. (fka Clarke</w:t>
            </w:r>
          </w:p>
        </w:tc>
        <w:tc>
          <w:tcPr>
            <w:tcW w:w="1820" w:type="dxa"/>
            <w:vAlign w:val="bottom"/>
          </w:tcPr>
          <w:p>
            <w:pPr>
              <w:spacing w:after="0"/>
              <w:rPr>
                <w:sz w:val="12"/>
                <w:szCs w:val="12"/>
                <w:color w:val="auto"/>
              </w:rPr>
            </w:pPr>
          </w:p>
        </w:tc>
        <w:tc>
          <w:tcPr>
            <w:tcW w:w="130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American Corp.)</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5.99%</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6.99%</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8/2/2019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2,452,292</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2,359,268</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2,439,000</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Headwaters Incorporated</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Building &amp; Development</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3/24/2022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246,875</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245,872</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247,904</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Help/Systems Holdings,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High Tech Industries</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Inc.</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6.25%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10/8/2021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1,488,750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1,435,008</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1,476,349</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Hemisphere Media</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Media</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LLC</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7/30/2020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2,500,000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2,511,306</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2,493,750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Hercules Achievement</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Holdings, Inc.</w:t>
            </w:r>
          </w:p>
        </w:tc>
        <w:tc>
          <w:tcPr>
            <w:tcW w:w="1820" w:type="dxa"/>
            <w:vAlign w:val="bottom"/>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12/10/2021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247,481</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245,345</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249,585</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Hoffmaster Group, Inc.</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Containers/Glass Products</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5.50%</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11/10/2023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6"/>
              </w:rPr>
              <w:t>1,000,000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1,003,750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999,380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Hostess Brand, LLC</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Beverage, Food &amp; Tobacco</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 B (First</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Lien)</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8/3/2022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1,490,000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1,486,283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1,497,823</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Huntsman International</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B (First</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4/19/2019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2,809,046</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2,793,042</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2,813,260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Husky Injection Molding</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Systems Ltd.</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6/30/2021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487,465</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485,699</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486,490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Hyperion Refinance T/L</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9"/>
              </w:rPr>
              <w:t>Banking, Finance, Insurance</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&amp; Real Estate</w:t>
            </w: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4/29/2022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2,000,000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1,982,160</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1,982,500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Imagine! Print Solutions,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Media</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Inc.</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7.00%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3/30/2022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497,500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490,794</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500,923</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 (US), Inc. (fka</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Tranche B-5 Term</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8"/>
              </w:rPr>
              <w:t>Lawson Software Inc.)</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2,134,125</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2,122,744</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2,129,686</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Insight Global</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4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10/29/2021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6"/>
              </w:rPr>
              <w:t>3,459,111</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3,442,956</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3,473,536</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Informatica Corporation</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8/5/2022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495,000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493,929</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483,556</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J. Crew Group, Inc.</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B-1 Loan</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tcPr>
          <w:p>
            <w:pPr>
              <w:ind w:left="40"/>
              <w:spacing w:after="0"/>
              <w:rPr>
                <w:sz w:val="20"/>
                <w:szCs w:val="20"/>
                <w:color w:val="auto"/>
              </w:rPr>
            </w:pPr>
            <w:r>
              <w:rPr>
                <w:rFonts w:ascii="Arial" w:cs="Arial" w:eastAsia="Arial" w:hAnsi="Arial"/>
                <w:sz w:val="14"/>
                <w:szCs w:val="14"/>
                <w:color w:val="auto"/>
              </w:rPr>
              <w:t>Retired 03/05/2014</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948,188</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948,188</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606,840</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Jazz Acquisition, Inc</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Aerospace and Defense</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First Lien 6/14</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6/19/2021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489,091</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488,214</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453,940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J.Jill Group, Inc.</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tcPr>
          <w:p>
            <w:pPr>
              <w:ind w:left="40"/>
              <w:spacing w:after="0"/>
              <w:rPr>
                <w:sz w:val="20"/>
                <w:szCs w:val="20"/>
                <w:color w:val="auto"/>
              </w:rPr>
            </w:pPr>
            <w:r>
              <w:rPr>
                <w:rFonts w:ascii="Arial" w:cs="Arial" w:eastAsia="Arial" w:hAnsi="Arial"/>
                <w:sz w:val="14"/>
                <w:szCs w:val="14"/>
                <w:color w:val="auto"/>
              </w:rPr>
              <w:t>Lien)</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5/9/2022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987,505</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983,403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965,286</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Kinetic Concepts, Inc.</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Healthcare &amp; Pharmaceuticals</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F-1</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11/4/2020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6"/>
              </w:rPr>
              <w:t>2,434,098</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2,409,562</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2,390,284</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Koosharem, LLC</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4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6.50%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7.50%</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5/15/2020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6"/>
              </w:rPr>
              <w:t>2,942,588</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2,923,892</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2,648,329</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Kraton Polymers, LLC</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(Initial)</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5.00%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1/6/2022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6"/>
              </w:rPr>
              <w:t>2,500,000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2,277,562</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2,513,675</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Lannett Company, Inc.</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w w:val="93"/>
              </w:rPr>
              <w:t>Healthcare &amp; Pharmaceuticals</w:t>
            </w:r>
          </w:p>
        </w:tc>
        <w:tc>
          <w:tcPr>
            <w:tcW w:w="1300" w:type="dxa"/>
            <w:vAlign w:val="bottom"/>
          </w:tcPr>
          <w:p>
            <w:pPr>
              <w:ind w:left="4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5.38%</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6.38%</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11/25/2022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6"/>
              </w:rPr>
              <w:t>1,925,000</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1,865,075</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1,872,063</w:t>
            </w:r>
          </w:p>
        </w:tc>
      </w:tr>
      <w:tr>
        <w:trPr>
          <w:trHeight w:val="182"/>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Learfield</w:t>
            </w:r>
          </w:p>
        </w:tc>
        <w:tc>
          <w:tcPr>
            <w:tcW w:w="18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Healthcare &amp; Pharmaceuticals</w:t>
            </w:r>
          </w:p>
        </w:tc>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Initial Term Loan</w:t>
            </w:r>
          </w:p>
        </w:tc>
        <w:tc>
          <w:tcPr>
            <w:tcW w:w="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11/17/2023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497,500</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501,250</w:t>
            </w:r>
          </w:p>
        </w:tc>
      </w:tr>
      <w:tr>
        <w:trPr>
          <w:trHeight w:val="36"/>
        </w:trPr>
        <w:tc>
          <w:tcPr>
            <w:tcW w:w="154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r>
    </w:tbl>
    <w:p>
      <w:pPr>
        <w:sectPr>
          <w:pgSz w:w="11900" w:h="16900" w:orient="portrait"/>
          <w:cols w:equalWidth="0" w:num="1">
            <w:col w:w="11420"/>
          </w:cols>
          <w:pgMar w:left="240" w:top="121"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Communications</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 Parent)</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49"/>
        </w:trPr>
        <w:tc>
          <w:tcPr>
            <w:tcW w:w="15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Initial T/L (A-L</w:t>
            </w:r>
          </w:p>
        </w:tc>
        <w:tc>
          <w:tcPr>
            <w:tcW w:w="18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Parent)</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LPL Holdings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w w:val="99"/>
              </w:rPr>
              <w:t>Banking, Finance, Insurance</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 B (2022)</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4"/>
                <w:szCs w:val="14"/>
                <w:color w:val="auto"/>
              </w:rPr>
              <w:t>&amp; Real Estate</w:t>
            </w: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11/21/2022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1,985,000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1,967,639</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1,999,054</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McGraw-Hill Global</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Publishing</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9"/>
        </w:trPr>
        <w:tc>
          <w:tcPr>
            <w:tcW w:w="15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Education Holdings,</w:t>
            </w:r>
          </w:p>
        </w:tc>
        <w:tc>
          <w:tcPr>
            <w:tcW w:w="18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997,500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993,085</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987,884</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Mauser Holdings, Inc.</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Containers/Glass Products</w:t>
            </w:r>
          </w:p>
        </w:tc>
        <w:tc>
          <w:tcPr>
            <w:tcW w:w="1320" w:type="dxa"/>
            <w:vAlign w:val="bottom"/>
          </w:tcPr>
          <w:p>
            <w:pPr>
              <w:ind w:left="40"/>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tcPr>
          <w:p>
            <w:pPr>
              <w:ind w:left="2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7/31/2021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490,000</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488,278</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491,838</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Michaels Stores, Inc.</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B1</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1/30/2023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1,684,412</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1,678,497</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1,696,000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Micro Holding</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High Tech Industries</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7/8/2021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985,413</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981,373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988,803</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Microsemi Corporation</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Electronics/Electric</w:t>
            </w:r>
          </w:p>
        </w:tc>
        <w:tc>
          <w:tcPr>
            <w:tcW w:w="1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B</w:t>
            </w:r>
          </w:p>
        </w:tc>
        <w:tc>
          <w:tcPr>
            <w:tcW w:w="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3.75%</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1/17/2023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892,985</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868,970</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897,950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Midas Intermediate</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Automotive</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 (Initial)</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Holdco II, LLC</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8/18/2021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245,000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244,071</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245,919</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Milk Specialties</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Beverage, Food &amp; Tobacco</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Company</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8/16/2023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1,000,000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990,342</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1,008,750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MSC Software</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5/29/2020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1,974,949</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1,934,256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1,970,012</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MWI Holdings, Inc.</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Capital Equipment</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6/29/2020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2,992,500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2,986,899</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2,992,500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National Veterinary</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w w:val="93"/>
              </w:rPr>
              <w:t>Healthcare &amp; Pharmaceuticals</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 B</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Associates, Inc</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8/14/2021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980,038</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977,191</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981,675</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National Vision, Inc.</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(Second</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249,780</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238,437</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New Media Holdings II</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T/L (NEW)</w:t>
            </w:r>
          </w:p>
        </w:tc>
        <w:tc>
          <w:tcPr>
            <w:tcW w:w="1820" w:type="dxa"/>
            <w:vAlign w:val="bottom"/>
          </w:tcPr>
          <w:p>
            <w:pPr>
              <w:ind w:left="40"/>
              <w:spacing w:after="0"/>
              <w:rPr>
                <w:sz w:val="20"/>
                <w:szCs w:val="20"/>
                <w:color w:val="auto"/>
              </w:rPr>
            </w:pPr>
            <w:r>
              <w:rPr>
                <w:rFonts w:ascii="Arial" w:cs="Arial" w:eastAsia="Arial" w:hAnsi="Arial"/>
                <w:sz w:val="14"/>
                <w:szCs w:val="14"/>
                <w:color w:val="auto"/>
              </w:rPr>
              <w:t>Drugs)</w:t>
            </w: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7.25%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6/4/2020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2,674,923</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2,662,001</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2,644,830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New Millennium Holdco,</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3"/>
              </w:rPr>
              <w:t>Healthcare &amp; Pharmaceuticals</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12/21/2020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1,935,123</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1,771,899</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1,154,630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NorthStar Asset</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w w:val="99"/>
              </w:rPr>
              <w:t>Banking, Finance, Insurance</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 B</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1540" w:type="dxa"/>
            <w:vAlign w:val="bottom"/>
          </w:tcPr>
          <w:p>
            <w:pPr>
              <w:ind w:left="160"/>
              <w:spacing w:after="0" w:line="149" w:lineRule="exact"/>
              <w:rPr>
                <w:sz w:val="20"/>
                <w:szCs w:val="20"/>
                <w:color w:val="auto"/>
              </w:rPr>
            </w:pPr>
            <w:r>
              <w:rPr>
                <w:rFonts w:ascii="Arial" w:cs="Arial" w:eastAsia="Arial" w:hAnsi="Arial"/>
                <w:sz w:val="14"/>
                <w:szCs w:val="14"/>
                <w:color w:val="auto"/>
              </w:rPr>
              <w:t>Management Group,</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&amp; Real Estate</w:t>
            </w:r>
          </w:p>
        </w:tc>
        <w:tc>
          <w:tcPr>
            <w:tcW w:w="1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Inc.</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3.88%</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4.63%</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1/30/2023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1,990,000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1,926,727</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1,988,348</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Novelis, Inc.</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Conglomerate</w:t>
            </w:r>
          </w:p>
        </w:tc>
        <w:tc>
          <w:tcPr>
            <w:tcW w:w="1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B</w:t>
            </w:r>
          </w:p>
        </w:tc>
        <w:tc>
          <w:tcPr>
            <w:tcW w:w="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6/2/2022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6"/>
              </w:rPr>
              <w:t>4,735,095</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4,715,782</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4,740,256</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Novetta Solutions</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Aerospace and Defense</w:t>
            </w:r>
          </w:p>
        </w:tc>
        <w:tc>
          <w:tcPr>
            <w:tcW w:w="1320" w:type="dxa"/>
            <w:vAlign w:val="bottom"/>
          </w:tcPr>
          <w:p>
            <w:pPr>
              <w:ind w:left="40"/>
              <w:spacing w:after="0" w:line="149" w:lineRule="exact"/>
              <w:rPr>
                <w:sz w:val="20"/>
                <w:szCs w:val="20"/>
                <w:color w:val="auto"/>
              </w:rPr>
            </w:pPr>
            <w:r>
              <w:rPr>
                <w:rFonts w:ascii="Arial" w:cs="Arial" w:eastAsia="Arial" w:hAnsi="Arial"/>
                <w:sz w:val="14"/>
                <w:szCs w:val="14"/>
                <w:color w:val="auto"/>
                <w:w w:val="98"/>
              </w:rPr>
              <w:t>Term Loan (200MM)</w:t>
            </w:r>
          </w:p>
        </w:tc>
        <w:tc>
          <w:tcPr>
            <w:tcW w:w="500" w:type="dxa"/>
            <w:vAlign w:val="bottom"/>
          </w:tcPr>
          <w:p>
            <w:pPr>
              <w:ind w:left="2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10/16/2022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6"/>
              </w:rPr>
              <w:t>1,985,000</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1,967,682</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1,890,712</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Novetta Solutions</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Aerospace and Defense</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(2nd</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9/29/2023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1,000,000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990,986</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930,000</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NPC International, Inc.</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Food Services</w:t>
            </w:r>
          </w:p>
        </w:tc>
        <w:tc>
          <w:tcPr>
            <w:tcW w:w="1320" w:type="dxa"/>
            <w:vAlign w:val="bottom"/>
          </w:tcPr>
          <w:p>
            <w:pPr>
              <w:ind w:left="40"/>
              <w:spacing w:after="0" w:line="149" w:lineRule="exact"/>
              <w:rPr>
                <w:sz w:val="20"/>
                <w:szCs w:val="20"/>
                <w:color w:val="auto"/>
              </w:rPr>
            </w:pPr>
            <w:r>
              <w:rPr>
                <w:rFonts w:ascii="Arial" w:cs="Arial" w:eastAsia="Arial" w:hAnsi="Arial"/>
                <w:sz w:val="14"/>
                <w:szCs w:val="14"/>
                <w:color w:val="auto"/>
              </w:rPr>
              <w:t>Term Loan (2013)</w:t>
            </w:r>
          </w:p>
        </w:tc>
        <w:tc>
          <w:tcPr>
            <w:tcW w:w="500" w:type="dxa"/>
            <w:vAlign w:val="bottom"/>
          </w:tcPr>
          <w:p>
            <w:pPr>
              <w:ind w:left="2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12/28/2018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477,298</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477,298</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477,598</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NVA Holdings, Inc.</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Consumer</w:t>
            </w:r>
          </w:p>
        </w:tc>
        <w:tc>
          <w:tcPr>
            <w:tcW w:w="1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B1</w:t>
            </w:r>
          </w:p>
        </w:tc>
        <w:tc>
          <w:tcPr>
            <w:tcW w:w="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5.50%</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8/14/2021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157,841</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157,485</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158,236</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NXT Capital T/L (11/16)</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w w:val="99"/>
              </w:rPr>
              <w:t>Banking, Finance, Insurance</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4"/>
                <w:szCs w:val="14"/>
                <w:color w:val="auto"/>
              </w:rPr>
              <w:t>&amp; Real Estate</w:t>
            </w: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11/23/2022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1,000,000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995,000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1,000,000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Om Group</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9"/>
              </w:rPr>
              <w:t>Banking, Finance, Insurance</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&amp; Real Estate</w:t>
            </w:r>
          </w:p>
        </w:tc>
        <w:tc>
          <w:tcPr>
            <w:tcW w:w="1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10/28/2021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994,987</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903,045</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991,883</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ON Semiconductor</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High Tech Industries</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 B</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3.95%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3/31/2023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499,320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502,500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Onex Carestream Finance</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3"/>
              </w:rPr>
              <w:t>Healthcare &amp; Pharmaceuticals</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LP</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 2013)</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3,668,306</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3,659,647</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3,232,695</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OnexYork Acquisition</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w w:val="93"/>
              </w:rPr>
              <w:t>Healthcare &amp; Pharmaceuticals</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 B</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10/1/2021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490,000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487,264</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452,637</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OpenLink International,</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B Loan</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7/29/2019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2,921,492</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2,920,807</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2,947,055</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P.F. Chang’s China</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Food/Drug Retailers</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Borrowing</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1540" w:type="dxa"/>
            <w:vAlign w:val="bottom"/>
          </w:tcPr>
          <w:p>
            <w:pPr>
              <w:ind w:left="160"/>
              <w:spacing w:after="0" w:line="149" w:lineRule="exact"/>
              <w:rPr>
                <w:sz w:val="20"/>
                <w:szCs w:val="20"/>
                <w:color w:val="auto"/>
              </w:rPr>
            </w:pPr>
            <w:r>
              <w:rPr>
                <w:rFonts w:ascii="Arial" w:cs="Arial" w:eastAsia="Arial" w:hAnsi="Arial"/>
                <w:sz w:val="14"/>
                <w:szCs w:val="14"/>
                <w:color w:val="auto"/>
              </w:rPr>
              <w:t>Bistro, Inc. (Wok</w:t>
            </w:r>
          </w:p>
        </w:tc>
        <w:tc>
          <w:tcPr>
            <w:tcW w:w="1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Acquisition Corp.)</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6/24/2019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1,421,386</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1,417,039</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1,400,065</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P2 Upstream Acquisition</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9"/>
        </w:trPr>
        <w:tc>
          <w:tcPr>
            <w:tcW w:w="15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 (P2 Upstream</w:t>
            </w:r>
          </w:p>
        </w:tc>
        <w:tc>
          <w:tcPr>
            <w:tcW w:w="1820" w:type="dxa"/>
            <w:vAlign w:val="bottom"/>
            <w:shd w:val="clear" w:color="auto" w:fill="CCEEFF"/>
          </w:tcPr>
          <w:p>
            <w:pPr>
              <w:spacing w:after="0"/>
              <w:rPr>
                <w:sz w:val="12"/>
                <w:szCs w:val="12"/>
                <w:color w:val="auto"/>
              </w:rPr>
            </w:pPr>
          </w:p>
        </w:tc>
        <w:tc>
          <w:tcPr>
            <w:tcW w:w="1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Lien)</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Canada BC ULC)</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10/30/2020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972,500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969,216</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914,150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Petsmart, Inc. (Argos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 B1</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Merger Sub, Inc.)</w:t>
            </w:r>
          </w:p>
        </w:tc>
        <w:tc>
          <w:tcPr>
            <w:tcW w:w="1820" w:type="dxa"/>
            <w:vAlign w:val="bottom"/>
          </w:tcPr>
          <w:p>
            <w:pPr>
              <w:ind w:left="40"/>
              <w:spacing w:after="0"/>
              <w:rPr>
                <w:sz w:val="20"/>
                <w:szCs w:val="20"/>
                <w:color w:val="auto"/>
              </w:rPr>
            </w:pPr>
            <w:r>
              <w:rPr>
                <w:rFonts w:ascii="Arial" w:cs="Arial" w:eastAsia="Arial" w:hAnsi="Arial"/>
                <w:sz w:val="14"/>
                <w:szCs w:val="14"/>
                <w:color w:val="auto"/>
              </w:rPr>
              <w:t>Drugs)</w:t>
            </w: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3/11/2022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985,000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980,220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987,728</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PGX Holdings, Inc.</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Financial Intermediaries</w:t>
            </w:r>
          </w:p>
        </w:tc>
        <w:tc>
          <w:tcPr>
            <w:tcW w:w="1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4.75%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5.75%</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9/29/2020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911,429</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905,316</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911,046</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Planet Fitness Holdings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Leisure</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LLC</w:t>
            </w:r>
          </w:p>
        </w:tc>
        <w:tc>
          <w:tcPr>
            <w:tcW w:w="1820" w:type="dxa"/>
            <w:vAlign w:val="bottom"/>
          </w:tcPr>
          <w:p>
            <w:pPr>
              <w:ind w:left="40"/>
              <w:spacing w:after="0"/>
              <w:rPr>
                <w:sz w:val="20"/>
                <w:szCs w:val="20"/>
                <w:color w:val="auto"/>
              </w:rPr>
            </w:pPr>
            <w:r>
              <w:rPr>
                <w:rFonts w:ascii="Arial" w:cs="Arial" w:eastAsia="Arial" w:hAnsi="Arial"/>
                <w:sz w:val="14"/>
                <w:szCs w:val="14"/>
                <w:color w:val="auto"/>
              </w:rPr>
              <w:t>Goods/Activities/Movies</w:t>
            </w: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3/31/2021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2,398,337</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2,390,948</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2,392,341</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Polycom Term Loan</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Telecommunications</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(9/16)</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9/27/2023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2,000,000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1,972,500</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1,966,260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PrePaid Legal Services,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 B</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Inc.</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6.50%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7/1/2019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3,392,467</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3,396,014</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3,389,651</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Presidio, Inc.</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2/2/2022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6"/>
              </w:rPr>
              <w:t>2,385,390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2,331,907</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2,398,319</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Prime Security Services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(Protection One)</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7/1/2021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1,985,025</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1,977,124</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1,996,876</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Ranpak Holdings, Inc.</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10/1/2021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931,264</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928,935</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923,115</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Ranpak Holdings, Inc.</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 (Second</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4"/>
                <w:szCs w:val="14"/>
                <w:color w:val="auto"/>
              </w:rPr>
              <w:t>Lien)</w:t>
            </w: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8.25%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10/3/2022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498,073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470,000</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Redtop Acquisitions</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Electronics/Electric</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Initial Dollar Term</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Limited</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 (First Lien)</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486,259</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484,109</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485,044</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Regal Cinemas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Services: Consumer</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3.50%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495,009</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493,772</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496,868</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Research Now Group,</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Media</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B</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3/18/2021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2,042,890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2,034,414</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1,981,603</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Rexnord LLC/RBS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Industrial Equipment</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B Loan</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Global, Inc.</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8/21/2020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1,540,540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1,541,627</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1,544,607</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Reynolds Group</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Industrial Equipment</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Incremental U.S.</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Inc.</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2/6/2023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1,765,548</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1,765,548</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1,773,458</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Rovi Solutions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Electronics/Electric</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Tranche B-3 Term</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1540" w:type="dxa"/>
            <w:vAlign w:val="bottom"/>
          </w:tcPr>
          <w:p>
            <w:pPr>
              <w:ind w:left="160"/>
              <w:spacing w:after="0" w:line="149" w:lineRule="exact"/>
              <w:rPr>
                <w:sz w:val="20"/>
                <w:szCs w:val="20"/>
                <w:color w:val="auto"/>
              </w:rPr>
            </w:pPr>
            <w:r>
              <w:rPr>
                <w:rFonts w:ascii="Arial" w:cs="Arial" w:eastAsia="Arial" w:hAnsi="Arial"/>
                <w:sz w:val="14"/>
                <w:szCs w:val="14"/>
                <w:color w:val="auto"/>
              </w:rPr>
              <w:t>Corporation / Rovi</w:t>
            </w:r>
          </w:p>
        </w:tc>
        <w:tc>
          <w:tcPr>
            <w:tcW w:w="1820" w:type="dxa"/>
            <w:vAlign w:val="bottom"/>
          </w:tcPr>
          <w:p>
            <w:pPr>
              <w:spacing w:after="0"/>
              <w:rPr>
                <w:sz w:val="12"/>
                <w:szCs w:val="12"/>
                <w:color w:val="auto"/>
              </w:rPr>
            </w:pPr>
          </w:p>
        </w:tc>
        <w:tc>
          <w:tcPr>
            <w:tcW w:w="13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Guides, Inc.</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7/2/2021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1,466,250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1,461,232</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1,469,549</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Royal Adhesives and</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Sealants</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6/20/2022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493,750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491,669</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496,219</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Royal Adhesives and</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 (Second</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Sealants</w:t>
            </w:r>
          </w:p>
        </w:tc>
        <w:tc>
          <w:tcPr>
            <w:tcW w:w="182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4"/>
                <w:szCs w:val="14"/>
                <w:color w:val="auto"/>
              </w:rPr>
              <w:t>Lien)</w:t>
            </w: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8.50%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6/19/2023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496,621</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493,750</w:t>
            </w: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RPI Finance Trust</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Financial Intermediaries</w:t>
            </w:r>
          </w:p>
        </w:tc>
        <w:tc>
          <w:tcPr>
            <w:tcW w:w="13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Term B-4 Term Loan</w:t>
            </w:r>
          </w:p>
        </w:tc>
        <w:tc>
          <w:tcPr>
            <w:tcW w:w="5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2.50%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0.70%</w:t>
            </w:r>
          </w:p>
        </w:tc>
        <w:tc>
          <w:tcPr>
            <w:tcW w:w="62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3.20%</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10/14/2022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96"/>
              </w:rPr>
              <w:t>2,561,167</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2,561,167</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2,581,758</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Russell Investment</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w w:val="99"/>
              </w:rPr>
              <w:t>Banking, Finance, Insurance</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 B</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Management T/L B</w:t>
            </w:r>
          </w:p>
        </w:tc>
        <w:tc>
          <w:tcPr>
            <w:tcW w:w="1820" w:type="dxa"/>
            <w:vAlign w:val="bottom"/>
          </w:tcPr>
          <w:p>
            <w:pPr>
              <w:ind w:left="40"/>
              <w:spacing w:after="0"/>
              <w:rPr>
                <w:sz w:val="20"/>
                <w:szCs w:val="20"/>
                <w:color w:val="auto"/>
              </w:rPr>
            </w:pPr>
            <w:r>
              <w:rPr>
                <w:rFonts w:ascii="Arial" w:cs="Arial" w:eastAsia="Arial" w:hAnsi="Arial"/>
                <w:sz w:val="14"/>
                <w:szCs w:val="14"/>
                <w:color w:val="auto"/>
              </w:rPr>
              <w:t>&amp; Real Estate</w:t>
            </w: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6/1/2023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w w:val="96"/>
              </w:rPr>
              <w:t>1,995,000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1,879,384</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2,006,232</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Sable International</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Telecommunications</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B1</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Finance Ltd</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825,000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809,615</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831,922</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Sable International</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Telecommunications</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 B2</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Finance Ltd</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12/2/2022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675,000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662,412</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680,663</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SBP Holdings LP</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Industrial Equipment</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3/27/2021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975,000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971,747</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819,000</w:t>
            </w:r>
          </w:p>
        </w:tc>
      </w:tr>
      <w:tr>
        <w:trPr>
          <w:trHeight w:val="130"/>
        </w:trPr>
        <w:tc>
          <w:tcPr>
            <w:tcW w:w="1540" w:type="dxa"/>
            <w:vAlign w:val="bottom"/>
          </w:tcPr>
          <w:p>
            <w:pPr>
              <w:spacing w:after="0" w:line="130" w:lineRule="exact"/>
              <w:rPr>
                <w:sz w:val="20"/>
                <w:szCs w:val="20"/>
                <w:color w:val="auto"/>
              </w:rPr>
            </w:pPr>
            <w:r>
              <w:rPr>
                <w:rFonts w:ascii="Arial" w:cs="Arial" w:eastAsia="Arial" w:hAnsi="Arial"/>
                <w:sz w:val="14"/>
                <w:szCs w:val="14"/>
                <w:color w:val="auto"/>
              </w:rPr>
              <w:t>Scientific Games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Electronics/Electric</w:t>
            </w:r>
          </w:p>
        </w:tc>
        <w:tc>
          <w:tcPr>
            <w:tcW w:w="1320" w:type="dxa"/>
            <w:vAlign w:val="bottom"/>
          </w:tcPr>
          <w:p>
            <w:pPr>
              <w:ind w:left="40"/>
              <w:spacing w:after="0" w:line="130" w:lineRule="exact"/>
              <w:rPr>
                <w:sz w:val="20"/>
                <w:szCs w:val="20"/>
                <w:color w:val="auto"/>
              </w:rPr>
            </w:pPr>
            <w:r>
              <w:rPr>
                <w:rFonts w:ascii="Arial" w:cs="Arial" w:eastAsia="Arial" w:hAnsi="Arial"/>
                <w:sz w:val="14"/>
                <w:szCs w:val="14"/>
                <w:color w:val="auto"/>
              </w:rPr>
              <w:t>Term Loan B2</w:t>
            </w:r>
          </w:p>
        </w:tc>
        <w:tc>
          <w:tcPr>
            <w:tcW w:w="500" w:type="dxa"/>
            <w:vAlign w:val="bottom"/>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1540" w:type="dxa"/>
            <w:vAlign w:val="bottom"/>
          </w:tcPr>
          <w:p>
            <w:pPr>
              <w:ind w:left="160"/>
              <w:spacing w:after="0"/>
              <w:rPr>
                <w:sz w:val="20"/>
                <w:szCs w:val="20"/>
                <w:color w:val="auto"/>
              </w:rPr>
            </w:pPr>
            <w:r>
              <w:rPr>
                <w:rFonts w:ascii="Arial" w:cs="Arial" w:eastAsia="Arial" w:hAnsi="Arial"/>
                <w:sz w:val="14"/>
                <w:szCs w:val="14"/>
                <w:color w:val="auto"/>
              </w:rPr>
              <w:t>International, Inc.</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10/1/2021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982,500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973,672</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990,684</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SCS Holdings (Sirius</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High Tech Industries</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Computer)</w:t>
            </w: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10/31/2022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1,977,528</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1,942,888</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1,987,416</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Seadrill Operating LP</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Oil &amp; Gas</w:t>
            </w:r>
          </w:p>
        </w:tc>
        <w:tc>
          <w:tcPr>
            <w:tcW w:w="1320" w:type="dxa"/>
            <w:vAlign w:val="bottom"/>
          </w:tcPr>
          <w:p>
            <w:pPr>
              <w:ind w:left="40"/>
              <w:spacing w:after="0" w:line="149" w:lineRule="exact"/>
              <w:rPr>
                <w:sz w:val="20"/>
                <w:szCs w:val="20"/>
                <w:color w:val="auto"/>
              </w:rPr>
            </w:pPr>
            <w:r>
              <w:rPr>
                <w:rFonts w:ascii="Arial" w:cs="Arial" w:eastAsia="Arial" w:hAnsi="Arial"/>
                <w:sz w:val="14"/>
                <w:szCs w:val="14"/>
                <w:color w:val="auto"/>
              </w:rPr>
              <w:t>Term Loan B</w:t>
            </w:r>
          </w:p>
        </w:tc>
        <w:tc>
          <w:tcPr>
            <w:tcW w:w="500" w:type="dxa"/>
            <w:vAlign w:val="bottom"/>
          </w:tcPr>
          <w:p>
            <w:pPr>
              <w:ind w:left="2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2/21/2021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979,849</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921,734</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554,428</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Shearers Foods LLC</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Food Services</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3.94%</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4.94%</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6/30/2021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980,000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978,146</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980,000</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Sitel Worldwide</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1320" w:type="dxa"/>
            <w:vAlign w:val="bottom"/>
          </w:tcPr>
          <w:p>
            <w:pPr>
              <w:ind w:left="40"/>
              <w:spacing w:after="0" w:line="149" w:lineRule="exact"/>
              <w:rPr>
                <w:sz w:val="20"/>
                <w:szCs w:val="20"/>
                <w:color w:val="auto"/>
              </w:rPr>
            </w:pPr>
            <w:r>
              <w:rPr>
                <w:rFonts w:ascii="Arial" w:cs="Arial" w:eastAsia="Arial" w:hAnsi="Arial"/>
                <w:sz w:val="14"/>
                <w:szCs w:val="14"/>
                <w:color w:val="auto"/>
              </w:rPr>
              <w:t>Term Loan</w:t>
            </w:r>
          </w:p>
        </w:tc>
        <w:tc>
          <w:tcPr>
            <w:tcW w:w="500" w:type="dxa"/>
            <w:vAlign w:val="bottom"/>
          </w:tcPr>
          <w:p>
            <w:pPr>
              <w:ind w:left="2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5.50%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6.50%</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9/18/2021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6"/>
              </w:rPr>
              <w:t>1,980,000</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1,963,403</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1,968,239</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Sonneborn, LLC</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12/10/2020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208,512</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208,136</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208,860</w:t>
            </w: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Sonneborn, LLC</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320" w:type="dxa"/>
            <w:vAlign w:val="bottom"/>
          </w:tcPr>
          <w:p>
            <w:pPr>
              <w:ind w:left="40"/>
              <w:spacing w:after="0" w:line="149" w:lineRule="exact"/>
              <w:rPr>
                <w:sz w:val="20"/>
                <w:szCs w:val="20"/>
                <w:color w:val="auto"/>
              </w:rPr>
            </w:pPr>
            <w:r>
              <w:rPr>
                <w:rFonts w:ascii="Arial" w:cs="Arial" w:eastAsia="Arial" w:hAnsi="Arial"/>
                <w:sz w:val="14"/>
                <w:szCs w:val="14"/>
                <w:color w:val="auto"/>
                <w:w w:val="98"/>
              </w:rPr>
              <w:t>Initial US Term Loan</w:t>
            </w:r>
          </w:p>
        </w:tc>
        <w:tc>
          <w:tcPr>
            <w:tcW w:w="500" w:type="dxa"/>
            <w:vAlign w:val="bottom"/>
          </w:tcPr>
          <w:p>
            <w:pPr>
              <w:ind w:left="2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2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12/10/2020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6"/>
              </w:rPr>
              <w:t>1,181,569</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1,179,439</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1,183,542</w:t>
            </w: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Sophia, L.P.</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Electronics/Electric</w:t>
            </w:r>
          </w:p>
        </w:tc>
        <w:tc>
          <w:tcPr>
            <w:tcW w:w="13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(Closing</w:t>
            </w:r>
          </w:p>
        </w:tc>
        <w:tc>
          <w:tcPr>
            <w:tcW w:w="5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154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Date)</w:t>
            </w: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9/30/2022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6"/>
              </w:rPr>
              <w:t>1,965,897</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1,957,501</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1,967,136</w:t>
            </w:r>
          </w:p>
        </w:tc>
      </w:tr>
    </w:tbl>
    <w:p>
      <w:pPr>
        <w:sectPr>
          <w:pgSz w:w="11900" w:h="16838" w:orient="portrait"/>
          <w:cols w:equalWidth="0" w:num="1">
            <w:col w:w="11420"/>
          </w:cols>
          <w:pgMar w:left="240" w:top="108"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2"/>
          </w:tcPr>
          <w:p>
            <w:pPr>
              <w:spacing w:after="0"/>
              <w:rPr>
                <w:sz w:val="20"/>
                <w:szCs w:val="20"/>
                <w:color w:val="auto"/>
              </w:rPr>
            </w:pPr>
            <w:r>
              <w:rPr>
                <w:rFonts w:ascii="Arial" w:cs="Arial" w:eastAsia="Arial" w:hAnsi="Arial"/>
                <w:sz w:val="14"/>
                <w:szCs w:val="14"/>
                <w:color w:val="auto"/>
              </w:rPr>
              <w:t>SourceHOV LLC</w:t>
            </w:r>
          </w:p>
        </w:tc>
        <w:tc>
          <w:tcPr>
            <w:tcW w:w="1820" w:type="dxa"/>
            <w:vAlign w:val="bottom"/>
          </w:tcPr>
          <w:p>
            <w:pPr>
              <w:ind w:left="40"/>
              <w:spacing w:after="0"/>
              <w:rPr>
                <w:sz w:val="20"/>
                <w:szCs w:val="20"/>
                <w:color w:val="auto"/>
              </w:rPr>
            </w:pPr>
            <w:r>
              <w:rPr>
                <w:rFonts w:ascii="Arial" w:cs="Arial" w:eastAsia="Arial" w:hAnsi="Arial"/>
                <w:sz w:val="14"/>
                <w:szCs w:val="14"/>
                <w:color w:val="auto"/>
              </w:rPr>
              <w:t>Services: Business</w:t>
            </w:r>
          </w:p>
        </w:tc>
        <w:tc>
          <w:tcPr>
            <w:tcW w:w="1300" w:type="dxa"/>
            <w:vAlign w:val="bottom"/>
          </w:tcPr>
          <w:p>
            <w:pPr>
              <w:ind w:left="40"/>
              <w:spacing w:after="0"/>
              <w:rPr>
                <w:sz w:val="20"/>
                <w:szCs w:val="20"/>
                <w:color w:val="auto"/>
              </w:rPr>
            </w:pPr>
            <w:r>
              <w:rPr>
                <w:rFonts w:ascii="Arial" w:cs="Arial" w:eastAsia="Arial" w:hAnsi="Arial"/>
                <w:sz w:val="14"/>
                <w:szCs w:val="14"/>
                <w:color w:val="auto"/>
              </w:rPr>
              <w:t>Term Loan B (First</w:t>
            </w:r>
          </w:p>
        </w:tc>
        <w:tc>
          <w:tcPr>
            <w:tcW w:w="520" w:type="dxa"/>
            <w:vAlign w:val="bottom"/>
          </w:tcPr>
          <w:p>
            <w:pPr>
              <w:ind w:left="40"/>
              <w:spacing w:after="0"/>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10/31/2019</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1,862,500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1,826,426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1,642,259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Lien)</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SRAM, LLC</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Industrial Equipment</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(First</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4/10/2020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2,772,070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2,765,804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2,723,559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tcPr>
          <w:p>
            <w:pPr>
              <w:spacing w:after="0" w:line="130" w:lineRule="exact"/>
              <w:rPr>
                <w:sz w:val="20"/>
                <w:szCs w:val="20"/>
                <w:color w:val="auto"/>
              </w:rPr>
            </w:pPr>
            <w:r>
              <w:rPr>
                <w:rFonts w:ascii="Arial" w:cs="Arial" w:eastAsia="Arial" w:hAnsi="Arial"/>
                <w:sz w:val="14"/>
                <w:szCs w:val="14"/>
                <w:color w:val="auto"/>
              </w:rPr>
              <w:t>Steak ‘n Shake</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Food Services</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Arial" w:cs="Arial" w:eastAsia="Arial" w:hAnsi="Arial"/>
                <w:sz w:val="14"/>
                <w:szCs w:val="14"/>
                <w:color w:val="auto"/>
              </w:rPr>
              <w:t>Operations, Inc.</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3/19/2021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925,673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919,596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918,730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SuperMedia Inc. (fka</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Publishing</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Idearc Inc.)</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12/30/2016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200,478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200,472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77,685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tcPr>
          <w:p>
            <w:pPr>
              <w:spacing w:after="0" w:line="130" w:lineRule="exact"/>
              <w:rPr>
                <w:sz w:val="20"/>
                <w:szCs w:val="20"/>
                <w:color w:val="auto"/>
              </w:rPr>
            </w:pPr>
            <w:r>
              <w:rPr>
                <w:rFonts w:ascii="Arial" w:cs="Arial" w:eastAsia="Arial" w:hAnsi="Arial"/>
                <w:sz w:val="14"/>
                <w:szCs w:val="14"/>
                <w:color w:val="auto"/>
              </w:rPr>
              <w:t>Survey Sampling</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Arial" w:cs="Arial" w:eastAsia="Arial" w:hAnsi="Arial"/>
                <w:sz w:val="14"/>
                <w:szCs w:val="14"/>
                <w:color w:val="auto"/>
              </w:rPr>
              <w:t>International</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12/16/2020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2,728,677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2,713,545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2,715,033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Sybil Finance BV</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8/3/2022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995,154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1,008,500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w w:val="99"/>
              </w:rPr>
              <w:t>Syniverse Holdings, Inc.</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1300" w:type="dxa"/>
            <w:vAlign w:val="bottom"/>
          </w:tcPr>
          <w:p>
            <w:pPr>
              <w:ind w:left="40"/>
              <w:spacing w:after="0" w:line="149" w:lineRule="exact"/>
              <w:rPr>
                <w:sz w:val="20"/>
                <w:szCs w:val="20"/>
                <w:color w:val="auto"/>
              </w:rPr>
            </w:pPr>
            <w:r>
              <w:rPr>
                <w:rFonts w:ascii="Arial" w:cs="Arial" w:eastAsia="Arial" w:hAnsi="Arial"/>
                <w:sz w:val="14"/>
                <w:szCs w:val="14"/>
                <w:color w:val="auto"/>
              </w:rPr>
              <w:t>Initial 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4/23/2019</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468,977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466,744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416,386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TaxACT, Inc.</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6.00%</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1/3/2023</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1,313,620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1,353,375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tcPr>
          <w:p>
            <w:pPr>
              <w:spacing w:after="0" w:line="130" w:lineRule="exact"/>
              <w:rPr>
                <w:sz w:val="20"/>
                <w:szCs w:val="20"/>
                <w:color w:val="auto"/>
              </w:rPr>
            </w:pPr>
            <w:r>
              <w:rPr>
                <w:rFonts w:ascii="Arial" w:cs="Arial" w:eastAsia="Arial" w:hAnsi="Arial"/>
                <w:sz w:val="14"/>
                <w:szCs w:val="14"/>
                <w:color w:val="auto"/>
              </w:rPr>
              <w:t>Tectum Holdings, Inc.</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Transportation</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w w:val="99"/>
              </w:rPr>
              <w:t>Delayed Draw Term</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Loan (Initial)</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4.75%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8/24/2023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990,340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1,005,000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TGI Friday’s, Inc.</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Food Services</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4.25%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7/15/2020</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1,651,816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1,648,636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1,629,104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Townsquare Media, Inc.</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Media</w:t>
            </w:r>
          </w:p>
        </w:tc>
        <w:tc>
          <w:tcPr>
            <w:tcW w:w="1300" w:type="dxa"/>
            <w:vAlign w:val="bottom"/>
          </w:tcPr>
          <w:p>
            <w:pPr>
              <w:ind w:left="4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4/1/2022</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932,522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928,849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932,522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TPF II Power LLC and</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Utilities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TPF II Covert Midco</w:t>
            </w:r>
          </w:p>
        </w:tc>
        <w:tc>
          <w:tcPr>
            <w:tcW w:w="18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LLC</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10/2/2021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1,413,873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1,362,183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1,420,235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tcPr>
          <w:p>
            <w:pPr>
              <w:spacing w:after="0" w:line="130" w:lineRule="exact"/>
              <w:rPr>
                <w:sz w:val="20"/>
                <w:szCs w:val="20"/>
                <w:color w:val="auto"/>
              </w:rPr>
            </w:pPr>
            <w:r>
              <w:rPr>
                <w:rFonts w:ascii="Arial" w:cs="Arial" w:eastAsia="Arial" w:hAnsi="Arial"/>
                <w:sz w:val="14"/>
                <w:szCs w:val="14"/>
                <w:color w:val="auto"/>
              </w:rPr>
              <w:t>TransDigm, Inc.</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Aerospace and Defense</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Tranche C Term</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Loan</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2/28/2020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4,244,222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4,249,544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4,249,952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Travel Leaders Group,</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Hotel, Gaming and Leisure</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LLC</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2,629,084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2,615,196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2,603,898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tcPr>
          <w:p>
            <w:pPr>
              <w:spacing w:after="0" w:line="130" w:lineRule="exact"/>
              <w:rPr>
                <w:sz w:val="20"/>
                <w:szCs w:val="20"/>
                <w:color w:val="auto"/>
              </w:rPr>
            </w:pPr>
            <w:r>
              <w:rPr>
                <w:rFonts w:ascii="Arial" w:cs="Arial" w:eastAsia="Arial" w:hAnsi="Arial"/>
                <w:sz w:val="14"/>
                <w:szCs w:val="14"/>
                <w:color w:val="auto"/>
              </w:rPr>
              <w:t>Trugreen Limited</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Arial" w:cs="Arial" w:eastAsia="Arial" w:hAnsi="Arial"/>
                <w:sz w:val="14"/>
                <w:szCs w:val="14"/>
                <w:color w:val="auto"/>
              </w:rPr>
              <w:t>Partnership</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6.50%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4/13/2023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498,750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491,925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502,491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Twin River Management</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Lodging &amp; Casinos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B</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Group, Inc.</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7/10/2020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864,021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865,348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868,886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Univar Inc.</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300" w:type="dxa"/>
            <w:vAlign w:val="bottom"/>
          </w:tcPr>
          <w:p>
            <w:pPr>
              <w:ind w:left="40"/>
              <w:spacing w:after="0" w:line="149" w:lineRule="exact"/>
              <w:rPr>
                <w:sz w:val="20"/>
                <w:szCs w:val="20"/>
                <w:color w:val="auto"/>
              </w:rPr>
            </w:pPr>
            <w:r>
              <w:rPr>
                <w:rFonts w:ascii="Arial" w:cs="Arial" w:eastAsia="Arial" w:hAnsi="Arial"/>
                <w:sz w:val="14"/>
                <w:szCs w:val="14"/>
                <w:color w:val="auto"/>
              </w:rPr>
              <w:t>Term B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3.25%</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7/1/2022</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2,970,000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2,957,757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2,979,296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Univision</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Telecommunications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Replacement First-</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Communications Inc.</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Lien Term Loan</w:t>
            </w: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2,893,389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2,883,224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2,892,347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tcPr>
          <w:p>
            <w:pPr>
              <w:spacing w:after="0" w:line="130" w:lineRule="exact"/>
              <w:rPr>
                <w:sz w:val="20"/>
                <w:szCs w:val="20"/>
                <w:color w:val="auto"/>
              </w:rPr>
            </w:pPr>
            <w:r>
              <w:rPr>
                <w:rFonts w:ascii="Arial" w:cs="Arial" w:eastAsia="Arial" w:hAnsi="Arial"/>
                <w:sz w:val="14"/>
                <w:szCs w:val="14"/>
                <w:color w:val="auto"/>
                <w:w w:val="96"/>
              </w:rPr>
              <w:t>Valeant Pharmaceuticals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Drugs</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w w:val="93"/>
              </w:rPr>
              <w:t>Series D2 Term Loan</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Arial" w:cs="Arial" w:eastAsia="Arial" w:hAnsi="Arial"/>
                <w:sz w:val="14"/>
                <w:szCs w:val="14"/>
                <w:color w:val="auto"/>
              </w:rPr>
              <w:t>International, Inc.</w:t>
            </w:r>
          </w:p>
        </w:tc>
        <w:tc>
          <w:tcPr>
            <w:tcW w:w="182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B</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4.25%</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2/13/2019</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2,468,721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2,460,512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2,445,588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Verint Systems Inc.</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2.75%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3.50%</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9/6/2019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1,008,871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1,006,624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1,014,551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tcPr>
          <w:p>
            <w:pPr>
              <w:spacing w:after="0" w:line="130" w:lineRule="exact"/>
              <w:rPr>
                <w:sz w:val="20"/>
                <w:szCs w:val="20"/>
                <w:color w:val="auto"/>
              </w:rPr>
            </w:pPr>
            <w:r>
              <w:rPr>
                <w:rFonts w:ascii="Arial" w:cs="Arial" w:eastAsia="Arial" w:hAnsi="Arial"/>
                <w:sz w:val="14"/>
                <w:szCs w:val="14"/>
                <w:color w:val="auto"/>
              </w:rPr>
              <w:t>Vistra Operations (Tex</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Exit Term Loan B</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Arial" w:cs="Arial" w:eastAsia="Arial" w:hAnsi="Arial"/>
                <w:sz w:val="14"/>
                <w:szCs w:val="14"/>
                <w:color w:val="auto"/>
                <w:w w:val="98"/>
              </w:rPr>
              <w:t>Operations) Exit T/L B</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8/4/2023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814,286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814,286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821,069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Vistra Operations (Tex</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Exit Term Loan C</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Operations) Exit T/L C</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8/4/2023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185,714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185,714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187,261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Vizient Inc.</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w w:val="93"/>
              </w:rPr>
              <w:t>Healthcare &amp; Pharmaceuticals</w:t>
            </w:r>
          </w:p>
        </w:tc>
        <w:tc>
          <w:tcPr>
            <w:tcW w:w="1300" w:type="dxa"/>
            <w:vAlign w:val="bottom"/>
          </w:tcPr>
          <w:p>
            <w:pPr>
              <w:ind w:left="4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2/13/2023</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879,853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856,015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887,552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Vouvray US Finance</w:t>
            </w:r>
          </w:p>
        </w:tc>
        <w:tc>
          <w:tcPr>
            <w:tcW w:w="18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Industrial Equipment</w:t>
            </w:r>
          </w:p>
        </w:tc>
        <w:tc>
          <w:tcPr>
            <w:tcW w:w="1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6/27/2021</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488,750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487,038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489,566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tcPr>
          <w:p>
            <w:pPr>
              <w:spacing w:after="0" w:line="130" w:lineRule="exact"/>
              <w:rPr>
                <w:sz w:val="20"/>
                <w:szCs w:val="20"/>
                <w:color w:val="auto"/>
              </w:rPr>
            </w:pPr>
            <w:r>
              <w:rPr>
                <w:rFonts w:ascii="Arial" w:cs="Arial" w:eastAsia="Arial" w:hAnsi="Arial"/>
                <w:sz w:val="14"/>
                <w:szCs w:val="14"/>
                <w:color w:val="auto"/>
              </w:rPr>
              <w:t>Washington Inventory</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U.S. Term Loan</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Arial" w:cs="Arial" w:eastAsia="Arial" w:hAnsi="Arial"/>
                <w:sz w:val="14"/>
                <w:szCs w:val="14"/>
                <w:color w:val="auto"/>
              </w:rPr>
              <w:t>Service</w:t>
            </w:r>
          </w:p>
        </w:tc>
        <w:tc>
          <w:tcPr>
            <w:tcW w:w="182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color w:val="auto"/>
              </w:rPr>
              <w:t>(First Lien)</w:t>
            </w: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4.50%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12/20/2018</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1,731,518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1,741,101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1,294,309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Western Digital</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High Tech Industries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 B (USD)</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Corporation</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5/1/2023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1,596,000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1,585,323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1,613,955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tcPr>
          <w:p>
            <w:pPr>
              <w:spacing w:after="0" w:line="130" w:lineRule="exact"/>
              <w:rPr>
                <w:sz w:val="20"/>
                <w:szCs w:val="20"/>
                <w:color w:val="auto"/>
              </w:rPr>
            </w:pPr>
            <w:r>
              <w:rPr>
                <w:rFonts w:ascii="Arial" w:cs="Arial" w:eastAsia="Arial" w:hAnsi="Arial"/>
                <w:sz w:val="14"/>
                <w:szCs w:val="14"/>
                <w:color w:val="auto"/>
              </w:rPr>
              <w:t>Windstream Services,</w:t>
            </w:r>
          </w:p>
        </w:tc>
        <w:tc>
          <w:tcPr>
            <w:tcW w:w="1820" w:type="dxa"/>
            <w:vAlign w:val="bottom"/>
          </w:tcPr>
          <w:p>
            <w:pPr>
              <w:ind w:left="40"/>
              <w:spacing w:after="0" w:line="130" w:lineRule="exact"/>
              <w:rPr>
                <w:sz w:val="20"/>
                <w:szCs w:val="20"/>
                <w:color w:val="auto"/>
              </w:rPr>
            </w:pPr>
            <w:r>
              <w:rPr>
                <w:rFonts w:ascii="Arial" w:cs="Arial" w:eastAsia="Arial" w:hAnsi="Arial"/>
                <w:sz w:val="14"/>
                <w:szCs w:val="14"/>
                <w:color w:val="auto"/>
              </w:rPr>
              <w:t>Telecommunications</w:t>
            </w:r>
          </w:p>
        </w:tc>
        <w:tc>
          <w:tcPr>
            <w:tcW w:w="1300" w:type="dxa"/>
            <w:vAlign w:val="bottom"/>
          </w:tcPr>
          <w:p>
            <w:pPr>
              <w:ind w:left="40"/>
              <w:spacing w:after="0" w:line="130" w:lineRule="exact"/>
              <w:rPr>
                <w:sz w:val="20"/>
                <w:szCs w:val="20"/>
                <w:color w:val="auto"/>
              </w:rPr>
            </w:pPr>
            <w:r>
              <w:rPr>
                <w:rFonts w:ascii="Arial" w:cs="Arial" w:eastAsia="Arial" w:hAnsi="Arial"/>
                <w:sz w:val="14"/>
                <w:szCs w:val="14"/>
                <w:color w:val="auto"/>
              </w:rPr>
              <w:t>Term Loan B6</w:t>
            </w:r>
          </w:p>
        </w:tc>
        <w:tc>
          <w:tcPr>
            <w:tcW w:w="520" w:type="dxa"/>
            <w:vAlign w:val="bottom"/>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Arial" w:cs="Arial" w:eastAsia="Arial" w:hAnsi="Arial"/>
                <w:sz w:val="14"/>
                <w:szCs w:val="14"/>
                <w:color w:val="auto"/>
              </w:rPr>
              <w:t>LLC</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3/29/2021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990,071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1,001,000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Xerox Business Services</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T/L B (Conduent)</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11/22/2023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487,536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Arial" w:cs="Arial" w:eastAsia="Arial" w:hAnsi="Arial"/>
                <w:sz w:val="14"/>
                <w:szCs w:val="14"/>
                <w:color w:val="auto"/>
              </w:rPr>
              <w:t>ZEP, Inc.</w:t>
            </w:r>
          </w:p>
        </w:tc>
        <w:tc>
          <w:tcPr>
            <w:tcW w:w="182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300" w:type="dxa"/>
            <w:vAlign w:val="bottom"/>
          </w:tcPr>
          <w:p>
            <w:pPr>
              <w:ind w:left="40"/>
              <w:spacing w:after="0" w:line="149" w:lineRule="exact"/>
              <w:rPr>
                <w:sz w:val="20"/>
                <w:szCs w:val="20"/>
                <w:color w:val="auto"/>
              </w:rPr>
            </w:pPr>
            <w:r>
              <w:rPr>
                <w:rFonts w:ascii="Arial" w:cs="Arial" w:eastAsia="Arial" w:hAnsi="Arial"/>
                <w:sz w:val="14"/>
                <w:szCs w:val="14"/>
                <w:color w:val="auto"/>
              </w:rPr>
              <w:t>Term Loan B</w:t>
            </w:r>
          </w:p>
        </w:tc>
        <w:tc>
          <w:tcPr>
            <w:tcW w:w="520" w:type="dxa"/>
            <w:vAlign w:val="bottom"/>
          </w:tcPr>
          <w:p>
            <w:pPr>
              <w:ind w:left="4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4.00%</w:t>
            </w:r>
          </w:p>
        </w:tc>
        <w:tc>
          <w:tcPr>
            <w:tcW w:w="6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tcPr>
          <w:p>
            <w:pPr>
              <w:jc w:val="right"/>
              <w:ind w:right="88"/>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6/27/2022</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2,962,500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2,950,232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2,973,609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Zest Holdings 1st Lien</w:t>
            </w:r>
          </w:p>
        </w:tc>
        <w:tc>
          <w:tcPr>
            <w:tcW w:w="18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3"/>
              </w:rPr>
              <w:t>Healthcare &amp; Pharmaceuticals</w:t>
            </w:r>
          </w:p>
        </w:tc>
        <w:tc>
          <w:tcPr>
            <w:tcW w:w="13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T/L (2014</w:t>
            </w:r>
          </w:p>
        </w:tc>
        <w:tc>
          <w:tcPr>
            <w:tcW w:w="18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Replacement)</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4.75%</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5.75%</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8/17/2020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995,127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1,002,500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298,082,915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289,998,852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5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Cash and cash</w:t>
            </w:r>
          </w:p>
        </w:tc>
        <w:tc>
          <w:tcPr>
            <w:tcW w:w="1820" w:type="dxa"/>
            <w:vAlign w:val="bottom"/>
            <w:tcBorders>
              <w:top w:val="single" w:sz="8" w:color="CCEEFF"/>
            </w:tcBorders>
            <w:shd w:val="clear" w:color="auto" w:fill="CCEEFF"/>
          </w:tcPr>
          <w:p>
            <w:pPr>
              <w:spacing w:after="0"/>
              <w:rPr>
                <w:sz w:val="9"/>
                <w:szCs w:val="9"/>
                <w:color w:val="auto"/>
              </w:rPr>
            </w:pPr>
          </w:p>
        </w:tc>
        <w:tc>
          <w:tcPr>
            <w:tcW w:w="13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equivalents</w:t>
            </w:r>
          </w:p>
        </w:tc>
        <w:tc>
          <w:tcPr>
            <w:tcW w:w="18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tcPr>
          <w:p>
            <w:pPr>
              <w:spacing w:after="0" w:line="130" w:lineRule="exact"/>
              <w:rPr>
                <w:sz w:val="20"/>
                <w:szCs w:val="20"/>
                <w:color w:val="auto"/>
              </w:rPr>
            </w:pPr>
            <w:r>
              <w:rPr>
                <w:rFonts w:ascii="Arial" w:cs="Arial" w:eastAsia="Arial" w:hAnsi="Arial"/>
                <w:sz w:val="14"/>
                <w:szCs w:val="14"/>
                <w:color w:val="auto"/>
                <w:w w:val="96"/>
              </w:rPr>
              <w:t>U.S. Bank Money Market</w:t>
            </w:r>
          </w:p>
        </w:tc>
        <w:tc>
          <w:tcPr>
            <w:tcW w:w="1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tcPr>
          <w:p>
            <w:pPr>
              <w:ind w:left="140"/>
              <w:spacing w:after="0"/>
              <w:rPr>
                <w:sz w:val="20"/>
                <w:szCs w:val="20"/>
                <w:color w:val="auto"/>
              </w:rPr>
            </w:pPr>
            <w:r>
              <w:rPr>
                <w:rFonts w:ascii="Arial" w:cs="Arial" w:eastAsia="Arial" w:hAnsi="Arial"/>
                <w:sz w:val="14"/>
                <w:szCs w:val="14"/>
                <w:color w:val="auto"/>
              </w:rPr>
              <w:t>(a)</w:t>
            </w: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16,002,200</w:t>
            </w:r>
          </w:p>
        </w:tc>
        <w:tc>
          <w:tcPr>
            <w:tcW w:w="8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16,002,200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16,002,200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w:t>
            </w:r>
          </w:p>
        </w:tc>
        <w:tc>
          <w:tcPr>
            <w:tcW w:w="1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16,002,200</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9"/>
              </w:rPr>
              <w:t>16,002,200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16,002,200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20" w:right="2080" w:hanging="5612"/>
        <w:spacing w:after="0" w:line="449" w:lineRule="auto"/>
        <w:tabs>
          <w:tab w:leader="none" w:pos="38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within cash and cash equivalents in Saratoga CLO’s Statements of Assets and Liabilities as of November 30, 2016. 23</w:t>
      </w:r>
    </w:p>
    <w:p>
      <w:pPr>
        <w:sectPr>
          <w:pgSz w:w="11900" w:h="16838" w:orient="portrait"/>
          <w:cols w:equalWidth="0" w:num="1">
            <w:col w:w="11420"/>
          </w:cols>
          <w:pgMar w:left="240" w:top="108"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29,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Asset</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LIBOR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Current</w:t>
            </w: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Principal/</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8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Industry</w:t>
            </w: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Asset Name</w:t>
            </w:r>
          </w:p>
        </w:tc>
        <w:tc>
          <w:tcPr>
            <w:tcW w:w="580" w:type="dxa"/>
            <w:vAlign w:val="bottom"/>
            <w:gridSpan w:val="2"/>
            <w:vMerge w:val="continue"/>
          </w:tcPr>
          <w:p>
            <w:pPr>
              <w:spacing w:after="0"/>
              <w:rPr>
                <w:sz w:val="12"/>
                <w:szCs w:val="12"/>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8"/>
              </w:rPr>
              <w:t>Spread</w:t>
            </w:r>
          </w:p>
        </w:tc>
        <w:tc>
          <w:tcPr>
            <w:tcW w:w="700" w:type="dxa"/>
            <w:vAlign w:val="bottom"/>
            <w:gridSpan w:val="2"/>
            <w:vMerge w:val="continue"/>
          </w:tcPr>
          <w:p>
            <w:pPr>
              <w:spacing w:after="0"/>
              <w:rPr>
                <w:sz w:val="12"/>
                <w:szCs w:val="12"/>
                <w:color w:val="auto"/>
              </w:rPr>
            </w:pPr>
          </w:p>
        </w:tc>
        <w:tc>
          <w:tcPr>
            <w:tcW w:w="5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PIK</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Rate</w:t>
            </w: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56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Type</w:t>
            </w:r>
          </w:p>
        </w:tc>
        <w:tc>
          <w:tcPr>
            <w:tcW w:w="680" w:type="dxa"/>
            <w:vAlign w:val="bottom"/>
            <w:gridSpan w:val="2"/>
            <w:vMerge w:val="continue"/>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Floor</w:t>
            </w:r>
          </w:p>
        </w:tc>
        <w:tc>
          <w:tcPr>
            <w:tcW w:w="520" w:type="dxa"/>
            <w:vAlign w:val="bottom"/>
            <w:gridSpan w:val="2"/>
            <w:vMerge w:val="continue"/>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(All In)</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of Shares</w:t>
            </w: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Education</w:t>
            </w:r>
          </w:p>
        </w:tc>
        <w:tc>
          <w:tcPr>
            <w:tcW w:w="78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3"/>
                <w:szCs w:val="13"/>
                <w:color w:val="auto"/>
              </w:rPr>
              <w:t>Management</w:t>
            </w:r>
          </w:p>
        </w:tc>
        <w:tc>
          <w:tcPr>
            <w:tcW w:w="17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Leisure</w:t>
            </w:r>
          </w:p>
        </w:tc>
        <w:tc>
          <w:tcPr>
            <w:tcW w:w="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A-1 Preferred</w:t>
            </w: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ind w:left="40"/>
              <w:spacing w:after="0" w:line="115" w:lineRule="exact"/>
              <w:rPr>
                <w:sz w:val="20"/>
                <w:szCs w:val="20"/>
                <w:color w:val="auto"/>
              </w:rPr>
            </w:pPr>
            <w:r>
              <w:rPr>
                <w:rFonts w:ascii="Arial" w:cs="Arial" w:eastAsia="Arial" w:hAnsi="Arial"/>
                <w:sz w:val="13"/>
                <w:szCs w:val="13"/>
                <w:color w:val="auto"/>
              </w:rPr>
              <w:t>Equity</w:t>
            </w:r>
          </w:p>
        </w:tc>
        <w:tc>
          <w:tcPr>
            <w:tcW w:w="1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II, LLC</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Goods/Activities/Movies</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6,692</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669,214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rPr>
              <w:t>Education Management</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Leisure</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A-2 Preferred</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Equity</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tcPr>
          <w:p>
            <w:pPr>
              <w:ind w:left="160"/>
              <w:spacing w:after="0"/>
              <w:rPr>
                <w:sz w:val="20"/>
                <w:szCs w:val="20"/>
                <w:color w:val="auto"/>
              </w:rPr>
            </w:pPr>
            <w:r>
              <w:rPr>
                <w:rFonts w:ascii="Arial" w:cs="Arial" w:eastAsia="Arial" w:hAnsi="Arial"/>
                <w:sz w:val="14"/>
                <w:szCs w:val="14"/>
                <w:color w:val="auto"/>
              </w:rPr>
              <w:t>II, LLC</w:t>
            </w:r>
          </w:p>
        </w:tc>
        <w:tc>
          <w:tcPr>
            <w:tcW w:w="1860" w:type="dxa"/>
            <w:vAlign w:val="bottom"/>
            <w:gridSpan w:val="2"/>
          </w:tcPr>
          <w:p>
            <w:pPr>
              <w:spacing w:after="0"/>
              <w:rPr>
                <w:sz w:val="20"/>
                <w:szCs w:val="20"/>
                <w:color w:val="auto"/>
              </w:rPr>
            </w:pPr>
            <w:r>
              <w:rPr>
                <w:rFonts w:ascii="Arial" w:cs="Arial" w:eastAsia="Arial" w:hAnsi="Arial"/>
                <w:sz w:val="14"/>
                <w:szCs w:val="14"/>
                <w:color w:val="auto"/>
              </w:rPr>
              <w:t>Goods/Activities/Movies</w:t>
            </w:r>
          </w:p>
        </w:tc>
        <w:tc>
          <w:tcPr>
            <w:tcW w:w="1260" w:type="dxa"/>
            <w:vAlign w:val="bottom"/>
            <w:gridSpan w:val="2"/>
          </w:tcPr>
          <w:p>
            <w:pPr>
              <w:spacing w:after="0"/>
              <w:rPr>
                <w:sz w:val="20"/>
                <w:szCs w:val="20"/>
                <w:color w:val="auto"/>
              </w:rPr>
            </w:pPr>
            <w:r>
              <w:rPr>
                <w:rFonts w:ascii="Arial" w:cs="Arial" w:eastAsia="Arial" w:hAnsi="Arial"/>
                <w:sz w:val="14"/>
                <w:szCs w:val="14"/>
                <w:color w:val="auto"/>
              </w:rPr>
              <w:t>Shares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0.00%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18,975</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1,897,538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New Millennium Holdco,</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7"/>
              </w:rPr>
              <w:t>Healthcare &amp; Pharmaceuticals</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Equity</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14,813</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964,466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190,095</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rPr>
              <w:t>24 Hour Holdings III,</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Leisure</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tcPr>
          <w:p>
            <w:pPr>
              <w:ind w:left="160"/>
              <w:spacing w:after="0"/>
              <w:rPr>
                <w:sz w:val="20"/>
                <w:szCs w:val="20"/>
                <w:color w:val="auto"/>
              </w:rPr>
            </w:pPr>
            <w:r>
              <w:rPr>
                <w:rFonts w:ascii="Arial" w:cs="Arial" w:eastAsia="Arial" w:hAnsi="Arial"/>
                <w:sz w:val="14"/>
                <w:szCs w:val="14"/>
                <w:color w:val="auto"/>
              </w:rPr>
              <w:t>LLC</w:t>
            </w:r>
          </w:p>
        </w:tc>
        <w:tc>
          <w:tcPr>
            <w:tcW w:w="1860" w:type="dxa"/>
            <w:vAlign w:val="bottom"/>
            <w:gridSpan w:val="2"/>
          </w:tcPr>
          <w:p>
            <w:pPr>
              <w:spacing w:after="0"/>
              <w:rPr>
                <w:sz w:val="20"/>
                <w:szCs w:val="20"/>
                <w:color w:val="auto"/>
              </w:rPr>
            </w:pPr>
            <w:r>
              <w:rPr>
                <w:rFonts w:ascii="Arial" w:cs="Arial" w:eastAsia="Arial" w:hAnsi="Arial"/>
                <w:sz w:val="14"/>
                <w:szCs w:val="14"/>
                <w:color w:val="auto"/>
              </w:rPr>
              <w:t>Goods/Activities/Movies</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3.75%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4.75%</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5/28/2021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492,500</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488,586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455,154</w:t>
            </w:r>
          </w:p>
        </w:tc>
        <w:tc>
          <w:tcPr>
            <w:tcW w:w="0" w:type="dxa"/>
            <w:vAlign w:val="bottom"/>
          </w:tcPr>
          <w:p>
            <w:pPr>
              <w:spacing w:after="0"/>
              <w:rPr>
                <w:sz w:val="1"/>
                <w:szCs w:val="1"/>
                <w:color w:val="auto"/>
              </w:rPr>
            </w:pPr>
          </w:p>
        </w:tc>
      </w:tr>
      <w:tr>
        <w:trPr>
          <w:trHeight w:val="149"/>
        </w:trPr>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Acosta Holdco, Inc.</w:t>
            </w: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Media</w:t>
            </w:r>
          </w:p>
        </w:tc>
        <w:tc>
          <w:tcPr>
            <w:tcW w:w="1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B1</w:t>
            </w: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3.25%</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4.25%</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9/26/2021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9"/>
              </w:rPr>
              <w:t>1,972,936</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1,959,834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1,855,389</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rPr>
              <w:t>Aspen Dental</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w w:val="97"/>
              </w:rPr>
              <w:t>Healthcare &amp; Pharmaceuticals</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Term Loan Initial</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tcPr>
          <w:p>
            <w:pPr>
              <w:ind w:left="160"/>
              <w:spacing w:after="0"/>
              <w:rPr>
                <w:sz w:val="20"/>
                <w:szCs w:val="20"/>
                <w:color w:val="auto"/>
              </w:rPr>
            </w:pPr>
            <w:r>
              <w:rPr>
                <w:rFonts w:ascii="Arial" w:cs="Arial" w:eastAsia="Arial" w:hAnsi="Arial"/>
                <w:sz w:val="14"/>
                <w:szCs w:val="14"/>
                <w:color w:val="auto"/>
              </w:rPr>
              <w:t>Management, Inc.</w:t>
            </w: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4.50%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5.50%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4/29/2022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497,500</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495,228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495,221</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Advantage Sales &amp;</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Services: Business</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Delayed Draw Term</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Marketing, Inc.</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7/25/2021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2,471,231</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2,468,039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2,342,826</w:t>
            </w: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Agrofresh, Inc.</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Food Services</w:t>
            </w: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4.75%</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5.75%</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7/30/2021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1,990,000</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1,980,704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1,935,275</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Aegis Toxicology</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7"/>
              </w:rPr>
              <w:t>Healthcare &amp; Pharmaceuticals</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B Loan</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Science Corporation</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2/24/2021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985,000</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985,000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797,850</w:t>
            </w: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Akorn, Inc.</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w w:val="97"/>
              </w:rPr>
              <w:t>Healthcare &amp; Pharmaceuticals</w:t>
            </w: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6.00%</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4/16/2021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398,056</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396,681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396,066</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Albertson’s LLC</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Retailers (Except Food and</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B-4</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Drugs)</w:t>
            </w: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8/25/2021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3,384,425</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3,367,410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3,302,623</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rPr>
              <w:t>Alere Inc. (fka IM US</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w w:val="97"/>
              </w:rPr>
              <w:t>Healthcare &amp; Pharmaceuticals</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tcPr>
          <w:p>
            <w:pPr>
              <w:ind w:left="160"/>
              <w:spacing w:after="0"/>
              <w:rPr>
                <w:sz w:val="20"/>
                <w:szCs w:val="20"/>
                <w:color w:val="auto"/>
              </w:rPr>
            </w:pPr>
            <w:r>
              <w:rPr>
                <w:rFonts w:ascii="Arial" w:cs="Arial" w:eastAsia="Arial" w:hAnsi="Arial"/>
                <w:sz w:val="14"/>
                <w:szCs w:val="14"/>
                <w:color w:val="auto"/>
              </w:rPr>
              <w:t>Holdings, LLC)</w:t>
            </w: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3.25%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4.25%</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6/20/2022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927,265</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925,091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925,365</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Alion Science and</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High Tech Industries</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B (First</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Technology</w:t>
            </w:r>
          </w:p>
        </w:tc>
        <w:tc>
          <w:tcPr>
            <w:tcW w:w="1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Lien)</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8/19/2021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2,985,000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2,971,074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2,824,555</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rPr>
              <w:t>Alliance Healthcare</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w w:val="97"/>
              </w:rPr>
              <w:t>Healthcare &amp; Pharmaceuticals</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tcPr>
          <w:p>
            <w:pPr>
              <w:ind w:left="160"/>
              <w:spacing w:after="0"/>
              <w:rPr>
                <w:sz w:val="20"/>
                <w:szCs w:val="20"/>
                <w:color w:val="auto"/>
              </w:rPr>
            </w:pPr>
            <w:r>
              <w:rPr>
                <w:rFonts w:ascii="Arial" w:cs="Arial" w:eastAsia="Arial" w:hAnsi="Arial"/>
                <w:sz w:val="14"/>
                <w:szCs w:val="14"/>
                <w:color w:val="auto"/>
              </w:rPr>
              <w:t>Services, Inc.</w:t>
            </w: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3.25%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4.25%</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6/3/2019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994,856</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990,161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906,981</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Alliant Holdings I, LLC</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Banking, Finance, Insurance</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B (First</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&amp; Real Estate</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8/12/2022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995,000</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992,679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960,921</w:t>
            </w: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Alvogen Pharma US, Inc</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w w:val="97"/>
              </w:rPr>
              <w:t>Healthcare &amp; Pharmaceuticals</w:t>
            </w: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6.00%</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4/4/2022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480,447</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478,240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456,425</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Beacon</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Financial Intermediaries</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(First</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Advisors, Inc.</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4/30/2022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248,749</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247,612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244,190</w:t>
            </w: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Aramark Corporation</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Food Products</w:t>
            </w: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LC-2 Facility</w:t>
            </w: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0.62%</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4.12%</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7/26/2016</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9,447</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9,305</w:t>
            </w:r>
          </w:p>
        </w:tc>
        <w:tc>
          <w:tcPr>
            <w:tcW w:w="0" w:type="dxa"/>
            <w:vAlign w:val="bottom"/>
          </w:tcPr>
          <w:p>
            <w:pPr>
              <w:spacing w:after="0"/>
              <w:rPr>
                <w:sz w:val="1"/>
                <w:szCs w:val="1"/>
                <w:color w:val="auto"/>
              </w:rPr>
            </w:pPr>
          </w:p>
        </w:tc>
      </w:tr>
      <w:tr>
        <w:trPr>
          <w:trHeight w:val="149"/>
        </w:trPr>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Food Products</w:t>
            </w:r>
          </w:p>
        </w:tc>
        <w:tc>
          <w:tcPr>
            <w:tcW w:w="1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LC-3 Facility</w:t>
            </w: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0.62%</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4.12%</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7/26/2016</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5,244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5,244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5,166</w:t>
            </w: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Aramark Corporation</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Food Products</w:t>
            </w: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U.S. Term F Loan</w:t>
            </w: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0.75%</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3.25%</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2/24/2021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3,150,423</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3,150,423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3,126,133</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Asurion, LLC (fka</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Insurance</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Incremental Tranche</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Asurion Corporation)</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B-1 Term Loan</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5/24/2019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2,596,480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2,573,245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2,441,237</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rPr>
              <w:t>Asurion, LLC (fka</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Insurance</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w w:val="99"/>
              </w:rPr>
              <w:t>Term Loan B4 (First</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tcPr>
          <w:p>
            <w:pPr>
              <w:ind w:left="160"/>
              <w:spacing w:after="0"/>
              <w:rPr>
                <w:sz w:val="20"/>
                <w:szCs w:val="20"/>
                <w:color w:val="auto"/>
              </w:rPr>
            </w:pPr>
            <w:r>
              <w:rPr>
                <w:rFonts w:ascii="Arial" w:cs="Arial" w:eastAsia="Arial" w:hAnsi="Arial"/>
                <w:sz w:val="14"/>
                <w:szCs w:val="14"/>
                <w:color w:val="auto"/>
              </w:rPr>
              <w:t>Asurion Corporation)</w:t>
            </w: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Lien)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5.00%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8/4/2022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2,478,125</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2,466,303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2,270,582</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Auction.com, LLC</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Banking, Finance, Insurance</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&amp; Real Estate</w:t>
            </w: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5/13/2019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2,522,992</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2,522,722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2,491,455</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rPr>
              <w:t>Avantor Performance</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Chemicals/Plastics</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Materials Holdings,</w:t>
            </w: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60" w:type="dxa"/>
            <w:vAlign w:val="bottom"/>
            <w:gridSpan w:val="2"/>
          </w:tcPr>
          <w:p>
            <w:pPr>
              <w:ind w:left="160"/>
              <w:spacing w:after="0"/>
              <w:rPr>
                <w:sz w:val="20"/>
                <w:szCs w:val="20"/>
                <w:color w:val="auto"/>
              </w:rPr>
            </w:pPr>
            <w:r>
              <w:rPr>
                <w:rFonts w:ascii="Arial" w:cs="Arial" w:eastAsia="Arial" w:hAnsi="Arial"/>
                <w:sz w:val="14"/>
                <w:szCs w:val="14"/>
                <w:color w:val="auto"/>
              </w:rPr>
              <w:t>Inc.</w:t>
            </w: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1.25%</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5.25%</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6/24/2017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2,156,953</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2,153,896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2,135,384</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Bass Pro Group, LLC</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Retailers (Except Food and</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Drugs)</w:t>
            </w: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0.75%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6/5/2020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1,488,750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1,485,895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1,397,564</w:t>
            </w: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Belmond Interfin Ltd.</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Lodging &amp; Casinos</w:t>
            </w: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3/19/2021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491,249</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489,361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477,127</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Berry Plastics</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Chemicals/Plastics</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E Loan</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1/6/2021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1,314,499</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1,305,069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1,291,903</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rPr>
              <w:t>BJ’s Wholesale Club,</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Food/Drug Retailers</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New 2013</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Inc.</w:t>
            </w: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(November)</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Replacement Loan</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(First Lien)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3.50%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4.50%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9/26/2019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1,476,196</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1,475,409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1,401,161</w:t>
            </w:r>
          </w:p>
        </w:tc>
        <w:tc>
          <w:tcPr>
            <w:tcW w:w="0" w:type="dxa"/>
            <w:vAlign w:val="bottom"/>
          </w:tcPr>
          <w:p>
            <w:pPr>
              <w:spacing w:after="0"/>
              <w:rPr>
                <w:sz w:val="1"/>
                <w:szCs w:val="1"/>
                <w:color w:val="auto"/>
              </w:rPr>
            </w:pPr>
          </w:p>
        </w:tc>
      </w:tr>
      <w:tr>
        <w:trPr>
          <w:trHeight w:val="149"/>
        </w:trPr>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Blue Coat Systems</w:t>
            </w: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Technology</w:t>
            </w:r>
          </w:p>
        </w:tc>
        <w:tc>
          <w:tcPr>
            <w:tcW w:w="1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4.50%</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5/20/2022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997,500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995,159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945,131</w:t>
            </w: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BMC Software</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Technology</w:t>
            </w: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9/10/2020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9"/>
              </w:rPr>
              <w:t>1,979,798</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1,926,080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1,571,821</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Brickman Group</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Brokers/Dealers/Investment</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Initial Term Loan</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Holdings, Inc.</w:t>
            </w:r>
          </w:p>
        </w:tc>
        <w:tc>
          <w:tcPr>
            <w:tcW w:w="1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Houses</w:t>
            </w: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 Lien)</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12/18/2020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1,476,212</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1,464,327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1,426,390</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rPr>
              <w:t>Brock Holdings III, Inc.</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Industrial Equipment</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Term Loan (First</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Lien)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4.50%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1.50%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6.00%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3/16/2017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1,917,168</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1,924,101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1,802,138</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Burlington Coat Factory</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Retailers (Except Food and</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B-2 Loan</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Warehouse</w:t>
            </w:r>
          </w:p>
        </w:tc>
        <w:tc>
          <w:tcPr>
            <w:tcW w:w="1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Drugs)</w:t>
            </w: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8/13/2021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1,861,667</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1,853,426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1,845,843</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rPr>
              <w:t>BWAY Holding</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Leisure</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tcPr>
          <w:p>
            <w:pPr>
              <w:ind w:left="160"/>
              <w:spacing w:after="0"/>
              <w:rPr>
                <w:sz w:val="20"/>
                <w:szCs w:val="20"/>
                <w:color w:val="auto"/>
              </w:rPr>
            </w:pPr>
            <w:r>
              <w:rPr>
                <w:rFonts w:ascii="Arial" w:cs="Arial" w:eastAsia="Arial" w:hAnsi="Arial"/>
                <w:sz w:val="14"/>
                <w:szCs w:val="14"/>
                <w:color w:val="auto"/>
              </w:rPr>
              <w:t>Company</w:t>
            </w:r>
          </w:p>
        </w:tc>
        <w:tc>
          <w:tcPr>
            <w:tcW w:w="1860" w:type="dxa"/>
            <w:vAlign w:val="bottom"/>
            <w:gridSpan w:val="2"/>
          </w:tcPr>
          <w:p>
            <w:pPr>
              <w:spacing w:after="0"/>
              <w:rPr>
                <w:sz w:val="20"/>
                <w:szCs w:val="20"/>
                <w:color w:val="auto"/>
              </w:rPr>
            </w:pPr>
            <w:r>
              <w:rPr>
                <w:rFonts w:ascii="Arial" w:cs="Arial" w:eastAsia="Arial" w:hAnsi="Arial"/>
                <w:sz w:val="14"/>
                <w:szCs w:val="14"/>
                <w:color w:val="auto"/>
              </w:rPr>
              <w:t>Goods/Activities/Movies</w:t>
            </w: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4.50%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5.50%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8/14/2020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985,000</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976,335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930,826</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Caesars Entertainment</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Lodging &amp; Casinos</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B-7 Loan</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3/1/2017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995,000</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991,037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814,656</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rPr>
              <w:t>Camp International</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Aerospace and Defense</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2013 Replacement</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Holding Company</w:t>
            </w: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Term Loan (First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color w:val="auto"/>
              </w:rPr>
              <w:t>Lien)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3.75%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4.75%</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5/31/2019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1,940,113</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1,940,984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1,806,730</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Capital Automotive L.P.</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Conglomerate</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Tranche B-1 Term</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 Facility</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4/10/2019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2,051,828</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2,055,060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2,044,564</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rPr>
              <w:t>Catalent Pharma</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Drugs</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Initial Term B Loan</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tcPr>
          <w:p>
            <w:pPr>
              <w:ind w:left="160"/>
              <w:spacing w:after="0"/>
              <w:rPr>
                <w:sz w:val="20"/>
                <w:szCs w:val="20"/>
                <w:color w:val="auto"/>
              </w:rPr>
            </w:pPr>
            <w:r>
              <w:rPr>
                <w:rFonts w:ascii="Arial" w:cs="Arial" w:eastAsia="Arial" w:hAnsi="Arial"/>
                <w:sz w:val="14"/>
                <w:szCs w:val="14"/>
                <w:color w:val="auto"/>
              </w:rPr>
              <w:t>Solutions, Inc</w:t>
            </w: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3.25%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4.25%</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5/20/2021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492,501</w:t>
            </w:r>
          </w:p>
        </w:tc>
        <w:tc>
          <w:tcPr>
            <w:tcW w:w="1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490,549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487,271</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Cengage Learning</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Publishing</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Acquisitions, Inc.</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3/31/2020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2,647,871</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2,670,807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2,539,758</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w w:val="99"/>
              </w:rPr>
              <w:t>Charter Communications</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w w:val="99"/>
              </w:rPr>
              <w:t>Cable and Satellite Television</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Term F Loan</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tcPr>
          <w:p>
            <w:pPr>
              <w:ind w:left="160"/>
              <w:spacing w:after="0"/>
              <w:rPr>
                <w:sz w:val="20"/>
                <w:szCs w:val="20"/>
                <w:color w:val="auto"/>
              </w:rPr>
            </w:pPr>
            <w:r>
              <w:rPr>
                <w:rFonts w:ascii="Arial" w:cs="Arial" w:eastAsia="Arial" w:hAnsi="Arial"/>
                <w:sz w:val="14"/>
                <w:szCs w:val="14"/>
                <w:color w:val="auto"/>
              </w:rPr>
              <w:t>Operating, LLC</w:t>
            </w: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2.25%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0.75%</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3.00%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12/31/2020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2,628,783</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2,621,343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2,566,823</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CHS/Community Health</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7"/>
              </w:rPr>
              <w:t>Healthcare &amp; Pharmaceuticals</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G Loan</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Systems, Inc.</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12/31/2019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1,022,569</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994,876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974,212</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rPr>
              <w:t>CHS/Community Health</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w w:val="97"/>
              </w:rPr>
              <w:t>Healthcare &amp; Pharmaceuticals</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Term H Loan</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tcPr>
          <w:p>
            <w:pPr>
              <w:ind w:left="160"/>
              <w:spacing w:after="0"/>
              <w:rPr>
                <w:sz w:val="20"/>
                <w:szCs w:val="20"/>
                <w:color w:val="auto"/>
              </w:rPr>
            </w:pPr>
            <w:r>
              <w:rPr>
                <w:rFonts w:ascii="Arial" w:cs="Arial" w:eastAsia="Arial" w:hAnsi="Arial"/>
                <w:sz w:val="14"/>
                <w:szCs w:val="14"/>
                <w:color w:val="auto"/>
              </w:rPr>
              <w:t>Systems, Inc.</w:t>
            </w: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4.00%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1/27/2021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1,881,500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1,828,566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1,785,920</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Cinedigm Digital</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Services: Business</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Funding I, LLC</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2/28/2018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298,828</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297,362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295,840</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rPr>
              <w:t>CITGO Petroleum</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rPr>
              <w:t>Oil &amp; Gas</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3.50%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4.50%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7/29/2021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1,984,975</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1,962,423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1,865,876</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Communications Sales &amp;</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Telecommunications</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B (First</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Leasing, Inc.</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10/24/2022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1,990,000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1,978,594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1,847,596</w:t>
            </w: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line="149" w:lineRule="exact"/>
              <w:rPr>
                <w:sz w:val="20"/>
                <w:szCs w:val="20"/>
                <w:color w:val="auto"/>
              </w:rPr>
            </w:pPr>
            <w:r>
              <w:rPr>
                <w:rFonts w:ascii="Arial" w:cs="Arial" w:eastAsia="Arial" w:hAnsi="Arial"/>
                <w:sz w:val="14"/>
                <w:szCs w:val="14"/>
                <w:color w:val="auto"/>
              </w:rPr>
              <w:t>CommScope, Inc.</w:t>
            </w:r>
          </w:p>
        </w:tc>
        <w:tc>
          <w:tcPr>
            <w:tcW w:w="1860" w:type="dxa"/>
            <w:vAlign w:val="bottom"/>
            <w:gridSpan w:val="2"/>
          </w:tcPr>
          <w:p>
            <w:pPr>
              <w:spacing w:after="0" w:line="149" w:lineRule="exact"/>
              <w:rPr>
                <w:sz w:val="20"/>
                <w:szCs w:val="20"/>
                <w:color w:val="auto"/>
              </w:rPr>
            </w:pPr>
            <w:r>
              <w:rPr>
                <w:rFonts w:ascii="Arial" w:cs="Arial" w:eastAsia="Arial" w:hAnsi="Arial"/>
                <w:sz w:val="14"/>
                <w:szCs w:val="14"/>
                <w:color w:val="auto"/>
              </w:rPr>
              <w:t>Telecommunications</w:t>
            </w: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Loan</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0.75%</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3.75%</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12/29/2022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498,750</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497,568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494,176</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Consolidated Aerospace</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Aerospace and Defense</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(First</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Manufacturing, LLC</w:t>
            </w: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8/11/2022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1,437,500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1,430,556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1,329,688</w:t>
            </w:r>
          </w:p>
        </w:tc>
        <w:tc>
          <w:tcPr>
            <w:tcW w:w="0" w:type="dxa"/>
            <w:vAlign w:val="bottom"/>
          </w:tcPr>
          <w:p>
            <w:pPr>
              <w:spacing w:after="0"/>
              <w:rPr>
                <w:sz w:val="1"/>
                <w:szCs w:val="1"/>
                <w:color w:val="auto"/>
              </w:rPr>
            </w:pPr>
          </w:p>
        </w:tc>
      </w:tr>
      <w:tr>
        <w:trPr>
          <w:trHeight w:val="130"/>
        </w:trPr>
        <w:tc>
          <w:tcPr>
            <w:tcW w:w="1560" w:type="dxa"/>
            <w:vAlign w:val="bottom"/>
            <w:gridSpan w:val="2"/>
          </w:tcPr>
          <w:p>
            <w:pPr>
              <w:spacing w:after="0" w:line="130" w:lineRule="exact"/>
              <w:rPr>
                <w:sz w:val="20"/>
                <w:szCs w:val="20"/>
                <w:color w:val="auto"/>
              </w:rPr>
            </w:pPr>
            <w:r>
              <w:rPr>
                <w:rFonts w:ascii="Arial" w:cs="Arial" w:eastAsia="Arial" w:hAnsi="Arial"/>
                <w:sz w:val="14"/>
                <w:szCs w:val="14"/>
                <w:color w:val="auto"/>
              </w:rPr>
              <w:t>Concordia Healthcare</w:t>
            </w:r>
          </w:p>
        </w:tc>
        <w:tc>
          <w:tcPr>
            <w:tcW w:w="1860" w:type="dxa"/>
            <w:vAlign w:val="bottom"/>
            <w:gridSpan w:val="2"/>
          </w:tcPr>
          <w:p>
            <w:pPr>
              <w:spacing w:after="0" w:line="130" w:lineRule="exact"/>
              <w:rPr>
                <w:sz w:val="20"/>
                <w:szCs w:val="20"/>
                <w:color w:val="auto"/>
              </w:rPr>
            </w:pPr>
            <w:r>
              <w:rPr>
                <w:rFonts w:ascii="Arial" w:cs="Arial" w:eastAsia="Arial" w:hAnsi="Arial"/>
                <w:sz w:val="14"/>
                <w:szCs w:val="14"/>
                <w:color w:val="auto"/>
                <w:w w:val="97"/>
              </w:rPr>
              <w:t>Healthcare &amp; Pharmaceuticals</w:t>
            </w:r>
          </w:p>
        </w:tc>
        <w:tc>
          <w:tcPr>
            <w:tcW w:w="1260" w:type="dxa"/>
            <w:vAlign w:val="bottom"/>
            <w:gridSpan w:val="2"/>
          </w:tcPr>
          <w:p>
            <w:pPr>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gridSpan w:val="2"/>
          </w:tcPr>
          <w:p>
            <w:pPr>
              <w:ind w:left="160"/>
              <w:spacing w:after="0"/>
              <w:rPr>
                <w:sz w:val="20"/>
                <w:szCs w:val="20"/>
                <w:color w:val="auto"/>
              </w:rPr>
            </w:pPr>
            <w:r>
              <w:rPr>
                <w:rFonts w:ascii="Arial" w:cs="Arial" w:eastAsia="Arial" w:hAnsi="Arial"/>
                <w:sz w:val="14"/>
                <w:szCs w:val="14"/>
                <w:color w:val="auto"/>
              </w:rPr>
              <w:t>Corp</w:t>
            </w: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4.25%</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5.25%</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10/21/2021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2,000,000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1,894,483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1,920,000</w:t>
            </w:r>
          </w:p>
        </w:tc>
        <w:tc>
          <w:tcPr>
            <w:tcW w:w="0" w:type="dxa"/>
            <w:vAlign w:val="bottom"/>
          </w:tcPr>
          <w:p>
            <w:pPr>
              <w:spacing w:after="0"/>
              <w:rPr>
                <w:sz w:val="1"/>
                <w:szCs w:val="1"/>
                <w:color w:val="auto"/>
              </w:rPr>
            </w:pPr>
          </w:p>
        </w:tc>
      </w:tr>
      <w:tr>
        <w:trPr>
          <w:trHeight w:val="130"/>
        </w:trPr>
        <w:tc>
          <w:tcPr>
            <w:tcW w:w="1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CPI Acquisition Inc.</w:t>
            </w:r>
          </w:p>
        </w:tc>
        <w:tc>
          <w:tcPr>
            <w:tcW w:w="1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Technology</w:t>
            </w:r>
          </w:p>
        </w:tc>
        <w:tc>
          <w:tcPr>
            <w:tcW w:w="1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B (First</w:t>
            </w:r>
          </w:p>
        </w:tc>
        <w:tc>
          <w:tcPr>
            <w:tcW w:w="5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Loan</w:t>
            </w: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Lien)</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8/17/2022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1,436,782</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1,415,977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1,396,667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29" w:name="page30"/>
    <w:bookmarkEnd w:id="2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20"/>
                <w:szCs w:val="20"/>
                <w:color w:val="auto"/>
              </w:rPr>
            </w:pPr>
            <w:r>
              <w:rPr>
                <w:rFonts w:ascii="Arial" w:cs="Arial" w:eastAsia="Arial" w:hAnsi="Arial"/>
                <w:sz w:val="14"/>
                <w:szCs w:val="14"/>
                <w:color w:val="auto"/>
              </w:rPr>
              <w:t>CPI International</w:t>
            </w:r>
          </w:p>
        </w:tc>
        <w:tc>
          <w:tcPr>
            <w:tcW w:w="1840" w:type="dxa"/>
            <w:vAlign w:val="bottom"/>
          </w:tcPr>
          <w:p>
            <w:pPr>
              <w:ind w:left="40"/>
              <w:spacing w:after="0"/>
              <w:rPr>
                <w:sz w:val="20"/>
                <w:szCs w:val="20"/>
                <w:color w:val="auto"/>
              </w:rPr>
            </w:pPr>
            <w:r>
              <w:rPr>
                <w:rFonts w:ascii="Arial" w:cs="Arial" w:eastAsia="Arial" w:hAnsi="Arial"/>
                <w:sz w:val="14"/>
                <w:szCs w:val="14"/>
                <w:color w:val="auto"/>
              </w:rPr>
              <w:t>Electronics/Electric</w:t>
            </w:r>
          </w:p>
        </w:tc>
        <w:tc>
          <w:tcPr>
            <w:tcW w:w="1300" w:type="dxa"/>
            <w:vAlign w:val="bottom"/>
          </w:tcPr>
          <w:p>
            <w:pPr>
              <w:ind w:left="60"/>
              <w:spacing w:after="0"/>
              <w:rPr>
                <w:sz w:val="20"/>
                <w:szCs w:val="20"/>
                <w:color w:val="auto"/>
              </w:rPr>
            </w:pPr>
            <w:r>
              <w:rPr>
                <w:rFonts w:ascii="Arial" w:cs="Arial" w:eastAsia="Arial" w:hAnsi="Arial"/>
                <w:sz w:val="14"/>
                <w:szCs w:val="14"/>
                <w:color w:val="auto"/>
              </w:rPr>
              <w:t>Term B Loan</w:t>
            </w:r>
          </w:p>
        </w:tc>
        <w:tc>
          <w:tcPr>
            <w:tcW w:w="580" w:type="dxa"/>
            <w:vAlign w:val="bottom"/>
          </w:tcPr>
          <w:p>
            <w:pPr>
              <w:ind w:left="6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11/17/2017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1,564,182</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1,564,182</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1,501,615</w:t>
            </w:r>
          </w:p>
        </w:tc>
      </w:tr>
      <w:tr>
        <w:trPr>
          <w:trHeight w:val="149"/>
        </w:trPr>
        <w:tc>
          <w:tcPr>
            <w:tcW w:w="1520" w:type="dxa"/>
            <w:vAlign w:val="bottom"/>
          </w:tcPr>
          <w:p>
            <w:pPr>
              <w:ind w:left="160"/>
              <w:spacing w:after="0" w:line="149" w:lineRule="exact"/>
              <w:rPr>
                <w:sz w:val="20"/>
                <w:szCs w:val="20"/>
                <w:color w:val="auto"/>
              </w:rPr>
            </w:pPr>
            <w:r>
              <w:rPr>
                <w:rFonts w:ascii="Arial" w:cs="Arial" w:eastAsia="Arial" w:hAnsi="Arial"/>
                <w:sz w:val="14"/>
                <w:szCs w:val="14"/>
                <w:color w:val="auto"/>
              </w:rPr>
              <w:t>Acquisition, Inc. (f/k/a</w:t>
            </w:r>
          </w:p>
        </w:tc>
        <w:tc>
          <w:tcPr>
            <w:tcW w:w="1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520" w:type="dxa"/>
            <w:vAlign w:val="bottom"/>
          </w:tcPr>
          <w:p>
            <w:pPr>
              <w:ind w:left="160"/>
              <w:spacing w:after="0" w:line="149" w:lineRule="exact"/>
              <w:rPr>
                <w:sz w:val="20"/>
                <w:szCs w:val="20"/>
                <w:color w:val="auto"/>
              </w:rPr>
            </w:pPr>
            <w:r>
              <w:rPr>
                <w:rFonts w:ascii="Arial" w:cs="Arial" w:eastAsia="Arial" w:hAnsi="Arial"/>
                <w:sz w:val="14"/>
                <w:szCs w:val="14"/>
                <w:color w:val="auto"/>
              </w:rPr>
              <w:t>Catalyst Holdings,</w:t>
            </w:r>
          </w:p>
        </w:tc>
        <w:tc>
          <w:tcPr>
            <w:tcW w:w="1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Inc.)</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Crosby US Acquisition</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Industrial Equipment</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Initial Term Loan</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(First Lien)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735,000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734,245</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536,550</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CT Technologies</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w w:val="94"/>
              </w:rPr>
              <w:t>Healthcare &amp; Pharmaceuticals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9"/>
        </w:trPr>
        <w:tc>
          <w:tcPr>
            <w:tcW w:w="1520" w:type="dxa"/>
            <w:vAlign w:val="bottom"/>
          </w:tcPr>
          <w:p>
            <w:pPr>
              <w:ind w:left="160"/>
              <w:spacing w:after="0" w:line="149" w:lineRule="exact"/>
              <w:rPr>
                <w:sz w:val="20"/>
                <w:szCs w:val="20"/>
                <w:color w:val="auto"/>
              </w:rPr>
            </w:pPr>
            <w:r>
              <w:rPr>
                <w:rFonts w:ascii="Arial" w:cs="Arial" w:eastAsia="Arial" w:hAnsi="Arial"/>
                <w:sz w:val="14"/>
                <w:szCs w:val="14"/>
                <w:color w:val="auto"/>
              </w:rPr>
              <w:t>Intermediate Hldgs,</w:t>
            </w:r>
          </w:p>
        </w:tc>
        <w:tc>
          <w:tcPr>
            <w:tcW w:w="1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Inc</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4.25%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5.25%</w:t>
            </w:r>
          </w:p>
        </w:tc>
        <w:tc>
          <w:tcPr>
            <w:tcW w:w="800" w:type="dxa"/>
            <w:vAlign w:val="bottom"/>
          </w:tcPr>
          <w:p>
            <w:pPr>
              <w:jc w:val="right"/>
              <w:spacing w:after="0"/>
              <w:rPr>
                <w:sz w:val="20"/>
                <w:szCs w:val="20"/>
                <w:color w:val="auto"/>
              </w:rPr>
            </w:pPr>
            <w:r>
              <w:rPr>
                <w:rFonts w:ascii="Arial" w:cs="Arial" w:eastAsia="Arial" w:hAnsi="Arial"/>
                <w:sz w:val="14"/>
                <w:szCs w:val="14"/>
                <w:color w:val="auto"/>
              </w:rPr>
              <w:t>12/1/2021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1,485,038</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1,471,665</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1,433,061</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Culligan International</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Conglomerate</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Dollar Loan (First</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Company</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12/19/2017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771,625</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742,910</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721,469</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Culligan International</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Conglomerate</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Dollar Loan</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Company</w:t>
            </w:r>
          </w:p>
        </w:tc>
        <w:tc>
          <w:tcPr>
            <w:tcW w:w="18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auto"/>
              </w:rPr>
              <w:t>(Second Lien)</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9.50%</w:t>
            </w:r>
          </w:p>
        </w:tc>
        <w:tc>
          <w:tcPr>
            <w:tcW w:w="800" w:type="dxa"/>
            <w:vAlign w:val="bottom"/>
          </w:tcPr>
          <w:p>
            <w:pPr>
              <w:jc w:val="right"/>
              <w:spacing w:after="0"/>
              <w:rPr>
                <w:sz w:val="20"/>
                <w:szCs w:val="20"/>
                <w:color w:val="auto"/>
              </w:rPr>
            </w:pPr>
            <w:r>
              <w:rPr>
                <w:rFonts w:ascii="Arial" w:cs="Arial" w:eastAsia="Arial" w:hAnsi="Arial"/>
                <w:sz w:val="14"/>
                <w:szCs w:val="14"/>
                <w:color w:val="auto"/>
              </w:rPr>
              <w:t>6/19/2018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783,162</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754,065</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734,214</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Cumulus Media</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Broadcast Radio and</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Television</w:t>
            </w: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470,093</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466,690</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304,973</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DAE Aviation</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Aerospace and Defense</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(StandardAero)</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4.25%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5.25%</w:t>
            </w:r>
          </w:p>
        </w:tc>
        <w:tc>
          <w:tcPr>
            <w:tcW w:w="800" w:type="dxa"/>
            <w:vAlign w:val="bottom"/>
          </w:tcPr>
          <w:p>
            <w:pPr>
              <w:jc w:val="right"/>
              <w:spacing w:after="0"/>
              <w:rPr>
                <w:sz w:val="20"/>
                <w:szCs w:val="20"/>
                <w:color w:val="auto"/>
              </w:rPr>
            </w:pPr>
            <w:r>
              <w:rPr>
                <w:rFonts w:ascii="Arial" w:cs="Arial" w:eastAsia="Arial" w:hAnsi="Arial"/>
                <w:sz w:val="14"/>
                <w:szCs w:val="14"/>
                <w:color w:val="auto"/>
              </w:rPr>
              <w:t>7/7/2022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1,995,000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1,985,759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1,970,063</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DCS Business Services,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Financial Intermediaries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B Loan</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2,409,739</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2,397,948</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2,409,739</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Dell International LLC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Technology</w:t>
            </w: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Term Loan B2</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9"/>
              </w:rPr>
              <w:t>2,904,989</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2,892,348</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2,889,854</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Delta 2 (Lux) S.a.r.l.</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Lodging &amp; Casinos</w:t>
            </w:r>
          </w:p>
        </w:tc>
        <w:tc>
          <w:tcPr>
            <w:tcW w:w="1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B-3</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9"/>
              </w:rPr>
              <w:t>1,000,000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995,870</w:t>
            </w: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925,000</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Deluxe Entertainment</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Service Group, Inc.</w:t>
            </w:r>
          </w:p>
        </w:tc>
        <w:tc>
          <w:tcPr>
            <w:tcW w:w="1840" w:type="dxa"/>
            <w:vAlign w:val="bottom"/>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tcPr>
          <w:p>
            <w:pPr>
              <w:ind w:left="60"/>
              <w:spacing w:after="0"/>
              <w:rPr>
                <w:sz w:val="20"/>
                <w:szCs w:val="20"/>
                <w:color w:val="auto"/>
              </w:rPr>
            </w:pPr>
            <w:r>
              <w:rPr>
                <w:rFonts w:ascii="Arial" w:cs="Arial" w:eastAsia="Arial" w:hAnsi="Arial"/>
                <w:sz w:val="14"/>
                <w:szCs w:val="14"/>
                <w:color w:val="auto"/>
              </w:rPr>
              <w:t>Lien)</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5.50%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6.50%</w:t>
            </w:r>
          </w:p>
        </w:tc>
        <w:tc>
          <w:tcPr>
            <w:tcW w:w="800" w:type="dxa"/>
            <w:vAlign w:val="bottom"/>
          </w:tcPr>
          <w:p>
            <w:pPr>
              <w:jc w:val="right"/>
              <w:spacing w:after="0"/>
              <w:rPr>
                <w:sz w:val="20"/>
                <w:szCs w:val="20"/>
                <w:color w:val="auto"/>
              </w:rPr>
            </w:pPr>
            <w:r>
              <w:rPr>
                <w:rFonts w:ascii="Arial" w:cs="Arial" w:eastAsia="Arial" w:hAnsi="Arial"/>
                <w:sz w:val="14"/>
                <w:szCs w:val="14"/>
                <w:color w:val="auto"/>
              </w:rPr>
              <w:t>2/28/2020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1,882,983</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1,884,279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1,751,174</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Diamond Resorts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Lodging &amp; Casinos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International</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926,971</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923,222</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897,614</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Diamond Resorts</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Lodging &amp; Casinos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(Add-</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International</w:t>
            </w:r>
          </w:p>
        </w:tc>
        <w:tc>
          <w:tcPr>
            <w:tcW w:w="18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auto"/>
              </w:rPr>
              <w:t>On)</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4.50%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tcPr>
          <w:p>
            <w:pPr>
              <w:jc w:val="right"/>
              <w:spacing w:after="0"/>
              <w:rPr>
                <w:sz w:val="20"/>
                <w:szCs w:val="20"/>
                <w:color w:val="auto"/>
              </w:rPr>
            </w:pPr>
            <w:r>
              <w:rPr>
                <w:rFonts w:ascii="Arial" w:cs="Arial" w:eastAsia="Arial" w:hAnsi="Arial"/>
                <w:sz w:val="14"/>
                <w:szCs w:val="14"/>
                <w:color w:val="auto"/>
              </w:rPr>
              <w:t>5/7/2021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1,000,000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980,687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968,330</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DJO Finance, LLC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Healthcare &amp; Pharmaceuticals</w:t>
            </w:r>
          </w:p>
        </w:tc>
        <w:tc>
          <w:tcPr>
            <w:tcW w:w="1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497,500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495,435</w:t>
            </w: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478,222</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DPX Holdings B.V.</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w w:val="94"/>
              </w:rPr>
              <w:t>Healthcare &amp; Pharmaceuticals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2015</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auto"/>
              </w:rPr>
              <w:t>Incr Dollar</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3/11/2021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2,955,000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2,948,456</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2,799,863</w:t>
            </w:r>
          </w:p>
        </w:tc>
      </w:tr>
      <w:tr>
        <w:trPr>
          <w:trHeight w:val="130"/>
        </w:trPr>
        <w:tc>
          <w:tcPr>
            <w:tcW w:w="3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Drew Marine Group, Inc. Chemicals/Plastics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2,472,161</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2,445,601</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2,299,110</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DTZ U.S. Borrower,</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Construction &amp; Building</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B Add-</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LLC</w:t>
            </w:r>
          </w:p>
        </w:tc>
        <w:tc>
          <w:tcPr>
            <w:tcW w:w="18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auto"/>
              </w:rPr>
              <w:t>on</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11/4/2021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2,985,000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2,970,317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2,869,331</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Edelman Financial</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Banking, Finance, Insurance</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Group, 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&amp; Real Estate</w:t>
            </w: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1,500,000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1,470,617</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1,459,695</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Education Management</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A</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II, LLC</w:t>
            </w:r>
          </w:p>
        </w:tc>
        <w:tc>
          <w:tcPr>
            <w:tcW w:w="1840" w:type="dxa"/>
            <w:vAlign w:val="bottom"/>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4.50%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tcPr>
          <w:p>
            <w:pPr>
              <w:jc w:val="right"/>
              <w:spacing w:after="0"/>
              <w:rPr>
                <w:sz w:val="20"/>
                <w:szCs w:val="20"/>
                <w:color w:val="auto"/>
              </w:rPr>
            </w:pPr>
            <w:r>
              <w:rPr>
                <w:rFonts w:ascii="Arial" w:cs="Arial" w:eastAsia="Arial" w:hAnsi="Arial"/>
                <w:sz w:val="14"/>
                <w:szCs w:val="14"/>
                <w:color w:val="auto"/>
              </w:rPr>
              <w:t>7/2/2020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501,970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485,313</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160,630</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Education Management</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49"/>
        </w:trPr>
        <w:tc>
          <w:tcPr>
            <w:tcW w:w="1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II, LLC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Goods/Activities/Movies</w:t>
            </w:r>
          </w:p>
        </w:tc>
        <w:tc>
          <w:tcPr>
            <w:tcW w:w="1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7"/>
              </w:rPr>
              <w:t>(2.00% Cash/6.50%</w:t>
            </w:r>
          </w:p>
        </w:tc>
        <w:tc>
          <w:tcPr>
            <w:tcW w:w="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PIK)</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893,447</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867,647</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56,582</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Emerald Performance</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Materials, LLC</w:t>
            </w:r>
          </w:p>
        </w:tc>
        <w:tc>
          <w:tcPr>
            <w:tcW w:w="18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auto"/>
              </w:rPr>
              <w:t>Lien)</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3.50%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tcPr>
          <w:p>
            <w:pPr>
              <w:jc w:val="right"/>
              <w:spacing w:after="0"/>
              <w:rPr>
                <w:sz w:val="20"/>
                <w:szCs w:val="20"/>
                <w:color w:val="auto"/>
              </w:rPr>
            </w:pPr>
            <w:r>
              <w:rPr>
                <w:rFonts w:ascii="Arial" w:cs="Arial" w:eastAsia="Arial" w:hAnsi="Arial"/>
                <w:sz w:val="14"/>
                <w:szCs w:val="14"/>
                <w:color w:val="auto"/>
              </w:rPr>
              <w:t>8/1/2021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484,659</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482,690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473,148</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Emerald Performance</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Term Loan (Second</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Materials, LLC</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497,844</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468,750</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Emerald 2 Limited</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Term Loan B1A</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5/14/2021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9"/>
              </w:rPr>
              <w:t>1,000,000</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991,762</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866,670</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Endo International plc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Healthcare &amp; Pharmaceuticals</w:t>
            </w:r>
          </w:p>
        </w:tc>
        <w:tc>
          <w:tcPr>
            <w:tcW w:w="1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3.00%</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9"/>
              </w:rPr>
              <w:t>1,000,000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997,602</w:t>
            </w: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987,780</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EnergySolutions, LLC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Environmental Industries</w:t>
            </w: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5.75%</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6.75%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937,857</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923,660</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731,528</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Evergreen Acqco 1 LP</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New Term Loan</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965,081</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963,406</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719,951</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EWT Holdings III Corp.</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Industrial Equipment</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9"/>
        </w:trPr>
        <w:tc>
          <w:tcPr>
            <w:tcW w:w="1520" w:type="dxa"/>
            <w:vAlign w:val="bottom"/>
          </w:tcPr>
          <w:p>
            <w:pPr>
              <w:ind w:left="160"/>
              <w:spacing w:after="0" w:line="149" w:lineRule="exact"/>
              <w:rPr>
                <w:sz w:val="20"/>
                <w:szCs w:val="20"/>
                <w:color w:val="auto"/>
              </w:rPr>
            </w:pPr>
            <w:r>
              <w:rPr>
                <w:rFonts w:ascii="Arial" w:cs="Arial" w:eastAsia="Arial" w:hAnsi="Arial"/>
                <w:sz w:val="14"/>
                <w:szCs w:val="14"/>
                <w:color w:val="auto"/>
              </w:rPr>
              <w:t>(fka WTG Holdings III</w:t>
            </w:r>
          </w:p>
        </w:tc>
        <w:tc>
          <w:tcPr>
            <w:tcW w:w="1840" w:type="dxa"/>
            <w:vAlign w:val="bottom"/>
          </w:tcPr>
          <w:p>
            <w:pPr>
              <w:spacing w:after="0"/>
              <w:rPr>
                <w:sz w:val="12"/>
                <w:szCs w:val="12"/>
                <w:color w:val="auto"/>
              </w:rPr>
            </w:pP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Lien)</w:t>
            </w: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Corp.)</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1/15/2021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1,967,406</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1,962,950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1,908,383</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Federal-Mogul</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Automotive</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Tranche C Term</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2,955,000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2,943,580</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2,345,530</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First Data Corporation</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Financial Intermediaries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First Data Corp T/L</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auto"/>
              </w:rPr>
              <w:t>(2018 New Dollar)</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3.50%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0.62%</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4.12%</w:t>
            </w:r>
          </w:p>
        </w:tc>
        <w:tc>
          <w:tcPr>
            <w:tcW w:w="800" w:type="dxa"/>
            <w:vAlign w:val="bottom"/>
          </w:tcPr>
          <w:p>
            <w:pPr>
              <w:jc w:val="right"/>
              <w:spacing w:after="0"/>
              <w:rPr>
                <w:sz w:val="20"/>
                <w:szCs w:val="20"/>
                <w:color w:val="auto"/>
              </w:rPr>
            </w:pPr>
            <w:r>
              <w:rPr>
                <w:rFonts w:ascii="Arial" w:cs="Arial" w:eastAsia="Arial" w:hAnsi="Arial"/>
                <w:sz w:val="14"/>
                <w:szCs w:val="14"/>
                <w:color w:val="auto"/>
              </w:rPr>
              <w:t>3/23/2018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2,790,451</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2,748,229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2,752,780</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Data Corporation</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Financial Intermediaries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First Data T/L Ext</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(2021)</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0.62%</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2,111,028</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2,034,284</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2,077,779</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First Eagle Investment</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Banking, Finance, Insurance</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Management</w:t>
            </w:r>
          </w:p>
        </w:tc>
        <w:tc>
          <w:tcPr>
            <w:tcW w:w="1840" w:type="dxa"/>
            <w:vAlign w:val="bottom"/>
          </w:tcPr>
          <w:p>
            <w:pPr>
              <w:ind w:left="40"/>
              <w:spacing w:after="0"/>
              <w:rPr>
                <w:sz w:val="20"/>
                <w:szCs w:val="20"/>
                <w:color w:val="auto"/>
              </w:rPr>
            </w:pPr>
            <w:r>
              <w:rPr>
                <w:rFonts w:ascii="Arial" w:cs="Arial" w:eastAsia="Arial" w:hAnsi="Arial"/>
                <w:sz w:val="14"/>
                <w:szCs w:val="14"/>
                <w:color w:val="auto"/>
              </w:rPr>
              <w:t>&amp; Real Estate</w:t>
            </w: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12/1/2022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1,500,000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1,470,946</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1,412,504</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Fitness International,</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1,976,234</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1,945,935</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1,850,249</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w w:val="97"/>
              </w:rPr>
              <w:t>FMG Resources (August</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Nonferrous Metals/Minerals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9"/>
        </w:trPr>
        <w:tc>
          <w:tcPr>
            <w:tcW w:w="1520" w:type="dxa"/>
            <w:vAlign w:val="bottom"/>
          </w:tcPr>
          <w:p>
            <w:pPr>
              <w:ind w:left="160"/>
              <w:spacing w:after="0" w:line="149" w:lineRule="exact"/>
              <w:rPr>
                <w:sz w:val="20"/>
                <w:szCs w:val="20"/>
                <w:color w:val="auto"/>
              </w:rPr>
            </w:pPr>
            <w:r>
              <w:rPr>
                <w:rFonts w:ascii="Arial" w:cs="Arial" w:eastAsia="Arial" w:hAnsi="Arial"/>
                <w:sz w:val="14"/>
                <w:szCs w:val="14"/>
                <w:color w:val="auto"/>
              </w:rPr>
              <w:t>2006) Pty LTD (FMG</w:t>
            </w:r>
          </w:p>
        </w:tc>
        <w:tc>
          <w:tcPr>
            <w:tcW w:w="1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w w:val="95"/>
              </w:rPr>
              <w:t>America Finance, Inc.)</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6/28/2019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1,962,387</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1,962,515</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1,504,738</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Garda World Security</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B Delayed</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Draw Loan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199,120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198,391</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187,344</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Garda World Security</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B Loan</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tcPr>
          <w:p>
            <w:pPr>
              <w:jc w:val="right"/>
              <w:spacing w:after="0"/>
              <w:rPr>
                <w:sz w:val="20"/>
                <w:szCs w:val="20"/>
                <w:color w:val="auto"/>
              </w:rPr>
            </w:pPr>
            <w:r>
              <w:rPr>
                <w:rFonts w:ascii="Arial" w:cs="Arial" w:eastAsia="Arial" w:hAnsi="Arial"/>
                <w:sz w:val="14"/>
                <w:szCs w:val="14"/>
                <w:color w:val="auto"/>
              </w:rPr>
              <w:t>11/6/2020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778,380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775,586</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732,346</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Gardner Denver, Inc.</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High Tech Industries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Initial Dollar Term</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2,451,137</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2,445,005</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2,016,452</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Gates Global LLC</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tcPr>
          <w:p>
            <w:pPr>
              <w:ind w:left="60"/>
              <w:spacing w:after="0"/>
              <w:rPr>
                <w:sz w:val="20"/>
                <w:szCs w:val="20"/>
                <w:color w:val="auto"/>
              </w:rPr>
            </w:pPr>
            <w:r>
              <w:rPr>
                <w:rFonts w:ascii="Arial" w:cs="Arial" w:eastAsia="Arial" w:hAnsi="Arial"/>
                <w:sz w:val="14"/>
                <w:szCs w:val="14"/>
                <w:color w:val="auto"/>
              </w:rPr>
              <w:t>Lien)</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7/5/2021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493,750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488,813</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433,883</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Generac Power Systems,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Industrial Equipment</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693,858</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684,537</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676,511</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General Nutrition</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w w:val="94"/>
              </w:rPr>
              <w:t>Amended Tranche B</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Centers, Inc.</w:t>
            </w:r>
          </w:p>
        </w:tc>
        <w:tc>
          <w:tcPr>
            <w:tcW w:w="1840" w:type="dxa"/>
            <w:vAlign w:val="bottom"/>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tcPr>
          <w:p>
            <w:pPr>
              <w:ind w:left="60"/>
              <w:spacing w:after="0"/>
              <w:rPr>
                <w:sz w:val="20"/>
                <w:szCs w:val="20"/>
                <w:color w:val="auto"/>
              </w:rPr>
            </w:pPr>
            <w:r>
              <w:rPr>
                <w:rFonts w:ascii="Arial" w:cs="Arial" w:eastAsia="Arial" w:hAnsi="Arial"/>
                <w:sz w:val="14"/>
                <w:szCs w:val="14"/>
                <w:color w:val="auto"/>
              </w:rPr>
              <w:t>Term Loan</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2.50%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3.25%</w:t>
            </w:r>
          </w:p>
        </w:tc>
        <w:tc>
          <w:tcPr>
            <w:tcW w:w="800" w:type="dxa"/>
            <w:vAlign w:val="bottom"/>
          </w:tcPr>
          <w:p>
            <w:pPr>
              <w:jc w:val="right"/>
              <w:spacing w:after="0"/>
              <w:rPr>
                <w:sz w:val="20"/>
                <w:szCs w:val="20"/>
                <w:color w:val="auto"/>
              </w:rPr>
            </w:pPr>
            <w:r>
              <w:rPr>
                <w:rFonts w:ascii="Arial" w:cs="Arial" w:eastAsia="Arial" w:hAnsi="Arial"/>
                <w:sz w:val="14"/>
                <w:szCs w:val="14"/>
                <w:color w:val="auto"/>
              </w:rPr>
              <w:t>3/4/2019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4,131,271</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4,121,165</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4,012,497</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Global Tel*Link</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2,725,318</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2,717,647</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2,237,023</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w w:val="98"/>
              </w:rPr>
              <w:t>Goodyear Tire &amp; Rubber</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w w:val="99"/>
              </w:rPr>
              <w:t>Loan (Second Lien)</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Company, The</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tcPr>
          <w:p>
            <w:pPr>
              <w:jc w:val="right"/>
              <w:spacing w:after="0"/>
              <w:rPr>
                <w:sz w:val="20"/>
                <w:szCs w:val="20"/>
                <w:color w:val="auto"/>
              </w:rPr>
            </w:pPr>
            <w:r>
              <w:rPr>
                <w:rFonts w:ascii="Arial" w:cs="Arial" w:eastAsia="Arial" w:hAnsi="Arial"/>
                <w:sz w:val="14"/>
                <w:szCs w:val="14"/>
                <w:color w:val="auto"/>
              </w:rPr>
              <w:t>4/30/2019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2,000,000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1,974,077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2,005,000</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Grosvenor Capital</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Brokers/Dealers/Investment</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Initial Term Loan</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49"/>
        </w:trPr>
        <w:tc>
          <w:tcPr>
            <w:tcW w:w="1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Management</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Houses</w:t>
            </w:r>
          </w:p>
        </w:tc>
        <w:tc>
          <w:tcPr>
            <w:tcW w:w="1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LP</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1,264,036</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1,259,418</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1,191,354</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w w:val="96"/>
              </w:rPr>
              <w:t>GTCR Valor Companies,</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Inc.</w:t>
            </w:r>
          </w:p>
        </w:tc>
        <w:tc>
          <w:tcPr>
            <w:tcW w:w="18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auto"/>
              </w:rPr>
              <w:t>Lien)</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tcPr>
          <w:p>
            <w:pPr>
              <w:jc w:val="right"/>
              <w:spacing w:after="0"/>
              <w:rPr>
                <w:sz w:val="20"/>
                <w:szCs w:val="20"/>
                <w:color w:val="auto"/>
              </w:rPr>
            </w:pPr>
            <w:r>
              <w:rPr>
                <w:rFonts w:ascii="Arial" w:cs="Arial" w:eastAsia="Arial" w:hAnsi="Arial"/>
                <w:sz w:val="14"/>
                <w:szCs w:val="14"/>
                <w:color w:val="auto"/>
              </w:rPr>
              <w:t>6/1/2021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1,974,982</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1,941,456</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1,959,340</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Harland Clarke Holdings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Publishing</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Tranche B-4 Term</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49"/>
        </w:trPr>
        <w:tc>
          <w:tcPr>
            <w:tcW w:w="1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Corp. (fka Clarke</w:t>
            </w:r>
          </w:p>
        </w:tc>
        <w:tc>
          <w:tcPr>
            <w:tcW w:w="1840" w:type="dxa"/>
            <w:vAlign w:val="bottom"/>
            <w:shd w:val="clear" w:color="auto" w:fill="CCEEFF"/>
          </w:tcPr>
          <w:p>
            <w:pPr>
              <w:spacing w:after="0"/>
              <w:rPr>
                <w:sz w:val="12"/>
                <w:szCs w:val="12"/>
                <w:color w:val="auto"/>
              </w:rPr>
            </w:pPr>
          </w:p>
        </w:tc>
        <w:tc>
          <w:tcPr>
            <w:tcW w:w="1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American Corp.)</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475,000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473,378</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421,561</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HCA Inc.</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w w:val="94"/>
              </w:rPr>
              <w:t>Healthcare &amp; Pharmaceuticals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Tranche B-4 Term</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auto"/>
              </w:rPr>
              <w:t>Loan</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2.75%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0.62%</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3.37%</w:t>
            </w:r>
          </w:p>
        </w:tc>
        <w:tc>
          <w:tcPr>
            <w:tcW w:w="800" w:type="dxa"/>
            <w:vAlign w:val="bottom"/>
          </w:tcPr>
          <w:p>
            <w:pPr>
              <w:jc w:val="right"/>
              <w:spacing w:after="0"/>
              <w:rPr>
                <w:sz w:val="20"/>
                <w:szCs w:val="20"/>
                <w:color w:val="auto"/>
              </w:rPr>
            </w:pPr>
            <w:r>
              <w:rPr>
                <w:rFonts w:ascii="Arial" w:cs="Arial" w:eastAsia="Arial" w:hAnsi="Arial"/>
                <w:sz w:val="14"/>
                <w:szCs w:val="14"/>
                <w:color w:val="auto"/>
              </w:rPr>
              <w:t>5/1/2018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2,119,664</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2,053,127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2,116,294</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Headwaters Incorporated</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Building &amp; Development</w:t>
            </w:r>
          </w:p>
        </w:tc>
        <w:tc>
          <w:tcPr>
            <w:tcW w:w="1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248,750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247,628</w:t>
            </w: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248,285</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Hercules Achievement</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Holdings, Inc.</w:t>
            </w:r>
          </w:p>
        </w:tc>
        <w:tc>
          <w:tcPr>
            <w:tcW w:w="1840" w:type="dxa"/>
            <w:vAlign w:val="bottom"/>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tcPr>
          <w:p>
            <w:pPr>
              <w:jc w:val="right"/>
              <w:spacing w:after="0"/>
              <w:rPr>
                <w:sz w:val="20"/>
                <w:szCs w:val="20"/>
                <w:color w:val="auto"/>
              </w:rPr>
            </w:pPr>
            <w:r>
              <w:rPr>
                <w:rFonts w:ascii="Arial" w:cs="Arial" w:eastAsia="Arial" w:hAnsi="Arial"/>
                <w:sz w:val="14"/>
                <w:szCs w:val="14"/>
                <w:color w:val="auto"/>
              </w:rPr>
              <w:t>12/10/2021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249,370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246,940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244,929</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Hertz Corporation, The</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Automotive</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Tranche B-1 Term</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2,910,000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2,933,230</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2,879,998</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Hoffmaster Group,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Containers/Glass Products</w:t>
            </w: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5/8/2020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9"/>
              </w:rPr>
              <w:t>1,970,000</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1,955,325</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1,915,825</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Hostess Brand, LLC</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Beverage, Food &amp; Tobacco</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 (First</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997,500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995,241</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983,784</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Huntsman International</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B (First</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LLC</w:t>
            </w:r>
          </w:p>
        </w:tc>
        <w:tc>
          <w:tcPr>
            <w:tcW w:w="18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auto"/>
              </w:rPr>
              <w:t>Lien)</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0.62%</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3.62%</w:t>
            </w:r>
          </w:p>
        </w:tc>
        <w:tc>
          <w:tcPr>
            <w:tcW w:w="800" w:type="dxa"/>
            <w:vAlign w:val="bottom"/>
          </w:tcPr>
          <w:p>
            <w:pPr>
              <w:jc w:val="right"/>
              <w:spacing w:after="0"/>
              <w:rPr>
                <w:sz w:val="20"/>
                <w:szCs w:val="20"/>
                <w:color w:val="auto"/>
              </w:rPr>
            </w:pPr>
            <w:r>
              <w:rPr>
                <w:rFonts w:ascii="Arial" w:cs="Arial" w:eastAsia="Arial" w:hAnsi="Arial"/>
                <w:sz w:val="14"/>
                <w:szCs w:val="14"/>
                <w:color w:val="auto"/>
              </w:rPr>
              <w:t>4/19/2019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3,840,541</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3,814,577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3,727,245</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Husky Injection Molding</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Systems Ltd.</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491,196</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489,277</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465,757</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Infor (US), Inc. (fka</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Tranche B-5 Term</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w w:val="96"/>
              </w:rPr>
              <w:t>Lawson Software Inc.)</w:t>
            </w:r>
          </w:p>
        </w:tc>
        <w:tc>
          <w:tcPr>
            <w:tcW w:w="18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auto"/>
              </w:rPr>
              <w:t>Loan</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2.75%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tcPr>
          <w:p>
            <w:pPr>
              <w:jc w:val="right"/>
              <w:spacing w:after="0"/>
              <w:rPr>
                <w:sz w:val="20"/>
                <w:szCs w:val="20"/>
                <w:color w:val="auto"/>
              </w:rPr>
            </w:pPr>
            <w:r>
              <w:rPr>
                <w:rFonts w:ascii="Arial" w:cs="Arial" w:eastAsia="Arial" w:hAnsi="Arial"/>
                <w:sz w:val="14"/>
                <w:szCs w:val="14"/>
                <w:color w:val="auto"/>
              </w:rPr>
              <w:t>6/3/2020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2,188,296</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2,174,333</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2,015,049</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Insight Global</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10/29/2021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9"/>
              </w:rPr>
              <w:t>1,979,592</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1,971,967</w:t>
            </w: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1,961,439</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Informatica Corporation</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8/5/2022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498,750</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497,554</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468,411</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 Crew Group, Inc.</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B-1 Loan</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Retired 03/05/2014</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955,481</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955,481</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639,379</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Jazz Acquisition,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Aerospace and Defense</w:t>
            </w: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First Lien 6/14</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6/19/2021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492,727</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491,745</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434,832</w:t>
            </w:r>
          </w:p>
        </w:tc>
      </w:tr>
      <w:tr>
        <w:trPr>
          <w:trHeight w:val="70"/>
        </w:trPr>
        <w:tc>
          <w:tcPr>
            <w:tcW w:w="152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108" w:right="239" w:bottom="0" w:gutter="0" w:footer="0" w:header="0"/>
        </w:sectPr>
      </w:pPr>
    </w:p>
    <w:bookmarkStart w:id="30" w:name="page31"/>
    <w:bookmarkEnd w:id="30"/>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shd w:val="clear" w:color="auto" w:fill="CCEEFF"/>
          </w:tcPr>
          <w:p>
            <w:pPr>
              <w:spacing w:after="0"/>
              <w:rPr>
                <w:sz w:val="20"/>
                <w:szCs w:val="20"/>
                <w:color w:val="auto"/>
              </w:rPr>
            </w:pPr>
            <w:r>
              <w:rPr>
                <w:rFonts w:ascii="Arial" w:cs="Arial" w:eastAsia="Arial" w:hAnsi="Arial"/>
                <w:sz w:val="14"/>
                <w:szCs w:val="14"/>
                <w:color w:val="auto"/>
              </w:rPr>
              <w:t>J.Jill Group, 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Retailers (Except Food and</w:t>
            </w: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(First</w:t>
            </w:r>
          </w:p>
        </w:tc>
        <w:tc>
          <w:tcPr>
            <w:tcW w:w="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995,000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990,362</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925,350</w:t>
            </w: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Kinetic Concepts, Inc.</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w w:val="94"/>
              </w:rPr>
              <w:t>Healthcare &amp; Pharmaceuticals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Dollar Term D-1</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auto"/>
              </w:rPr>
              <w:t>Loan</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3.50%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tcPr>
          <w:p>
            <w:pPr>
              <w:jc w:val="right"/>
              <w:spacing w:after="0"/>
              <w:rPr>
                <w:sz w:val="20"/>
                <w:szCs w:val="20"/>
                <w:color w:val="auto"/>
              </w:rPr>
            </w:pPr>
            <w:r>
              <w:rPr>
                <w:rFonts w:ascii="Arial" w:cs="Arial" w:eastAsia="Arial" w:hAnsi="Arial"/>
                <w:sz w:val="14"/>
                <w:szCs w:val="14"/>
                <w:color w:val="auto"/>
              </w:rPr>
              <w:t>5/4/2018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2,452,586</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2,436,004</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2,392,645</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Koosharem, LLC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6.50%</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9"/>
              </w:rPr>
              <w:t>2,965,050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2,942,458</w:t>
            </w: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2,683,370</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Kraton Polymers, LLC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Term Loan (Initial)</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5.00%</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9"/>
              </w:rPr>
              <w:t>2,500,000</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2,252,500</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2,250,000</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LPL Holdings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Banking, Finance, Insurance</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7"/>
              </w:rPr>
              <w:t>Term Loan B (2022)</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&amp; Real Estate</w:t>
            </w: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2,000,000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1,980,543</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1,900,000</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Mauser Holdings,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Containers/Glass Products</w:t>
            </w: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3.50%</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493,750</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491,750</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475,234</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Michaels Stores, Inc.</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B Loan</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486,250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486,250</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479,792</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Michaels Stores, Inc.</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B-2</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tcPr>
          <w:p>
            <w:pPr>
              <w:jc w:val="right"/>
              <w:spacing w:after="0"/>
              <w:rPr>
                <w:sz w:val="20"/>
                <w:szCs w:val="20"/>
                <w:color w:val="auto"/>
              </w:rPr>
            </w:pPr>
            <w:r>
              <w:rPr>
                <w:rFonts w:ascii="Arial" w:cs="Arial" w:eastAsia="Arial" w:hAnsi="Arial"/>
                <w:sz w:val="14"/>
                <w:szCs w:val="14"/>
                <w:color w:val="auto"/>
              </w:rPr>
              <w:t>1/28/2020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1,212,794</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1,208,220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1,201,042</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 Holding Corp.</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992,447</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987,851</w:t>
            </w: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950,268</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Microsemi Corporation</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Electronics/Electric</w:t>
            </w: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4.50%</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1/15/2023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9"/>
              </w:rPr>
              <w:t>2,183,824</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2,119,162</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2,180,177</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Midas Intermediate</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Automotive</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(Initial)</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Holdco II, LLC</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246,875</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245,802</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244,098</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MPH Acquisition</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w w:val="94"/>
              </w:rPr>
              <w:t>Healthcare &amp; Pharmaceuticals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Holdings, LLC</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2.75%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tcPr>
          <w:p>
            <w:pPr>
              <w:jc w:val="right"/>
              <w:spacing w:after="0"/>
              <w:rPr>
                <w:sz w:val="20"/>
                <w:szCs w:val="20"/>
                <w:color w:val="auto"/>
              </w:rPr>
            </w:pPr>
            <w:r>
              <w:rPr>
                <w:rFonts w:ascii="Arial" w:cs="Arial" w:eastAsia="Arial" w:hAnsi="Arial"/>
                <w:sz w:val="14"/>
                <w:szCs w:val="14"/>
                <w:color w:val="auto"/>
              </w:rPr>
              <w:t>3/31/2021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376,136</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375,400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366,500</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MSC Software</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Corporation</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985,000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977,601</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886,500</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National Veterinary</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w w:val="94"/>
              </w:rPr>
              <w:t>Healthcare &amp; Pharmaceuticals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Associates, Inc</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8/14/2021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987,526</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984,296</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959,549</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National Vision, Inc.</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w w:val="98"/>
              </w:rPr>
              <w:t>Term Loan (Second</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249,729</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218,750</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Neptune Finco (CSC</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w w:val="96"/>
              </w:rPr>
              <w:t>Cable and Satellite Television</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Holdings)</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tcPr>
          <w:p>
            <w:pPr>
              <w:jc w:val="right"/>
              <w:spacing w:after="0"/>
              <w:rPr>
                <w:sz w:val="20"/>
                <w:szCs w:val="20"/>
                <w:color w:val="auto"/>
              </w:rPr>
            </w:pPr>
            <w:r>
              <w:rPr>
                <w:rFonts w:ascii="Arial" w:cs="Arial" w:eastAsia="Arial" w:hAnsi="Arial"/>
                <w:sz w:val="14"/>
                <w:szCs w:val="14"/>
                <w:color w:val="auto"/>
              </w:rPr>
              <w:t>10/7/2022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1,000,000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985,784</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989,750</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Millennium Holdco</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Healthcare &amp; Pharmaceuticals</w:t>
            </w:r>
          </w:p>
        </w:tc>
        <w:tc>
          <w:tcPr>
            <w:tcW w:w="1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6.50%</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12/21/2020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9"/>
              </w:rPr>
              <w:t>2,007,042</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1,811,375</w:t>
            </w: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1,822,655</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Nortek,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Electronics/Electric</w:t>
            </w: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2.75%</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3.50%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10/30/2020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985,022</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974,747</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939,464</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NorthStar Asset</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Banking, Finance, Insurance</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49"/>
        </w:trPr>
        <w:tc>
          <w:tcPr>
            <w:tcW w:w="1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Management Group</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&amp; Real Estate</w:t>
            </w:r>
          </w:p>
        </w:tc>
        <w:tc>
          <w:tcPr>
            <w:tcW w:w="1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3.88%</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1/30/2023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2,000,000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1,930,000</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1,950,000</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Novelis,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Conglomerate</w:t>
            </w: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6/2/2022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9"/>
              </w:rPr>
              <w:t>4,771,058</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4,749,389</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4,440,090</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Novetta Solutions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Aerospace and Defense</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(200MM)</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2,000,000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1,980,636</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1,940,000</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Novetta Solutions</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Aerospace and Defense</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(2nd</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auto"/>
              </w:rPr>
              <w:t>Lien)</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8.50%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9.50%</w:t>
            </w:r>
          </w:p>
        </w:tc>
        <w:tc>
          <w:tcPr>
            <w:tcW w:w="800" w:type="dxa"/>
            <w:vAlign w:val="bottom"/>
          </w:tcPr>
          <w:p>
            <w:pPr>
              <w:jc w:val="right"/>
              <w:spacing w:after="0"/>
              <w:rPr>
                <w:sz w:val="20"/>
                <w:szCs w:val="20"/>
                <w:color w:val="auto"/>
              </w:rPr>
            </w:pPr>
            <w:r>
              <w:rPr>
                <w:rFonts w:ascii="Arial" w:cs="Arial" w:eastAsia="Arial" w:hAnsi="Arial"/>
                <w:sz w:val="14"/>
                <w:szCs w:val="14"/>
                <w:color w:val="auto"/>
              </w:rPr>
              <w:t>9/29/2023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1,000,000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990,269</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950,000</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NPC International, Inc.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Food Services</w:t>
            </w:r>
          </w:p>
        </w:tc>
        <w:tc>
          <w:tcPr>
            <w:tcW w:w="1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(2013)</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12/28/2018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481,250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481,250</w:t>
            </w: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472,829</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NRG Energy,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Utilities</w:t>
            </w: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Term Loan (2013)</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2.00%</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2.75%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7/2/2018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9"/>
              </w:rPr>
              <w:t>3,821,925</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3,808,282</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3,751,449</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Numericable</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Broadcast Radio and</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B-5</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Television</w:t>
            </w: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3.81%</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997,500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995,164</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953,171</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NuSil Technology LLC.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4.00%</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1.25%</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4/7/2017</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789,045</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789,045</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774,645</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Onex Carestream</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4"/>
              </w:rPr>
              <w:t>Healthcare &amp; Pharmaceuticals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Finance LP</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 2013)</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3,832,558</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3,821,232</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3,244,912</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OnexYork Acquisition</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w w:val="94"/>
              </w:rPr>
              <w:t>Healthcare &amp; Pharmaceuticals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Co</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10/1/2021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493,749</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490,644</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459,435</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OpenLink International,</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B Loan</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10/30/2017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2,944,496</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2,943,282</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2,811,994</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P.F. Chang’s China</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Food/Drug Retailers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Borrowing</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9"/>
        </w:trPr>
        <w:tc>
          <w:tcPr>
            <w:tcW w:w="1520" w:type="dxa"/>
            <w:vAlign w:val="bottom"/>
          </w:tcPr>
          <w:p>
            <w:pPr>
              <w:ind w:left="160"/>
              <w:spacing w:after="0" w:line="149" w:lineRule="exact"/>
              <w:rPr>
                <w:sz w:val="20"/>
                <w:szCs w:val="20"/>
                <w:color w:val="auto"/>
              </w:rPr>
            </w:pPr>
            <w:r>
              <w:rPr>
                <w:rFonts w:ascii="Arial" w:cs="Arial" w:eastAsia="Arial" w:hAnsi="Arial"/>
                <w:sz w:val="14"/>
                <w:szCs w:val="14"/>
                <w:color w:val="auto"/>
              </w:rPr>
              <w:t>Bistro, Inc. (Wok</w:t>
            </w:r>
          </w:p>
        </w:tc>
        <w:tc>
          <w:tcPr>
            <w:tcW w:w="1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Acquisition Corp.)</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tcPr>
          <w:p>
            <w:pPr>
              <w:jc w:val="right"/>
              <w:spacing w:after="0"/>
              <w:rPr>
                <w:sz w:val="20"/>
                <w:szCs w:val="20"/>
                <w:color w:val="auto"/>
              </w:rPr>
            </w:pPr>
            <w:r>
              <w:rPr>
                <w:rFonts w:ascii="Arial" w:cs="Arial" w:eastAsia="Arial" w:hAnsi="Arial"/>
                <w:sz w:val="14"/>
                <w:szCs w:val="14"/>
                <w:color w:val="auto"/>
              </w:rPr>
              <w:t>6/24/2019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1,432,750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1,427,110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1,336,039</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P2 Upstream Acquisition</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49"/>
        </w:trPr>
        <w:tc>
          <w:tcPr>
            <w:tcW w:w="1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 (P2 Upstream</w:t>
            </w:r>
          </w:p>
        </w:tc>
        <w:tc>
          <w:tcPr>
            <w:tcW w:w="1840" w:type="dxa"/>
            <w:vAlign w:val="bottom"/>
            <w:shd w:val="clear" w:color="auto" w:fill="CCEEFF"/>
          </w:tcPr>
          <w:p>
            <w:pPr>
              <w:spacing w:after="0"/>
              <w:rPr>
                <w:sz w:val="12"/>
                <w:szCs w:val="12"/>
                <w:color w:val="auto"/>
              </w:rPr>
            </w:pPr>
          </w:p>
        </w:tc>
        <w:tc>
          <w:tcPr>
            <w:tcW w:w="1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Lien)</w:t>
            </w:r>
          </w:p>
        </w:tc>
        <w:tc>
          <w:tcPr>
            <w:tcW w:w="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Canada BC ULC)</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980,000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976,133</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774,200</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w w:val="97"/>
              </w:rPr>
              <w:t>Penn Products Terminal,</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LLC</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4/13/2022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248,125</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246,994</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218,350</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PetCo Animal Supplies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B-1</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Stores, 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1/15/2023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1,000,000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980,217</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978,590</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PetCo Animal Supplies</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B-2</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Stores, Inc.</w:t>
            </w:r>
          </w:p>
        </w:tc>
        <w:tc>
          <w:tcPr>
            <w:tcW w:w="1840" w:type="dxa"/>
            <w:vAlign w:val="bottom"/>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0.62%</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5.62%</w:t>
            </w:r>
          </w:p>
        </w:tc>
        <w:tc>
          <w:tcPr>
            <w:tcW w:w="800" w:type="dxa"/>
            <w:vAlign w:val="bottom"/>
          </w:tcPr>
          <w:p>
            <w:pPr>
              <w:jc w:val="right"/>
              <w:spacing w:after="0"/>
              <w:rPr>
                <w:sz w:val="20"/>
                <w:szCs w:val="20"/>
                <w:color w:val="auto"/>
              </w:rPr>
            </w:pPr>
            <w:r>
              <w:rPr>
                <w:rFonts w:ascii="Arial" w:cs="Arial" w:eastAsia="Arial" w:hAnsi="Arial"/>
                <w:sz w:val="14"/>
                <w:szCs w:val="14"/>
                <w:color w:val="auto"/>
              </w:rPr>
              <w:t>1/15/2023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1,000,000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980,216</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978,960</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Petsmart, Inc. (Argos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B1</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Merger Sub, Inc.)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992,500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987,862</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961,176</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PGX Holdings,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Financial Intermediaries</w:t>
            </w: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4.75%</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5.75%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954,643</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947,123</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941,917</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Pharmaceutical Product</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Conglomerate</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49"/>
        </w:trPr>
        <w:tc>
          <w:tcPr>
            <w:tcW w:w="1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Development, Inc.</w:t>
            </w:r>
          </w:p>
        </w:tc>
        <w:tc>
          <w:tcPr>
            <w:tcW w:w="18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9"/>
        </w:trPr>
        <w:tc>
          <w:tcPr>
            <w:tcW w:w="1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(Jaguar Holdings,</w:t>
            </w:r>
          </w:p>
        </w:tc>
        <w:tc>
          <w:tcPr>
            <w:tcW w:w="18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1,920,848</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1,911,850</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1,872,346</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Phillips-Medisize</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w w:val="94"/>
              </w:rPr>
              <w:t>Healthcare &amp; Pharmaceuticals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6/16/2021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492,500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490,535</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458,025</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Physio-Control</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w w:val="94"/>
              </w:rPr>
              <w:t>Healthcare &amp; Pharmaceuticals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International, Inc.</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498,750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496,371</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498,127</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w w:val="99"/>
              </w:rPr>
              <w:t>Pinnacle Foods Finance</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Food Products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New Term Loan G</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LLC</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2.25%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800" w:type="dxa"/>
            <w:vAlign w:val="bottom"/>
          </w:tcPr>
          <w:p>
            <w:pPr>
              <w:jc w:val="right"/>
              <w:spacing w:after="0"/>
              <w:rPr>
                <w:sz w:val="20"/>
                <w:szCs w:val="20"/>
                <w:color w:val="auto"/>
              </w:rPr>
            </w:pPr>
            <w:r>
              <w:rPr>
                <w:rFonts w:ascii="Arial" w:cs="Arial" w:eastAsia="Arial" w:hAnsi="Arial"/>
                <w:sz w:val="14"/>
                <w:szCs w:val="14"/>
                <w:color w:val="auto"/>
              </w:rPr>
              <w:t>4/29/2020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2,581,332</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2,577,286</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2,553,737</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Planet Fitness Holdings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Leisure</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Goods/Activities/Movies</w:t>
            </w: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2,417,118</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2,410,079</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2,368,776</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PrePaid Legal Services,</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Inc.</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5.25%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6.50%</w:t>
            </w:r>
          </w:p>
        </w:tc>
        <w:tc>
          <w:tcPr>
            <w:tcW w:w="800" w:type="dxa"/>
            <w:vAlign w:val="bottom"/>
          </w:tcPr>
          <w:p>
            <w:pPr>
              <w:jc w:val="right"/>
              <w:spacing w:after="0"/>
              <w:rPr>
                <w:sz w:val="20"/>
                <w:szCs w:val="20"/>
                <w:color w:val="auto"/>
              </w:rPr>
            </w:pPr>
            <w:r>
              <w:rPr>
                <w:rFonts w:ascii="Arial" w:cs="Arial" w:eastAsia="Arial" w:hAnsi="Arial"/>
                <w:sz w:val="14"/>
                <w:szCs w:val="14"/>
                <w:color w:val="auto"/>
              </w:rPr>
              <w:t>7/1/2019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724,167</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721,080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716,020</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Presidio, Inc.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89"/>
              </w:rPr>
              <w:t>1,902,292</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1,846,615</w:t>
            </w: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1,816,688</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Prime Security Services</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(Protection One)</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tcPr>
          <w:p>
            <w:pPr>
              <w:jc w:val="right"/>
              <w:spacing w:after="0"/>
              <w:rPr>
                <w:sz w:val="20"/>
                <w:szCs w:val="20"/>
                <w:color w:val="auto"/>
              </w:rPr>
            </w:pPr>
            <w:r>
              <w:rPr>
                <w:rFonts w:ascii="Arial" w:cs="Arial" w:eastAsia="Arial" w:hAnsi="Arial"/>
                <w:sz w:val="14"/>
                <w:szCs w:val="14"/>
                <w:color w:val="auto"/>
              </w:rPr>
              <w:t>7/1/2021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1,995,000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1,985,640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1,924,178</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Ranpak Holdings, Inc.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938,354</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936,008</w:t>
            </w:r>
          </w:p>
        </w:tc>
        <w:tc>
          <w:tcPr>
            <w:tcW w:w="8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886,745</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Ranpak Holdings, Inc.</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w w:val="98"/>
              </w:rPr>
              <w:t>Term Loan (Second</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auto"/>
              </w:rPr>
              <w:t>Lien)</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7.25%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8.25%</w:t>
            </w:r>
          </w:p>
        </w:tc>
        <w:tc>
          <w:tcPr>
            <w:tcW w:w="800" w:type="dxa"/>
            <w:vAlign w:val="bottom"/>
          </w:tcPr>
          <w:p>
            <w:pPr>
              <w:jc w:val="right"/>
              <w:spacing w:after="0"/>
              <w:rPr>
                <w:sz w:val="20"/>
                <w:szCs w:val="20"/>
                <w:color w:val="auto"/>
              </w:rPr>
            </w:pPr>
            <w:r>
              <w:rPr>
                <w:rFonts w:ascii="Arial" w:cs="Arial" w:eastAsia="Arial" w:hAnsi="Arial"/>
                <w:sz w:val="14"/>
                <w:szCs w:val="14"/>
                <w:color w:val="auto"/>
              </w:rPr>
              <w:t>10/3/2022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497,866</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400,000</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Redtop Acquisitions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Electronics/Electric</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Initial Dollar Term</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Limited</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 (First Lien)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487,461</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482,444</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Regal Cinemas</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Services: Consumer</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Corporation</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tcPr>
          <w:p>
            <w:pPr>
              <w:jc w:val="right"/>
              <w:spacing w:after="0"/>
              <w:rPr>
                <w:sz w:val="20"/>
                <w:szCs w:val="20"/>
                <w:color w:val="auto"/>
              </w:rPr>
            </w:pPr>
            <w:r>
              <w:rPr>
                <w:rFonts w:ascii="Arial" w:cs="Arial" w:eastAsia="Arial" w:hAnsi="Arial"/>
                <w:sz w:val="14"/>
                <w:szCs w:val="14"/>
                <w:color w:val="auto"/>
              </w:rPr>
              <w:t>4/1/2022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497,500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496,320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496,256</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Research Now Group,</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Media</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2,058,445</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2,048,627</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1,996,692</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Rexnord LLC/RBS</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Industrial Equipment</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B Loan</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Global, Inc.</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tcPr>
          <w:p>
            <w:pPr>
              <w:jc w:val="right"/>
              <w:spacing w:after="0"/>
              <w:rPr>
                <w:sz w:val="20"/>
                <w:szCs w:val="20"/>
                <w:color w:val="auto"/>
              </w:rPr>
            </w:pPr>
            <w:r>
              <w:rPr>
                <w:rFonts w:ascii="Arial" w:cs="Arial" w:eastAsia="Arial" w:hAnsi="Arial"/>
                <w:sz w:val="14"/>
                <w:szCs w:val="14"/>
                <w:color w:val="auto"/>
              </w:rPr>
              <w:t>8/21/2020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1,630,123</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1,631,387</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1,557,647</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Reynolds Group</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Industrial Equipment</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Incremental U.S.</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Inc.</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1,910,551</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1,910,551</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1,902,946</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Riverbed Technology,</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Technology</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B</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Inc.</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tcPr>
          <w:p>
            <w:pPr>
              <w:jc w:val="right"/>
              <w:spacing w:after="0"/>
              <w:rPr>
                <w:sz w:val="20"/>
                <w:szCs w:val="20"/>
                <w:color w:val="auto"/>
              </w:rPr>
            </w:pPr>
            <w:r>
              <w:rPr>
                <w:rFonts w:ascii="Arial" w:cs="Arial" w:eastAsia="Arial" w:hAnsi="Arial"/>
                <w:sz w:val="14"/>
                <w:szCs w:val="14"/>
                <w:color w:val="auto"/>
              </w:rPr>
              <w:t>2/25/2022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992,500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988,224</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970,873</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Rocket Software, Inc.</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1,901,835</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1,889,759</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1,889,150</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Rovi Solutions</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Electronics/Electric</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Tranche B-3 Term</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9"/>
        </w:trPr>
        <w:tc>
          <w:tcPr>
            <w:tcW w:w="1520" w:type="dxa"/>
            <w:vAlign w:val="bottom"/>
          </w:tcPr>
          <w:p>
            <w:pPr>
              <w:ind w:left="160"/>
              <w:spacing w:after="0" w:line="149" w:lineRule="exact"/>
              <w:rPr>
                <w:sz w:val="20"/>
                <w:szCs w:val="20"/>
                <w:color w:val="auto"/>
              </w:rPr>
            </w:pPr>
            <w:r>
              <w:rPr>
                <w:rFonts w:ascii="Arial" w:cs="Arial" w:eastAsia="Arial" w:hAnsi="Arial"/>
                <w:sz w:val="14"/>
                <w:szCs w:val="14"/>
                <w:color w:val="auto"/>
              </w:rPr>
              <w:t>Corporation / Rovi</w:t>
            </w:r>
          </w:p>
        </w:tc>
        <w:tc>
          <w:tcPr>
            <w:tcW w:w="1840" w:type="dxa"/>
            <w:vAlign w:val="bottom"/>
          </w:tcPr>
          <w:p>
            <w:pPr>
              <w:spacing w:after="0"/>
              <w:rPr>
                <w:sz w:val="12"/>
                <w:szCs w:val="12"/>
                <w:color w:val="auto"/>
              </w:rPr>
            </w:pPr>
          </w:p>
        </w:tc>
        <w:tc>
          <w:tcPr>
            <w:tcW w:w="130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Guides, Inc.</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tcPr>
          <w:p>
            <w:pPr>
              <w:jc w:val="right"/>
              <w:spacing w:after="0"/>
              <w:rPr>
                <w:sz w:val="20"/>
                <w:szCs w:val="20"/>
                <w:color w:val="auto"/>
              </w:rPr>
            </w:pPr>
            <w:r>
              <w:rPr>
                <w:rFonts w:ascii="Arial" w:cs="Arial" w:eastAsia="Arial" w:hAnsi="Arial"/>
                <w:sz w:val="14"/>
                <w:szCs w:val="14"/>
                <w:color w:val="auto"/>
              </w:rPr>
              <w:t>7/2/2021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w w:val="89"/>
              </w:rPr>
              <w:t>1,477,500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1,471,640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1,422,094</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Royal Adhesives and</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Sealants</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497,500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495,187</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479,675</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Royal Adhesives and</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w w:val="98"/>
              </w:rPr>
              <w:t>Term Loan (Second</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Sealants</w:t>
            </w:r>
          </w:p>
        </w:tc>
        <w:tc>
          <w:tcPr>
            <w:tcW w:w="18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4"/>
                <w:szCs w:val="14"/>
                <w:color w:val="auto"/>
              </w:rPr>
              <w:t>Lien)</w:t>
            </w: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7.50%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8.50%</w:t>
            </w:r>
          </w:p>
        </w:tc>
        <w:tc>
          <w:tcPr>
            <w:tcW w:w="800" w:type="dxa"/>
            <w:vAlign w:val="bottom"/>
          </w:tcPr>
          <w:p>
            <w:pPr>
              <w:jc w:val="right"/>
              <w:spacing w:after="0"/>
              <w:rPr>
                <w:sz w:val="20"/>
                <w:szCs w:val="20"/>
                <w:color w:val="auto"/>
              </w:rPr>
            </w:pPr>
            <w:r>
              <w:rPr>
                <w:rFonts w:ascii="Arial" w:cs="Arial" w:eastAsia="Arial" w:hAnsi="Arial"/>
                <w:sz w:val="14"/>
                <w:szCs w:val="14"/>
                <w:color w:val="auto"/>
              </w:rPr>
              <w:t>6/19/2023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496,388</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478,335</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RPI Finance Trust</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Financial Intermediaries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B-4 Term</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9"/>
              </w:rPr>
              <w:t>5,155,193</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5,155,193</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5,132,665</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Sable International</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Telecommunications</w:t>
            </w:r>
          </w:p>
        </w:tc>
        <w:tc>
          <w:tcPr>
            <w:tcW w:w="1300" w:type="dxa"/>
            <w:vAlign w:val="bottom"/>
          </w:tcPr>
          <w:p>
            <w:pPr>
              <w:ind w:left="60"/>
              <w:spacing w:after="0" w:line="130" w:lineRule="exact"/>
              <w:rPr>
                <w:sz w:val="20"/>
                <w:szCs w:val="20"/>
                <w:color w:val="auto"/>
              </w:rPr>
            </w:pPr>
            <w:r>
              <w:rPr>
                <w:rFonts w:ascii="Arial" w:cs="Arial" w:eastAsia="Arial" w:hAnsi="Arial"/>
                <w:sz w:val="14"/>
                <w:szCs w:val="14"/>
                <w:color w:val="auto"/>
              </w:rPr>
              <w:t>Term Loan B1</w:t>
            </w:r>
          </w:p>
        </w:tc>
        <w:tc>
          <w:tcPr>
            <w:tcW w:w="580" w:type="dxa"/>
            <w:vAlign w:val="bottom"/>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Finance Ltd</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4.75%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tcPr>
          <w:p>
            <w:pPr>
              <w:jc w:val="right"/>
              <w:spacing w:after="0"/>
              <w:rPr>
                <w:sz w:val="20"/>
                <w:szCs w:val="20"/>
                <w:color w:val="auto"/>
              </w:rPr>
            </w:pPr>
            <w:r>
              <w:rPr>
                <w:rFonts w:ascii="Arial" w:cs="Arial" w:eastAsia="Arial" w:hAnsi="Arial"/>
                <w:sz w:val="14"/>
                <w:szCs w:val="14"/>
                <w:color w:val="auto"/>
              </w:rPr>
              <w:t>12/2/2022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825,000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808,500</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800,770</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Sable International</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Telecommunications</w:t>
            </w:r>
          </w:p>
        </w:tc>
        <w:tc>
          <w:tcPr>
            <w:tcW w:w="130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B2</w:t>
            </w:r>
          </w:p>
        </w:tc>
        <w:tc>
          <w:tcPr>
            <w:tcW w:w="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Finance Ltd</w:t>
            </w:r>
          </w:p>
        </w:tc>
        <w:tc>
          <w:tcPr>
            <w:tcW w:w="18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12/2/2022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675,000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661,500</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655,175</w:t>
            </w:r>
          </w:p>
        </w:tc>
      </w:tr>
      <w:tr>
        <w:trPr>
          <w:trHeight w:val="182"/>
        </w:trPr>
        <w:tc>
          <w:tcPr>
            <w:tcW w:w="1520" w:type="dxa"/>
            <w:vAlign w:val="bottom"/>
          </w:tcPr>
          <w:p>
            <w:pPr>
              <w:spacing w:after="0"/>
              <w:rPr>
                <w:sz w:val="20"/>
                <w:szCs w:val="20"/>
                <w:color w:val="auto"/>
              </w:rPr>
            </w:pPr>
            <w:r>
              <w:rPr>
                <w:rFonts w:ascii="Arial" w:cs="Arial" w:eastAsia="Arial" w:hAnsi="Arial"/>
                <w:sz w:val="14"/>
                <w:szCs w:val="14"/>
                <w:color w:val="auto"/>
              </w:rPr>
              <w:t>SBP Holdings LP</w:t>
            </w:r>
          </w:p>
        </w:tc>
        <w:tc>
          <w:tcPr>
            <w:tcW w:w="1840" w:type="dxa"/>
            <w:vAlign w:val="bottom"/>
          </w:tcPr>
          <w:p>
            <w:pPr>
              <w:ind w:left="40"/>
              <w:spacing w:after="0"/>
              <w:rPr>
                <w:sz w:val="20"/>
                <w:szCs w:val="20"/>
                <w:color w:val="auto"/>
              </w:rPr>
            </w:pPr>
            <w:r>
              <w:rPr>
                <w:rFonts w:ascii="Arial" w:cs="Arial" w:eastAsia="Arial" w:hAnsi="Arial"/>
                <w:sz w:val="14"/>
                <w:szCs w:val="14"/>
                <w:color w:val="auto"/>
              </w:rPr>
              <w:t>Industrial Equipment</w:t>
            </w:r>
          </w:p>
        </w:tc>
        <w:tc>
          <w:tcPr>
            <w:tcW w:w="1300" w:type="dxa"/>
            <w:vAlign w:val="bottom"/>
          </w:tcPr>
          <w:p>
            <w:pPr>
              <w:ind w:left="60"/>
              <w:spacing w:after="0"/>
              <w:rPr>
                <w:sz w:val="20"/>
                <w:szCs w:val="20"/>
                <w:color w:val="auto"/>
              </w:rPr>
            </w:pPr>
            <w:r>
              <w:rPr>
                <w:rFonts w:ascii="Arial" w:cs="Arial" w:eastAsia="Arial" w:hAnsi="Arial"/>
                <w:sz w:val="14"/>
                <w:szCs w:val="14"/>
                <w:color w:val="auto"/>
              </w:rPr>
              <w:t>Term Loan (First</w:t>
            </w:r>
          </w:p>
        </w:tc>
        <w:tc>
          <w:tcPr>
            <w:tcW w:w="580" w:type="dxa"/>
            <w:vAlign w:val="bottom"/>
          </w:tcPr>
          <w:p>
            <w:pPr>
              <w:ind w:left="60"/>
              <w:spacing w:after="0"/>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800" w:type="dxa"/>
            <w:vAlign w:val="bottom"/>
          </w:tcPr>
          <w:p>
            <w:pPr>
              <w:jc w:val="right"/>
              <w:spacing w:after="0"/>
              <w:rPr>
                <w:sz w:val="20"/>
                <w:szCs w:val="20"/>
                <w:color w:val="auto"/>
              </w:rPr>
            </w:pPr>
            <w:r>
              <w:rPr>
                <w:rFonts w:ascii="Arial" w:cs="Arial" w:eastAsia="Arial" w:hAnsi="Arial"/>
                <w:sz w:val="14"/>
                <w:szCs w:val="14"/>
                <w:color w:val="auto"/>
              </w:rPr>
              <w:t>3/27/2021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982,500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978,645</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707,400</w:t>
            </w:r>
          </w:p>
        </w:tc>
      </w:tr>
    </w:tbl>
    <w:p>
      <w:pPr>
        <w:sectPr>
          <w:pgSz w:w="11900" w:h="16864" w:orient="portrait"/>
          <w:cols w:equalWidth="0" w:num="1">
            <w:col w:w="11420"/>
          </w:cols>
          <w:pgMar w:left="240" w:top="108" w:right="2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tcPr>
          <w:p>
            <w:pPr>
              <w:ind w:left="60"/>
              <w:spacing w:after="0"/>
              <w:rPr>
                <w:sz w:val="20"/>
                <w:szCs w:val="20"/>
                <w:color w:val="auto"/>
              </w:rPr>
            </w:pPr>
            <w:r>
              <w:rPr>
                <w:rFonts w:ascii="Arial" w:cs="Arial" w:eastAsia="Arial" w:hAnsi="Arial"/>
                <w:sz w:val="14"/>
                <w:szCs w:val="14"/>
                <w:color w:val="auto"/>
              </w:rPr>
              <w:t>Lien)</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Scientific Games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Electronics/Electric</w:t>
            </w:r>
          </w:p>
        </w:tc>
        <w:tc>
          <w:tcPr>
            <w:tcW w:w="12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B2</w:t>
            </w:r>
          </w:p>
        </w:tc>
        <w:tc>
          <w:tcPr>
            <w:tcW w:w="6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International, Inc.</w:t>
            </w:r>
          </w:p>
        </w:tc>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990,000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981,872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904,613</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SCS Holdings (Sirius</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High Tech Industries</w:t>
            </w:r>
          </w:p>
        </w:tc>
        <w:tc>
          <w:tcPr>
            <w:tcW w:w="128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600" w:type="dxa"/>
            <w:vAlign w:val="bottom"/>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Computer)</w:t>
            </w:r>
          </w:p>
        </w:tc>
        <w:tc>
          <w:tcPr>
            <w:tcW w:w="1840" w:type="dxa"/>
            <w:vAlign w:val="bottom"/>
          </w:tcPr>
          <w:p>
            <w:pPr>
              <w:spacing w:after="0"/>
              <w:rPr>
                <w:sz w:val="14"/>
                <w:szCs w:val="14"/>
                <w:color w:val="auto"/>
              </w:rPr>
            </w:pPr>
          </w:p>
        </w:tc>
        <w:tc>
          <w:tcPr>
            <w:tcW w:w="1280" w:type="dxa"/>
            <w:vAlign w:val="bottom"/>
          </w:tcPr>
          <w:p>
            <w:pPr>
              <w:ind w:left="60"/>
              <w:spacing w:after="0"/>
              <w:rPr>
                <w:sz w:val="20"/>
                <w:szCs w:val="20"/>
                <w:color w:val="auto"/>
              </w:rPr>
            </w:pPr>
            <w:r>
              <w:rPr>
                <w:rFonts w:ascii="Arial" w:cs="Arial" w:eastAsia="Arial" w:hAnsi="Arial"/>
                <w:sz w:val="14"/>
                <w:szCs w:val="14"/>
                <w:color w:val="auto"/>
              </w:rPr>
              <w:t>Lien)</w:t>
            </w:r>
          </w:p>
        </w:tc>
        <w:tc>
          <w:tcPr>
            <w:tcW w:w="6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tcPr>
          <w:p>
            <w:pPr>
              <w:jc w:val="right"/>
              <w:spacing w:after="0"/>
              <w:rPr>
                <w:sz w:val="20"/>
                <w:szCs w:val="20"/>
                <w:color w:val="auto"/>
              </w:rPr>
            </w:pPr>
            <w:r>
              <w:rPr>
                <w:rFonts w:ascii="Arial" w:cs="Arial" w:eastAsia="Arial" w:hAnsi="Arial"/>
                <w:sz w:val="14"/>
                <w:szCs w:val="14"/>
                <w:color w:val="auto"/>
              </w:rPr>
              <w:t>10/30/2022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w w:val="89"/>
              </w:rPr>
              <w:t>1,977,528</w:t>
            </w:r>
          </w:p>
        </w:tc>
        <w:tc>
          <w:tcPr>
            <w:tcW w:w="820" w:type="dxa"/>
            <w:vAlign w:val="bottom"/>
          </w:tcPr>
          <w:p>
            <w:pPr>
              <w:jc w:val="right"/>
              <w:spacing w:after="0"/>
              <w:rPr>
                <w:sz w:val="20"/>
                <w:szCs w:val="20"/>
                <w:color w:val="auto"/>
              </w:rPr>
            </w:pPr>
            <w:r>
              <w:rPr>
                <w:rFonts w:ascii="Arial" w:cs="Arial" w:eastAsia="Arial" w:hAnsi="Arial"/>
                <w:sz w:val="14"/>
                <w:szCs w:val="14"/>
                <w:color w:val="auto"/>
              </w:rPr>
              <w:t>1,939,305</w:t>
            </w: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1,937,978</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Seadrill Operating LP</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Oil &amp; Gas</w:t>
            </w:r>
          </w:p>
        </w:tc>
        <w:tc>
          <w:tcPr>
            <w:tcW w:w="1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3.00%</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987,406</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919,799</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407,305</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Sensus USA Inc. (fka</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Utilities</w:t>
            </w:r>
          </w:p>
        </w:tc>
        <w:tc>
          <w:tcPr>
            <w:tcW w:w="128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600" w:type="dxa"/>
            <w:vAlign w:val="bottom"/>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520" w:type="dxa"/>
            <w:vAlign w:val="bottom"/>
          </w:tcPr>
          <w:p>
            <w:pPr>
              <w:ind w:left="160"/>
              <w:spacing w:after="0" w:line="149" w:lineRule="exact"/>
              <w:rPr>
                <w:sz w:val="20"/>
                <w:szCs w:val="20"/>
                <w:color w:val="auto"/>
              </w:rPr>
            </w:pPr>
            <w:r>
              <w:rPr>
                <w:rFonts w:ascii="Arial" w:cs="Arial" w:eastAsia="Arial" w:hAnsi="Arial"/>
                <w:sz w:val="14"/>
                <w:szCs w:val="14"/>
                <w:color w:val="auto"/>
              </w:rPr>
              <w:t>Sensus Metering</w:t>
            </w:r>
          </w:p>
        </w:tc>
        <w:tc>
          <w:tcPr>
            <w:tcW w:w="1840" w:type="dxa"/>
            <w:vAlign w:val="bottom"/>
          </w:tcPr>
          <w:p>
            <w:pPr>
              <w:spacing w:after="0"/>
              <w:rPr>
                <w:sz w:val="12"/>
                <w:szCs w:val="12"/>
                <w:color w:val="auto"/>
              </w:rPr>
            </w:pP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Lien)</w:t>
            </w: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Systems)</w:t>
            </w: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tcPr>
          <w:p>
            <w:pPr>
              <w:jc w:val="right"/>
              <w:spacing w:after="0"/>
              <w:rPr>
                <w:sz w:val="20"/>
                <w:szCs w:val="20"/>
                <w:color w:val="auto"/>
              </w:rPr>
            </w:pPr>
            <w:r>
              <w:rPr>
                <w:rFonts w:ascii="Arial" w:cs="Arial" w:eastAsia="Arial" w:hAnsi="Arial"/>
                <w:sz w:val="14"/>
                <w:szCs w:val="14"/>
                <w:color w:val="auto"/>
              </w:rPr>
              <w:t>5/9/2017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w w:val="89"/>
              </w:rPr>
              <w:t>1,905,121</w:t>
            </w:r>
          </w:p>
        </w:tc>
        <w:tc>
          <w:tcPr>
            <w:tcW w:w="820" w:type="dxa"/>
            <w:vAlign w:val="bottom"/>
          </w:tcPr>
          <w:p>
            <w:pPr>
              <w:jc w:val="right"/>
              <w:spacing w:after="0"/>
              <w:rPr>
                <w:sz w:val="20"/>
                <w:szCs w:val="20"/>
                <w:color w:val="auto"/>
              </w:rPr>
            </w:pPr>
            <w:r>
              <w:rPr>
                <w:rFonts w:ascii="Arial" w:cs="Arial" w:eastAsia="Arial" w:hAnsi="Arial"/>
                <w:sz w:val="14"/>
                <w:szCs w:val="14"/>
                <w:color w:val="auto"/>
              </w:rPr>
              <w:t>1,902,477</w:t>
            </w: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1,826,534</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ServiceMaster Company,</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Conglomerate</w:t>
            </w:r>
          </w:p>
        </w:tc>
        <w:tc>
          <w:tcPr>
            <w:tcW w:w="12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Tranche B Term</w:t>
            </w:r>
          </w:p>
        </w:tc>
        <w:tc>
          <w:tcPr>
            <w:tcW w:w="6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The</w:t>
            </w:r>
          </w:p>
        </w:tc>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9"/>
              </w:rPr>
              <w:t>1,975,000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1,959,254</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1,956,889</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Shearers Foods LLC</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Food Services</w:t>
            </w:r>
          </w:p>
        </w:tc>
        <w:tc>
          <w:tcPr>
            <w:tcW w:w="128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600" w:type="dxa"/>
            <w:vAlign w:val="bottom"/>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tcPr>
          <w:p>
            <w:pPr>
              <w:ind w:left="60"/>
              <w:spacing w:after="0"/>
              <w:rPr>
                <w:sz w:val="20"/>
                <w:szCs w:val="20"/>
                <w:color w:val="auto"/>
              </w:rPr>
            </w:pPr>
            <w:r>
              <w:rPr>
                <w:rFonts w:ascii="Arial" w:cs="Arial" w:eastAsia="Arial" w:hAnsi="Arial"/>
                <w:sz w:val="14"/>
                <w:szCs w:val="14"/>
                <w:color w:val="auto"/>
              </w:rPr>
              <w:t>Lien)</w:t>
            </w:r>
          </w:p>
        </w:tc>
        <w:tc>
          <w:tcPr>
            <w:tcW w:w="6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3.94%</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4.94%</w:t>
            </w:r>
          </w:p>
        </w:tc>
        <w:tc>
          <w:tcPr>
            <w:tcW w:w="800" w:type="dxa"/>
            <w:vAlign w:val="bottom"/>
          </w:tcPr>
          <w:p>
            <w:pPr>
              <w:jc w:val="right"/>
              <w:spacing w:after="0"/>
              <w:rPr>
                <w:sz w:val="20"/>
                <w:szCs w:val="20"/>
                <w:color w:val="auto"/>
              </w:rPr>
            </w:pPr>
            <w:r>
              <w:rPr>
                <w:rFonts w:ascii="Arial" w:cs="Arial" w:eastAsia="Arial" w:hAnsi="Arial"/>
                <w:sz w:val="14"/>
                <w:szCs w:val="14"/>
                <w:color w:val="auto"/>
              </w:rPr>
              <w:t>6/30/2021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987,500</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985,421</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952,938</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Sitel Worldwide</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1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5.50%</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9"/>
              </w:rPr>
              <w:t>1,995,000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1,976,131</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1,931,160</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Sonneborn, LLC</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28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600" w:type="dxa"/>
            <w:vAlign w:val="bottom"/>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tcPr>
          <w:p>
            <w:pPr>
              <w:ind w:left="60"/>
              <w:spacing w:after="0"/>
              <w:rPr>
                <w:sz w:val="20"/>
                <w:szCs w:val="20"/>
                <w:color w:val="auto"/>
              </w:rPr>
            </w:pPr>
            <w:r>
              <w:rPr>
                <w:rFonts w:ascii="Arial" w:cs="Arial" w:eastAsia="Arial" w:hAnsi="Arial"/>
                <w:sz w:val="14"/>
                <w:szCs w:val="14"/>
                <w:color w:val="auto"/>
              </w:rPr>
              <w:t>Lien)</w:t>
            </w:r>
          </w:p>
        </w:tc>
        <w:tc>
          <w:tcPr>
            <w:tcW w:w="6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12/10/2020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222,750</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222,282</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220,801</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Sonneborn, LLC</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Chemicals/Plastics</w:t>
            </w:r>
          </w:p>
        </w:tc>
        <w:tc>
          <w:tcPr>
            <w:tcW w:w="12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Initial US Term</w:t>
            </w:r>
          </w:p>
        </w:tc>
        <w:tc>
          <w:tcPr>
            <w:tcW w:w="6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9"/>
              </w:rPr>
              <w:t>1,262,250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1,259,600</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1,251,205</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Sophia, L.P.</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Electronics/Electric</w:t>
            </w:r>
          </w:p>
        </w:tc>
        <w:tc>
          <w:tcPr>
            <w:tcW w:w="1280" w:type="dxa"/>
            <w:vAlign w:val="bottom"/>
          </w:tcPr>
          <w:p>
            <w:pPr>
              <w:ind w:left="60"/>
              <w:spacing w:after="0" w:line="130" w:lineRule="exact"/>
              <w:rPr>
                <w:sz w:val="20"/>
                <w:szCs w:val="20"/>
                <w:color w:val="auto"/>
              </w:rPr>
            </w:pPr>
            <w:r>
              <w:rPr>
                <w:rFonts w:ascii="Arial" w:cs="Arial" w:eastAsia="Arial" w:hAnsi="Arial"/>
                <w:sz w:val="14"/>
                <w:szCs w:val="14"/>
                <w:color w:val="auto"/>
                <w:w w:val="97"/>
              </w:rPr>
              <w:t>Term Loan (Closing</w:t>
            </w:r>
          </w:p>
        </w:tc>
        <w:tc>
          <w:tcPr>
            <w:tcW w:w="600" w:type="dxa"/>
            <w:vAlign w:val="bottom"/>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tcPr>
          <w:p>
            <w:pPr>
              <w:ind w:left="60"/>
              <w:spacing w:after="0"/>
              <w:rPr>
                <w:sz w:val="20"/>
                <w:szCs w:val="20"/>
                <w:color w:val="auto"/>
              </w:rPr>
            </w:pPr>
            <w:r>
              <w:rPr>
                <w:rFonts w:ascii="Arial" w:cs="Arial" w:eastAsia="Arial" w:hAnsi="Arial"/>
                <w:sz w:val="14"/>
                <w:szCs w:val="14"/>
                <w:color w:val="auto"/>
              </w:rPr>
              <w:t>Date)</w:t>
            </w:r>
          </w:p>
        </w:tc>
        <w:tc>
          <w:tcPr>
            <w:tcW w:w="6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9/30/2022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w w:val="89"/>
              </w:rPr>
              <w:t>1,995,000</w:t>
            </w:r>
          </w:p>
        </w:tc>
        <w:tc>
          <w:tcPr>
            <w:tcW w:w="820" w:type="dxa"/>
            <w:vAlign w:val="bottom"/>
          </w:tcPr>
          <w:p>
            <w:pPr>
              <w:jc w:val="right"/>
              <w:spacing w:after="0"/>
              <w:rPr>
                <w:sz w:val="20"/>
                <w:szCs w:val="20"/>
                <w:color w:val="auto"/>
              </w:rPr>
            </w:pPr>
            <w:r>
              <w:rPr>
                <w:rFonts w:ascii="Arial" w:cs="Arial" w:eastAsia="Arial" w:hAnsi="Arial"/>
                <w:sz w:val="14"/>
                <w:szCs w:val="14"/>
                <w:color w:val="auto"/>
              </w:rPr>
              <w:t>1,985,507</w:t>
            </w: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1,911,469</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SourceHOV LLC</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2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 (First</w:t>
            </w:r>
          </w:p>
        </w:tc>
        <w:tc>
          <w:tcPr>
            <w:tcW w:w="6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w:t>
            </w: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6.75%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9"/>
              </w:rPr>
              <w:t>1,937,500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1,891,680</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1,541,281</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SRAM, LLC</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Industrial Equipment</w:t>
            </w:r>
          </w:p>
        </w:tc>
        <w:tc>
          <w:tcPr>
            <w:tcW w:w="1280" w:type="dxa"/>
            <w:vAlign w:val="bottom"/>
          </w:tcPr>
          <w:p>
            <w:pPr>
              <w:ind w:left="60"/>
              <w:spacing w:after="0" w:line="130" w:lineRule="exact"/>
              <w:rPr>
                <w:sz w:val="20"/>
                <w:szCs w:val="20"/>
                <w:color w:val="auto"/>
              </w:rPr>
            </w:pPr>
            <w:r>
              <w:rPr>
                <w:rFonts w:ascii="Arial" w:cs="Arial" w:eastAsia="Arial" w:hAnsi="Arial"/>
                <w:sz w:val="14"/>
                <w:szCs w:val="14"/>
                <w:color w:val="auto"/>
              </w:rPr>
              <w:t>Term Loan (First</w:t>
            </w:r>
          </w:p>
        </w:tc>
        <w:tc>
          <w:tcPr>
            <w:tcW w:w="600" w:type="dxa"/>
            <w:vAlign w:val="bottom"/>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15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tcPr>
          <w:p>
            <w:pPr>
              <w:ind w:left="60"/>
              <w:spacing w:after="0"/>
              <w:rPr>
                <w:sz w:val="20"/>
                <w:szCs w:val="20"/>
                <w:color w:val="auto"/>
              </w:rPr>
            </w:pPr>
            <w:r>
              <w:rPr>
                <w:rFonts w:ascii="Arial" w:cs="Arial" w:eastAsia="Arial" w:hAnsi="Arial"/>
                <w:sz w:val="14"/>
                <w:szCs w:val="14"/>
                <w:color w:val="auto"/>
              </w:rPr>
              <w:t>Lien)</w:t>
            </w:r>
          </w:p>
        </w:tc>
        <w:tc>
          <w:tcPr>
            <w:tcW w:w="6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tcPr>
          <w:p>
            <w:pPr>
              <w:jc w:val="right"/>
              <w:spacing w:after="0"/>
              <w:rPr>
                <w:sz w:val="20"/>
                <w:szCs w:val="20"/>
                <w:color w:val="auto"/>
              </w:rPr>
            </w:pPr>
            <w:r>
              <w:rPr>
                <w:rFonts w:ascii="Arial" w:cs="Arial" w:eastAsia="Arial" w:hAnsi="Arial"/>
                <w:sz w:val="14"/>
                <w:szCs w:val="14"/>
                <w:color w:val="auto"/>
              </w:rPr>
              <w:t>4/10/2020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w w:val="89"/>
              </w:rPr>
              <w:t>2,904,577</w:t>
            </w:r>
          </w:p>
        </w:tc>
        <w:tc>
          <w:tcPr>
            <w:tcW w:w="820" w:type="dxa"/>
            <w:vAlign w:val="bottom"/>
          </w:tcPr>
          <w:p>
            <w:pPr>
              <w:jc w:val="right"/>
              <w:spacing w:after="0"/>
              <w:rPr>
                <w:sz w:val="20"/>
                <w:szCs w:val="20"/>
                <w:color w:val="auto"/>
              </w:rPr>
            </w:pPr>
            <w:r>
              <w:rPr>
                <w:rFonts w:ascii="Arial" w:cs="Arial" w:eastAsia="Arial" w:hAnsi="Arial"/>
                <w:sz w:val="14"/>
                <w:szCs w:val="14"/>
                <w:color w:val="auto"/>
              </w:rPr>
              <w:t>2,896,630</w:t>
            </w: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2,207,479</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Staples, Inc.</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Retailers (Except Food and</w:t>
            </w:r>
          </w:p>
        </w:tc>
        <w:tc>
          <w:tcPr>
            <w:tcW w:w="12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1/16</w:t>
            </w:r>
          </w:p>
        </w:tc>
        <w:tc>
          <w:tcPr>
            <w:tcW w:w="6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Drugs)</w:t>
            </w:r>
          </w:p>
        </w:tc>
        <w:tc>
          <w:tcPr>
            <w:tcW w:w="1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9"/>
              </w:rPr>
              <w:t>1,000,000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990,308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992,130</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Steak ‘n Shake</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Food Services</w:t>
            </w:r>
          </w:p>
        </w:tc>
        <w:tc>
          <w:tcPr>
            <w:tcW w:w="1280" w:type="dxa"/>
            <w:vAlign w:val="bottom"/>
          </w:tcPr>
          <w:p>
            <w:pPr>
              <w:ind w:left="60"/>
              <w:spacing w:after="0" w:line="130"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Operations, Inc.</w:t>
            </w: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3.75%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4.75%</w:t>
            </w:r>
          </w:p>
        </w:tc>
        <w:tc>
          <w:tcPr>
            <w:tcW w:w="800" w:type="dxa"/>
            <w:vAlign w:val="bottom"/>
          </w:tcPr>
          <w:p>
            <w:pPr>
              <w:jc w:val="right"/>
              <w:spacing w:after="0"/>
              <w:rPr>
                <w:sz w:val="20"/>
                <w:szCs w:val="20"/>
                <w:color w:val="auto"/>
              </w:rPr>
            </w:pPr>
            <w:r>
              <w:rPr>
                <w:rFonts w:ascii="Arial" w:cs="Arial" w:eastAsia="Arial" w:hAnsi="Arial"/>
                <w:sz w:val="14"/>
                <w:szCs w:val="14"/>
                <w:color w:val="auto"/>
              </w:rPr>
              <w:t>3/19/2021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965,341</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957,952</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946,034</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SuperMedia Inc. (fka</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Publishing</w:t>
            </w:r>
          </w:p>
        </w:tc>
        <w:tc>
          <w:tcPr>
            <w:tcW w:w="12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Loan</w:t>
            </w:r>
          </w:p>
        </w:tc>
        <w:tc>
          <w:tcPr>
            <w:tcW w:w="6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Idearc Inc.)</w:t>
            </w:r>
          </w:p>
        </w:tc>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8.60%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12/30/2016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222,900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220,105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67,520</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Survey Sampling</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280" w:type="dxa"/>
            <w:vAlign w:val="bottom"/>
          </w:tcPr>
          <w:p>
            <w:pPr>
              <w:ind w:left="60"/>
              <w:spacing w:after="0" w:line="130"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International</w:t>
            </w: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800" w:type="dxa"/>
            <w:vAlign w:val="bottom"/>
          </w:tcPr>
          <w:p>
            <w:pPr>
              <w:jc w:val="right"/>
              <w:spacing w:after="0"/>
              <w:rPr>
                <w:sz w:val="20"/>
                <w:szCs w:val="20"/>
                <w:color w:val="auto"/>
              </w:rPr>
            </w:pPr>
            <w:r>
              <w:rPr>
                <w:rFonts w:ascii="Arial" w:cs="Arial" w:eastAsia="Arial" w:hAnsi="Arial"/>
                <w:sz w:val="14"/>
                <w:szCs w:val="14"/>
                <w:color w:val="auto"/>
              </w:rPr>
              <w:t>12/16/2020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992,500</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990,554</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970,169</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Sybil Finance BV</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1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9"/>
              </w:rPr>
              <w:t>1,272,143</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1,270,803</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1,253,061</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w w:val="99"/>
              </w:rPr>
              <w:t>Syniverse Holdings,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Initial 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3.00%</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4/23/2019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479,913</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476,927</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311,944</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TaxACT, Inc.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6.00%</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1/3/2023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9"/>
              </w:rPr>
              <w:t>1,860,000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1,805,035</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1,804,200</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TGI Friday’s,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Food Services</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4.25%</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7/15/2020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89"/>
              </w:rPr>
              <w:t>1,651,816</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1,647,936</w:t>
            </w:r>
          </w:p>
        </w:tc>
        <w:tc>
          <w:tcPr>
            <w:tcW w:w="1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1,636,669</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Townsquare Media, Inc.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Media</w:t>
            </w:r>
          </w:p>
        </w:tc>
        <w:tc>
          <w:tcPr>
            <w:tcW w:w="1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932,522</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928,333</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915,624</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TPF II Power LLC and</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Utilities</w:t>
            </w:r>
          </w:p>
        </w:tc>
        <w:tc>
          <w:tcPr>
            <w:tcW w:w="1280" w:type="dxa"/>
            <w:vAlign w:val="bottom"/>
          </w:tcPr>
          <w:p>
            <w:pPr>
              <w:ind w:left="60"/>
              <w:spacing w:after="0" w:line="130"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520" w:type="dxa"/>
            <w:vAlign w:val="bottom"/>
          </w:tcPr>
          <w:p>
            <w:pPr>
              <w:ind w:left="160"/>
              <w:spacing w:after="0" w:line="149" w:lineRule="exact"/>
              <w:rPr>
                <w:sz w:val="20"/>
                <w:szCs w:val="20"/>
                <w:color w:val="auto"/>
              </w:rPr>
            </w:pPr>
            <w:r>
              <w:rPr>
                <w:rFonts w:ascii="Arial" w:cs="Arial" w:eastAsia="Arial" w:hAnsi="Arial"/>
                <w:sz w:val="14"/>
                <w:szCs w:val="14"/>
                <w:color w:val="auto"/>
              </w:rPr>
              <w:t>TPF II Covert Midco</w:t>
            </w:r>
          </w:p>
        </w:tc>
        <w:tc>
          <w:tcPr>
            <w:tcW w:w="1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LLC</w:t>
            </w: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4.50%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800" w:type="dxa"/>
            <w:vAlign w:val="bottom"/>
          </w:tcPr>
          <w:p>
            <w:pPr>
              <w:jc w:val="right"/>
              <w:spacing w:after="0"/>
              <w:rPr>
                <w:sz w:val="20"/>
                <w:szCs w:val="20"/>
                <w:color w:val="auto"/>
              </w:rPr>
            </w:pPr>
            <w:r>
              <w:rPr>
                <w:rFonts w:ascii="Arial" w:cs="Arial" w:eastAsia="Arial" w:hAnsi="Arial"/>
                <w:sz w:val="14"/>
                <w:szCs w:val="14"/>
                <w:color w:val="auto"/>
              </w:rPr>
              <w:t>10/2/2021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w w:val="89"/>
              </w:rPr>
              <w:t>1,491,826</w:t>
            </w:r>
          </w:p>
        </w:tc>
        <w:tc>
          <w:tcPr>
            <w:tcW w:w="820" w:type="dxa"/>
            <w:vAlign w:val="bottom"/>
          </w:tcPr>
          <w:p>
            <w:pPr>
              <w:jc w:val="right"/>
              <w:spacing w:after="0"/>
              <w:rPr>
                <w:sz w:val="20"/>
                <w:szCs w:val="20"/>
                <w:color w:val="auto"/>
              </w:rPr>
            </w:pPr>
            <w:r>
              <w:rPr>
                <w:rFonts w:ascii="Arial" w:cs="Arial" w:eastAsia="Arial" w:hAnsi="Arial"/>
                <w:sz w:val="14"/>
                <w:szCs w:val="14"/>
                <w:color w:val="auto"/>
              </w:rPr>
              <w:t>1,433,943</w:t>
            </w: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1,396,722</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TransDigm, Inc.</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Aerospace and Defense</w:t>
            </w:r>
          </w:p>
        </w:tc>
        <w:tc>
          <w:tcPr>
            <w:tcW w:w="12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Tranche C Term</w:t>
            </w:r>
          </w:p>
        </w:tc>
        <w:tc>
          <w:tcPr>
            <w:tcW w:w="6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9"/>
              </w:rPr>
              <w:t>4,277,294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4,283,815</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4,148,975</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Travel Leaders Group,</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Hotel, Gaming and Leisure</w:t>
            </w:r>
          </w:p>
        </w:tc>
        <w:tc>
          <w:tcPr>
            <w:tcW w:w="1280" w:type="dxa"/>
            <w:vAlign w:val="bottom"/>
          </w:tcPr>
          <w:p>
            <w:pPr>
              <w:ind w:left="60"/>
              <w:spacing w:after="0" w:line="130"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LLC</w:t>
            </w: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6.00%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7.00%</w:t>
            </w:r>
          </w:p>
        </w:tc>
        <w:tc>
          <w:tcPr>
            <w:tcW w:w="800" w:type="dxa"/>
            <w:vAlign w:val="bottom"/>
          </w:tcPr>
          <w:p>
            <w:pPr>
              <w:jc w:val="right"/>
              <w:spacing w:after="0"/>
              <w:rPr>
                <w:sz w:val="20"/>
                <w:szCs w:val="20"/>
                <w:color w:val="auto"/>
              </w:rPr>
            </w:pPr>
            <w:r>
              <w:rPr>
                <w:rFonts w:ascii="Arial" w:cs="Arial" w:eastAsia="Arial" w:hAnsi="Arial"/>
                <w:sz w:val="14"/>
                <w:szCs w:val="14"/>
                <w:color w:val="auto"/>
              </w:rPr>
              <w:t>12/7/2020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w w:val="89"/>
              </w:rPr>
              <w:t>1,946,300</w:t>
            </w:r>
          </w:p>
        </w:tc>
        <w:tc>
          <w:tcPr>
            <w:tcW w:w="820" w:type="dxa"/>
            <w:vAlign w:val="bottom"/>
          </w:tcPr>
          <w:p>
            <w:pPr>
              <w:jc w:val="right"/>
              <w:spacing w:after="0"/>
              <w:rPr>
                <w:sz w:val="20"/>
                <w:szCs w:val="20"/>
                <w:color w:val="auto"/>
              </w:rPr>
            </w:pPr>
            <w:r>
              <w:rPr>
                <w:rFonts w:ascii="Arial" w:cs="Arial" w:eastAsia="Arial" w:hAnsi="Arial"/>
                <w:sz w:val="14"/>
                <w:szCs w:val="14"/>
                <w:color w:val="auto"/>
              </w:rPr>
              <w:t>1,939,729</w:t>
            </w: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1,917,107</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Tricorbraun, Inc. (fka</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Containers/Glass Products</w:t>
            </w:r>
          </w:p>
        </w:tc>
        <w:tc>
          <w:tcPr>
            <w:tcW w:w="12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1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Kranson Industries,</w:t>
            </w:r>
          </w:p>
        </w:tc>
        <w:tc>
          <w:tcPr>
            <w:tcW w:w="18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9"/>
              </w:rPr>
              <w:t>1,836,625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1,831,636</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1,776,935</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rPr>
              <w:t>Truven Health Analytics</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w w:val="94"/>
              </w:rPr>
              <w:t>Healthcare &amp; Pharmaceuticals</w:t>
            </w:r>
          </w:p>
        </w:tc>
        <w:tc>
          <w:tcPr>
            <w:tcW w:w="1280" w:type="dxa"/>
            <w:vAlign w:val="bottom"/>
          </w:tcPr>
          <w:p>
            <w:pPr>
              <w:ind w:left="60"/>
              <w:spacing w:after="0" w:line="130" w:lineRule="exact"/>
              <w:rPr>
                <w:sz w:val="20"/>
                <w:szCs w:val="20"/>
                <w:color w:val="auto"/>
              </w:rPr>
            </w:pPr>
            <w:r>
              <w:rPr>
                <w:rFonts w:ascii="Arial" w:cs="Arial" w:eastAsia="Arial" w:hAnsi="Arial"/>
                <w:sz w:val="14"/>
                <w:szCs w:val="14"/>
                <w:color w:val="auto"/>
              </w:rPr>
              <w:t>New Tranche B</w:t>
            </w:r>
          </w:p>
        </w:tc>
        <w:tc>
          <w:tcPr>
            <w:tcW w:w="600" w:type="dxa"/>
            <w:vAlign w:val="bottom"/>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520" w:type="dxa"/>
            <w:vAlign w:val="bottom"/>
          </w:tcPr>
          <w:p>
            <w:pPr>
              <w:ind w:left="160"/>
              <w:spacing w:after="0" w:line="149" w:lineRule="exact"/>
              <w:rPr>
                <w:sz w:val="20"/>
                <w:szCs w:val="20"/>
                <w:color w:val="auto"/>
              </w:rPr>
            </w:pPr>
            <w:r>
              <w:rPr>
                <w:rFonts w:ascii="Arial" w:cs="Arial" w:eastAsia="Arial" w:hAnsi="Arial"/>
                <w:sz w:val="14"/>
                <w:szCs w:val="14"/>
                <w:color w:val="auto"/>
              </w:rPr>
              <w:t>Inc. (fka Thomson</w:t>
            </w:r>
          </w:p>
        </w:tc>
        <w:tc>
          <w:tcPr>
            <w:tcW w:w="1840" w:type="dxa"/>
            <w:vAlign w:val="bottom"/>
          </w:tcPr>
          <w:p>
            <w:pPr>
              <w:spacing w:after="0"/>
              <w:rPr>
                <w:sz w:val="12"/>
                <w:szCs w:val="12"/>
                <w:color w:val="auto"/>
              </w:rPr>
            </w:pP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520" w:type="dxa"/>
            <w:vAlign w:val="bottom"/>
          </w:tcPr>
          <w:p>
            <w:pPr>
              <w:ind w:left="160"/>
              <w:spacing w:after="0" w:line="149" w:lineRule="exact"/>
              <w:rPr>
                <w:sz w:val="20"/>
                <w:szCs w:val="20"/>
                <w:color w:val="auto"/>
              </w:rPr>
            </w:pPr>
            <w:r>
              <w:rPr>
                <w:rFonts w:ascii="Arial" w:cs="Arial" w:eastAsia="Arial" w:hAnsi="Arial"/>
                <w:sz w:val="14"/>
                <w:szCs w:val="14"/>
                <w:color w:val="auto"/>
              </w:rPr>
              <w:t>Reuters (Healthcare)</w:t>
            </w:r>
          </w:p>
        </w:tc>
        <w:tc>
          <w:tcPr>
            <w:tcW w:w="1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Inc.)</w:t>
            </w: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3.25%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4.50%</w:t>
            </w:r>
          </w:p>
        </w:tc>
        <w:tc>
          <w:tcPr>
            <w:tcW w:w="800" w:type="dxa"/>
            <w:vAlign w:val="bottom"/>
          </w:tcPr>
          <w:p>
            <w:pPr>
              <w:jc w:val="right"/>
              <w:spacing w:after="0"/>
              <w:rPr>
                <w:sz w:val="20"/>
                <w:szCs w:val="20"/>
                <w:color w:val="auto"/>
              </w:rPr>
            </w:pPr>
            <w:r>
              <w:rPr>
                <w:rFonts w:ascii="Arial" w:cs="Arial" w:eastAsia="Arial" w:hAnsi="Arial"/>
                <w:sz w:val="14"/>
                <w:szCs w:val="14"/>
                <w:color w:val="auto"/>
              </w:rPr>
              <w:t>6/6/2019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482,603</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476,598</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480,494</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Twin River Management</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Lodging &amp; Casinos</w:t>
            </w:r>
          </w:p>
        </w:tc>
        <w:tc>
          <w:tcPr>
            <w:tcW w:w="12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Group, Inc.</w:t>
            </w:r>
          </w:p>
        </w:tc>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4.25%</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886,192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887,853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875,673</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w w:val="97"/>
              </w:rPr>
              <w:t>U.S. Security Associates</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280" w:type="dxa"/>
            <w:vAlign w:val="bottom"/>
          </w:tcPr>
          <w:p>
            <w:pPr>
              <w:ind w:left="60"/>
              <w:spacing w:after="0" w:line="130" w:lineRule="exact"/>
              <w:rPr>
                <w:sz w:val="20"/>
                <w:szCs w:val="20"/>
                <w:color w:val="auto"/>
              </w:rPr>
            </w:pPr>
            <w:r>
              <w:rPr>
                <w:rFonts w:ascii="Arial" w:cs="Arial" w:eastAsia="Arial" w:hAnsi="Arial"/>
                <w:sz w:val="14"/>
                <w:szCs w:val="14"/>
                <w:color w:val="auto"/>
                <w:w w:val="97"/>
              </w:rPr>
              <w:t>Delayed Draw Loan</w:t>
            </w:r>
          </w:p>
        </w:tc>
        <w:tc>
          <w:tcPr>
            <w:tcW w:w="600" w:type="dxa"/>
            <w:vAlign w:val="bottom"/>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Holdings, Inc.</w:t>
            </w: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5.00%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6.25%</w:t>
            </w:r>
          </w:p>
        </w:tc>
        <w:tc>
          <w:tcPr>
            <w:tcW w:w="800" w:type="dxa"/>
            <w:vAlign w:val="bottom"/>
          </w:tcPr>
          <w:p>
            <w:pPr>
              <w:jc w:val="right"/>
              <w:spacing w:after="0"/>
              <w:rPr>
                <w:sz w:val="20"/>
                <w:szCs w:val="20"/>
                <w:color w:val="auto"/>
              </w:rPr>
            </w:pPr>
            <w:r>
              <w:rPr>
                <w:rFonts w:ascii="Arial" w:cs="Arial" w:eastAsia="Arial" w:hAnsi="Arial"/>
                <w:sz w:val="14"/>
                <w:szCs w:val="14"/>
                <w:color w:val="auto"/>
              </w:rPr>
              <w:t>7/28/2017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156,888</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156,328</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155,973</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U.S. Security Associates</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2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B Loan</w:t>
            </w:r>
          </w:p>
        </w:tc>
        <w:tc>
          <w:tcPr>
            <w:tcW w:w="6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Inc.</w:t>
            </w:r>
          </w:p>
        </w:tc>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7/28/2017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921,426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918,393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916,054</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Univar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89"/>
              </w:rPr>
              <w:t>2,992,500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2,978,573</w:t>
            </w:r>
          </w:p>
        </w:tc>
        <w:tc>
          <w:tcPr>
            <w:tcW w:w="1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2,840,810</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Univision</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Telecommunications</w:t>
            </w:r>
          </w:p>
        </w:tc>
        <w:tc>
          <w:tcPr>
            <w:tcW w:w="12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Replacement First-</w:t>
            </w:r>
          </w:p>
        </w:tc>
        <w:tc>
          <w:tcPr>
            <w:tcW w:w="6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Communications Inc.</w:t>
            </w:r>
          </w:p>
        </w:tc>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Lien Term Loan</w:t>
            </w: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9"/>
              </w:rPr>
              <w:t>2,916,556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2,903,859</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2,832,705</w:t>
            </w:r>
          </w:p>
        </w:tc>
      </w:tr>
      <w:tr>
        <w:trPr>
          <w:trHeight w:val="130"/>
        </w:trPr>
        <w:tc>
          <w:tcPr>
            <w:tcW w:w="1520" w:type="dxa"/>
            <w:vAlign w:val="bottom"/>
          </w:tcPr>
          <w:p>
            <w:pPr>
              <w:spacing w:after="0" w:line="130" w:lineRule="exact"/>
              <w:rPr>
                <w:sz w:val="20"/>
                <w:szCs w:val="20"/>
                <w:color w:val="auto"/>
              </w:rPr>
            </w:pPr>
            <w:r>
              <w:rPr>
                <w:rFonts w:ascii="Arial" w:cs="Arial" w:eastAsia="Arial" w:hAnsi="Arial"/>
                <w:sz w:val="14"/>
                <w:szCs w:val="14"/>
                <w:color w:val="auto"/>
                <w:w w:val="96"/>
              </w:rPr>
              <w:t>Valeant Pharmaceuticals</w:t>
            </w:r>
          </w:p>
        </w:tc>
        <w:tc>
          <w:tcPr>
            <w:tcW w:w="1840" w:type="dxa"/>
            <w:vAlign w:val="bottom"/>
          </w:tcPr>
          <w:p>
            <w:pPr>
              <w:ind w:left="40"/>
              <w:spacing w:after="0" w:line="130" w:lineRule="exact"/>
              <w:rPr>
                <w:sz w:val="20"/>
                <w:szCs w:val="20"/>
                <w:color w:val="auto"/>
              </w:rPr>
            </w:pPr>
            <w:r>
              <w:rPr>
                <w:rFonts w:ascii="Arial" w:cs="Arial" w:eastAsia="Arial" w:hAnsi="Arial"/>
                <w:sz w:val="14"/>
                <w:szCs w:val="14"/>
                <w:color w:val="auto"/>
              </w:rPr>
              <w:t>Drugs</w:t>
            </w:r>
          </w:p>
        </w:tc>
        <w:tc>
          <w:tcPr>
            <w:tcW w:w="1280" w:type="dxa"/>
            <w:vAlign w:val="bottom"/>
          </w:tcPr>
          <w:p>
            <w:pPr>
              <w:ind w:left="60"/>
              <w:spacing w:after="0" w:line="130" w:lineRule="exact"/>
              <w:rPr>
                <w:sz w:val="20"/>
                <w:szCs w:val="20"/>
                <w:color w:val="auto"/>
              </w:rPr>
            </w:pPr>
            <w:r>
              <w:rPr>
                <w:rFonts w:ascii="Arial" w:cs="Arial" w:eastAsia="Arial" w:hAnsi="Arial"/>
                <w:sz w:val="14"/>
                <w:szCs w:val="14"/>
                <w:color w:val="auto"/>
              </w:rPr>
              <w:t>Series D2 Term</w:t>
            </w:r>
          </w:p>
        </w:tc>
        <w:tc>
          <w:tcPr>
            <w:tcW w:w="600" w:type="dxa"/>
            <w:vAlign w:val="bottom"/>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1520" w:type="dxa"/>
            <w:vAlign w:val="bottom"/>
          </w:tcPr>
          <w:p>
            <w:pPr>
              <w:ind w:left="160"/>
              <w:spacing w:after="0"/>
              <w:rPr>
                <w:sz w:val="20"/>
                <w:szCs w:val="20"/>
                <w:color w:val="auto"/>
              </w:rPr>
            </w:pPr>
            <w:r>
              <w:rPr>
                <w:rFonts w:ascii="Arial" w:cs="Arial" w:eastAsia="Arial" w:hAnsi="Arial"/>
                <w:sz w:val="14"/>
                <w:szCs w:val="14"/>
                <w:color w:val="auto"/>
              </w:rPr>
              <w:t>International, Inc.</w:t>
            </w:r>
          </w:p>
        </w:tc>
        <w:tc>
          <w:tcPr>
            <w:tcW w:w="1840" w:type="dxa"/>
            <w:vAlign w:val="bottom"/>
          </w:tcPr>
          <w:p>
            <w:pPr>
              <w:spacing w:after="0"/>
              <w:rPr>
                <w:sz w:val="14"/>
                <w:szCs w:val="14"/>
                <w:color w:val="auto"/>
              </w:rPr>
            </w:pPr>
          </w:p>
        </w:tc>
        <w:tc>
          <w:tcPr>
            <w:tcW w:w="1280" w:type="dxa"/>
            <w:vAlign w:val="bottom"/>
          </w:tcPr>
          <w:p>
            <w:pPr>
              <w:ind w:left="60"/>
              <w:spacing w:after="0"/>
              <w:rPr>
                <w:sz w:val="20"/>
                <w:szCs w:val="20"/>
                <w:color w:val="auto"/>
              </w:rPr>
            </w:pPr>
            <w:r>
              <w:rPr>
                <w:rFonts w:ascii="Arial" w:cs="Arial" w:eastAsia="Arial" w:hAnsi="Arial"/>
                <w:sz w:val="14"/>
                <w:szCs w:val="14"/>
                <w:color w:val="auto"/>
              </w:rPr>
              <w:t>Loan B</w:t>
            </w:r>
          </w:p>
        </w:tc>
        <w:tc>
          <w:tcPr>
            <w:tcW w:w="60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2.75%</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0.75%</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3.50%</w:t>
            </w:r>
          </w:p>
        </w:tc>
        <w:tc>
          <w:tcPr>
            <w:tcW w:w="800" w:type="dxa"/>
            <w:vAlign w:val="bottom"/>
          </w:tcPr>
          <w:p>
            <w:pPr>
              <w:jc w:val="right"/>
              <w:spacing w:after="0"/>
              <w:rPr>
                <w:sz w:val="20"/>
                <w:szCs w:val="20"/>
                <w:color w:val="auto"/>
              </w:rPr>
            </w:pPr>
            <w:r>
              <w:rPr>
                <w:rFonts w:ascii="Arial" w:cs="Arial" w:eastAsia="Arial" w:hAnsi="Arial"/>
                <w:sz w:val="14"/>
                <w:szCs w:val="14"/>
                <w:color w:val="auto"/>
              </w:rPr>
              <w:t>2/13/2019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w w:val="89"/>
              </w:rPr>
              <w:t>2,545,588</w:t>
            </w:r>
          </w:p>
        </w:tc>
        <w:tc>
          <w:tcPr>
            <w:tcW w:w="820" w:type="dxa"/>
            <w:vAlign w:val="bottom"/>
          </w:tcPr>
          <w:p>
            <w:pPr>
              <w:jc w:val="right"/>
              <w:spacing w:after="0"/>
              <w:rPr>
                <w:sz w:val="20"/>
                <w:szCs w:val="20"/>
                <w:color w:val="auto"/>
              </w:rPr>
            </w:pPr>
            <w:r>
              <w:rPr>
                <w:rFonts w:ascii="Arial" w:cs="Arial" w:eastAsia="Arial" w:hAnsi="Arial"/>
                <w:sz w:val="14"/>
                <w:szCs w:val="14"/>
                <w:color w:val="auto"/>
              </w:rPr>
              <w:t>2,539,315</w:t>
            </w:r>
          </w:p>
        </w:tc>
        <w:tc>
          <w:tcPr>
            <w:tcW w:w="14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2,385,700</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Verint Systems Inc.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2.75%</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9"/>
              </w:rPr>
              <w:t>1,014,058</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1,011,203</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1,005,692</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Vertafore, Inc.</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Term Loan (2013)</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3.25%</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10/3/2019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89"/>
              </w:rPr>
              <w:t>2,484,603</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2,484,603</w:t>
            </w:r>
          </w:p>
        </w:tc>
        <w:tc>
          <w:tcPr>
            <w:tcW w:w="1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2,452,775</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Vizient Inc.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Healthcare &amp; Pharmaceuticals</w:t>
            </w:r>
          </w:p>
        </w:tc>
        <w:tc>
          <w:tcPr>
            <w:tcW w:w="1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5.25%</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2/13/2023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9"/>
              </w:rPr>
              <w:t>1,000,000</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970,144</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993,750</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Vouvray US Finance</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Industrial Equipment</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3.75%</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6/27/2021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492,500</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490,508</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478,134</w:t>
            </w:r>
          </w:p>
        </w:tc>
      </w:tr>
      <w:tr>
        <w:trPr>
          <w:trHeight w:val="130"/>
        </w:trPr>
        <w:tc>
          <w:tcPr>
            <w:tcW w:w="1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Washington Inventory</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Services: Business</w:t>
            </w:r>
          </w:p>
        </w:tc>
        <w:tc>
          <w:tcPr>
            <w:tcW w:w="12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U.S. Term Loan</w:t>
            </w:r>
          </w:p>
        </w:tc>
        <w:tc>
          <w:tcPr>
            <w:tcW w:w="6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15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Service</w:t>
            </w:r>
          </w:p>
        </w:tc>
        <w:tc>
          <w:tcPr>
            <w:tcW w:w="1840" w:type="dxa"/>
            <w:vAlign w:val="bottom"/>
            <w:shd w:val="clear" w:color="auto" w:fill="CCEEFF"/>
          </w:tcPr>
          <w:p>
            <w:pPr>
              <w:spacing w:after="0"/>
              <w:rPr>
                <w:sz w:val="14"/>
                <w:szCs w:val="14"/>
                <w:color w:val="auto"/>
              </w:rPr>
            </w:pPr>
          </w:p>
        </w:tc>
        <w:tc>
          <w:tcPr>
            <w:tcW w:w="1280" w:type="dxa"/>
            <w:vAlign w:val="bottom"/>
            <w:shd w:val="clear" w:color="auto" w:fill="CCEEFF"/>
          </w:tcPr>
          <w:p>
            <w:pPr>
              <w:ind w:left="60"/>
              <w:spacing w:after="0"/>
              <w:rPr>
                <w:sz w:val="20"/>
                <w:szCs w:val="20"/>
                <w:color w:val="auto"/>
              </w:rPr>
            </w:pPr>
            <w:r>
              <w:rPr>
                <w:rFonts w:ascii="Arial" w:cs="Arial" w:eastAsia="Arial" w:hAnsi="Arial"/>
                <w:sz w:val="14"/>
                <w:szCs w:val="14"/>
                <w:color w:val="auto"/>
              </w:rPr>
              <w:t>(First Lien)</w:t>
            </w: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4.50%</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w:t>
            </w: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9"/>
              </w:rPr>
              <w:t>1,736,392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1,749,291</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1,475,934</w:t>
            </w: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West Corporation</w:t>
            </w:r>
          </w:p>
        </w:tc>
        <w:tc>
          <w:tcPr>
            <w:tcW w:w="1840" w:type="dxa"/>
            <w:vAlign w:val="bottom"/>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1280" w:type="dxa"/>
            <w:vAlign w:val="bottom"/>
          </w:tcPr>
          <w:p>
            <w:pPr>
              <w:ind w:left="60"/>
              <w:spacing w:after="0" w:line="149" w:lineRule="exact"/>
              <w:rPr>
                <w:sz w:val="20"/>
                <w:szCs w:val="20"/>
                <w:color w:val="auto"/>
              </w:rPr>
            </w:pPr>
            <w:r>
              <w:rPr>
                <w:rFonts w:ascii="Arial" w:cs="Arial" w:eastAsia="Arial" w:hAnsi="Arial"/>
                <w:sz w:val="14"/>
                <w:szCs w:val="14"/>
                <w:color w:val="auto"/>
              </w:rPr>
              <w:t>Term B-10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7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2.50%</w:t>
            </w: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color w:val="auto"/>
              </w:rPr>
              <w:t>0.75%</w:t>
            </w:r>
          </w:p>
        </w:tc>
        <w:tc>
          <w:tcPr>
            <w:tcW w:w="6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3.25%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6/30/2018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89"/>
              </w:rPr>
              <w:t>2,534,892</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2,558,782</w:t>
            </w:r>
          </w:p>
        </w:tc>
        <w:tc>
          <w:tcPr>
            <w:tcW w:w="1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2,490,861</w:t>
            </w:r>
          </w:p>
        </w:tc>
      </w:tr>
      <w:tr>
        <w:trPr>
          <w:trHeight w:val="149"/>
        </w:trPr>
        <w:tc>
          <w:tcPr>
            <w:tcW w:w="1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ZEP Inc.</w:t>
            </w:r>
          </w:p>
        </w:tc>
        <w:tc>
          <w:tcPr>
            <w:tcW w:w="18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12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7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4.75%</w:t>
            </w:r>
          </w:p>
        </w:tc>
        <w:tc>
          <w:tcPr>
            <w:tcW w:w="6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w:t>
            </w:r>
          </w:p>
        </w:tc>
        <w:tc>
          <w:tcPr>
            <w:tcW w:w="6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89"/>
              </w:rPr>
              <w:t>2,985,000</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2,971,139</w:t>
            </w:r>
          </w:p>
        </w:tc>
        <w:tc>
          <w:tcPr>
            <w:tcW w:w="14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2,932,763</w:t>
            </w:r>
          </w:p>
        </w:tc>
        <w:tc>
          <w:tcPr>
            <w:tcW w:w="80" w:type="dxa"/>
            <w:vAlign w:val="bottom"/>
            <w:shd w:val="clear" w:color="auto" w:fill="CCEEFF"/>
          </w:tcPr>
          <w:p>
            <w:pPr>
              <w:spacing w:after="0"/>
              <w:rPr>
                <w:sz w:val="12"/>
                <w:szCs w:val="1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u w:val="single" w:color="auto"/>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9"/>
              </w:rPr>
              <w:t>303,643,756</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u w:val="single" w:color="auto"/>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2"/>
              </w:rPr>
              <w:t>284,844,789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24"/>
                <w:szCs w:val="24"/>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Cash and cash</w:t>
            </w:r>
          </w:p>
        </w:tc>
        <w:tc>
          <w:tcPr>
            <w:tcW w:w="34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equivalents</w:t>
            </w:r>
          </w:p>
        </w:tc>
        <w:tc>
          <w:tcPr>
            <w:tcW w:w="3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U.S. Bank Money Market (a)</w:t>
            </w:r>
          </w:p>
        </w:tc>
        <w:tc>
          <w:tcPr>
            <w:tcW w:w="4220" w:type="dxa"/>
            <w:vAlign w:val="bottom"/>
            <w:gridSpan w:val="3"/>
          </w:tcPr>
          <w:p>
            <w:pPr>
              <w:jc w:val="center"/>
              <w:ind w:left="3208"/>
              <w:spacing w:after="0" w:line="14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2,349,633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2,349,633</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2,349,633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w:t>
            </w:r>
          </w:p>
        </w:tc>
        <w:tc>
          <w:tcPr>
            <w:tcW w:w="4220" w:type="dxa"/>
            <w:vAlign w:val="bottom"/>
            <w:gridSpan w:val="3"/>
            <w:shd w:val="clear" w:color="auto" w:fill="CCEEFF"/>
          </w:tcPr>
          <w:p>
            <w:pPr>
              <w:jc w:val="center"/>
              <w:ind w:left="3208"/>
              <w:spacing w:after="0" w:line="149"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2,349,633</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2,349,633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2,349,633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20" w:right="2180" w:hanging="5612"/>
        <w:spacing w:after="0" w:line="449" w:lineRule="auto"/>
        <w:tabs>
          <w:tab w:leader="none" w:pos="38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within cash and cash equivalents in Saratoga CLO’s Statements of Assets and Liabilities as of February 29, 2016. 24</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Agreements and Related Party Transactions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30, 2010, the Company entered into the Management Agreement with our Manager. The initial term of the Management Agreement was two years, with automatic, one-year renewals at the end of each year, subject to certain approvals by our board of directors and/or the Company’s stockholders. On July 7, 2016, our board of directors approved the renewal of the Management Agreement for an additional one-year term. Pursuant to the Management Agreement, our Manager implements our business strategy on a day-to-day basis and performs certain services for us, subject to oversight by our board of directors. Our Manager is responsible for, among other duties, determining investment criteria, sourcing, analyzing and executing investments transactions, asset sales, financings and performing asset management duties. Under the Management Agreement, we have agreed to pay our Manager a management fee for investment advisory and management services consisting of a base management fee and an incentive fee.</w:t>
      </w:r>
    </w:p>
    <w:p>
      <w:pPr>
        <w:spacing w:after="0" w:line="16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base management fee of 1.75% is calculated based on the average value of our gross assets (other than cash or cash equivalents, but including assets purchased with borrowed funds) at the end of the two most recently completed fiscal quarters.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first, payable quarterly in arrears, equals 20.0% of our pre-incentive fee net investment income, expressed as a rate of return on the value of our net assets at the end of the immediately preceding quarter, that exceeds a 1.875% quarterly hurdle rate measured as of the end of each fiscal quarter, subject to a “catch-up” provision. Under this provision, in any fiscal quarter, our Manager receives no incentive fee unless our pre-incentive fee net investment income exceeds the hurdle rate of 1.875%. Our Manager will receive 100.0% of pre-incentive fee net investment income, if any, that exceeds the hurdle rate but is less than or equal to 2.344% in any fiscal quarter; and 20.0% of the amount of the our pre-incentive fee net investment income, if any, that exceeds 2.344% in any fiscal quarter. There is no accumulation of amounts on the hurdle rate from quarter to quarter, and accordingly there is no claw back of amounts previously paid if subsequent quarters are below the quarterly hurdle rate, and there is no delay of payment if prior quarters are below the quarterly hurdle rate.</w:t>
      </w:r>
    </w:p>
    <w:p>
      <w:pPr>
        <w:spacing w:after="0" w:line="19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our Manager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79"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For the three months ended November 30, 2016 and November 30, 2015, the Company incurred $1.2 million and $1.1 million in base management fees, respectively. For the three months ended November 30, 2016 and November 30, 2015, the Company incurred $0.8 million and $0.2 million in incentive fees related to pre-incentive fee net investment income, respectively. For the three months ended November 30, 2016, there was a reduction of $0.4 million in incentive fees related to capital gains. For the three months ended November 30, 2015, we accrued $0.2 million in incentive fees related to capital gains. For the nine months ended November 30, 2016 and November 30, 2015, the Company incurred $3.6 million and $3.4 million in base management fees, respectively. For the nine months ended November 30, 2016 and November 30, 2015, the Company incurred $2.2 million and $1.7 million in incentive fees related to pre-incentive fee net investment income, respectively. For the nine months ended November 30, 2016 and November 30, 2015, we accrued</w:t>
      </w:r>
    </w:p>
    <w:p>
      <w:pPr>
        <w:spacing w:after="0" w:line="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$0.1 million and $0.5 million in incentive fees related to capital gains, respectively. The accrual is calculated using both realized and unrealized capital gains for the period. The actual incentive fee related to capital gains will be determined and payable in arrears at the end of the fiscal year and will include only realized capital gains for the period. As of November 30, 2016, the base management fees accrual was $1.2 million and the incentive fees accrual was $4.7 million and is included in base management and incentive fees payable in the accompanying consolidated statements of assets and liabilities. As of February 29, 2016, the base management fees accrual was $1.2 million and the incentive fees accrual was $4.4 million and is included in base management and incentive fees payable in the accompanying consolidated statements of assets and liabilities.</w:t>
      </w:r>
    </w:p>
    <w:p>
      <w:pPr>
        <w:spacing w:after="0" w:line="179"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July 30, 2010, the Company entered into a separate administration agreement (the “Administration Agreement”) with our Manager, pursuant to which our Manager, as our administrator, has agreed to furnish us with the facilities and administrative services necessary to conduct our day-to-day operations and provide managerial assistance on our behalf to those portfolio companies to which we are required to provide such assistance. The initial term of the Administration Agreement was two years, with automatic, one-year renewals at the end of each year subject to certain approvals by our board of directors and/or our stockholders. The amount of expenses payable or reimbursable thereunder by the Company was capped at $1.0 million for the initial two year term of the Administration Agreement and subsequent renewals. On July 8, 2015, our board of directors approved the renewal of the Administration Agreement for an additional one-year term and determined to increase the cap on the payment or reimbursement of expenses by the Company thereunder, which had not been increased since the inception of the agreement, to $1.3 million. On July 7, 2016, our board of directors approved the renewal of the Administration Agreement for an additional one-year term. On October 5, 2016, our board of directors determined to increase the cap on the payment or reimbursement of expenses by the Company under the Administration Agreement, from $1.3 million to $1.5 million, effective November 1, 2016.</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6"/>
          <w:szCs w:val="16"/>
          <w:color w:val="auto"/>
        </w:rPr>
        <w:t>For the three months ended November 30, 2016 and November 30, 2015, we recognized $0.3 million and $0.3 million, in administrator expenses for the periods, respectively, pertaining to bookkeeping, record keeping and other administrative services provided to us in addition to our allocable portion of rent and other overhead related expenses. For the nine months ended November 30, 2016 and November 30, 2015, we recognized $1.0 million and</w:t>
      </w:r>
    </w:p>
    <w:p>
      <w:pPr>
        <w:spacing w:after="0" w:line="270" w:lineRule="auto"/>
        <w:rPr>
          <w:sz w:val="20"/>
          <w:szCs w:val="20"/>
          <w:color w:val="auto"/>
        </w:rPr>
      </w:pPr>
      <w:r>
        <w:rPr>
          <w:rFonts w:ascii="Arial" w:cs="Arial" w:eastAsia="Arial" w:hAnsi="Arial"/>
          <w:sz w:val="17"/>
          <w:szCs w:val="17"/>
          <w:color w:val="auto"/>
        </w:rPr>
        <w:t>$0.9 million, in administrator expenses for the periods, respectively, pertaining to bookkeeping, record keeping and other administrative services provided to us in addition to our allocable portion of rent and other overhead related expenses. As of November 30, 2016, $0.3 million of administrator expenses and other expenses payable to the Manager were accrued and included in due to manager in the accompanying consolidated statements of assets and liabilities. As of February 29, 2016, $0.2 million of administrator expenses and other expenses payable to the Manager were accrued and included in due to manager in the accompanying consolidated statements of assets and liabilities. For the nine months ended November 30, 2016 and November 30, 2015, the Company neither bought nor sold any investments from the Saratoga CLO.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a BDC, we are only allowed to employ leverage to the extent that our asset coverage, as defined in the 1940 Act, equals at least 200.0% after giving effect to such leverage. The amount of leverage that we employ at any time depends on our assessment of the market and other factors at the time of any proposed borrowing.</w:t>
      </w:r>
    </w:p>
    <w:p>
      <w:pPr>
        <w:spacing w:after="0" w:line="18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On April 11, 2007, we entered into a $100.0 million revolving securitized credit facility (the “Revolving Facility”). On May 1, 2007, we entered into a $25.7 million term securitized credit facility (the “Term Facility” and, together with the Revolving Facility, the “Facilities”), which was fully drawn at closing. In December 2007, we consolidated the Facilities by using a draw under the Revolving Facility to repay the Term Facility. In response to the market wide decline in financial asset prices, which negatively affected the value of our portfolio, we terminated the revolving period of the Revolving Facility effective January 14, 2009 and commenced a two-year amortization period during which all principal proceeds from the collateral were used to repay outstanding borrowings. A significant percentage of our total assets had been pledged under the Revolving Facility to secure our obligations thereunder. Under the Revolving Facility, funds were borrowed from or through certain lenders and interest was payable monthly at the greater of the commercial paper rate and our lender’s prime rate plus 4.00% plus a default rate of 2.00% or, if the commercial paper market was unavailable, the greater of the prevailing LIBOR rates and our lender’s prime rate plus 6.00% plus a default rate of 3.00%.</w:t>
      </w:r>
    </w:p>
    <w:p>
      <w:pPr>
        <w:spacing w:after="0" w:line="182"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In March 2009, we amended the Revolving Facility to increase the portion of the portfolio that could be invested in “CCC” rated investments in return for an increased interest rate and expedited amortization. As a result of these transactions, we expected to have additional cushion under our borrowing base under the Revolving Facility that would allow us to better manage our capital in times of declining asset prices and market dislocation.</w:t>
      </w:r>
    </w:p>
    <w:p>
      <w:pPr>
        <w:spacing w:after="0" w:line="166"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On July 30, 2009, we exceeded the permissible borrowing limit under the Revolving Facility for 30 consecutive days, resulting in an event of default under the Revolving Facility. As a result of this event of default, our lender had the right to accelerate repayment of the outstanding indebtedness under the Revolving Facility and to foreclose and liquidate the collateral pledged thereunder. Acceleration of the outstanding indebtedness and/or liquidation of the collateral could have had a material adverse effect on our liquidity, financial condition and operations.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July 30, 2010, we used the net proceeds from (i) the stock purchase transaction and (ii) a portion of the funds available to us under the $45.0 million senior secured revolving credit facility (the “Credit Facility”) with Madison Capital Funding LLC, in each case, to pay the full amount of principal and accrued interest, including default interest, outstanding under the Revolving Facility. As a result, the Revolving Facility was terminated in connection therewith. Substantially all of our total assets, other than those held by SBIC LP, have been pledged under the Credit Facility to secure our obligations thereunder.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 the period during which we may make and repay borrowings under the Credit Facility from July 30, 2013 to February 24, 2015 (the “Revolving Period”). The Revolving Period may, upon the occurrence of an event of default, by action of the lenders or automatically, be terminated. All borrowings and other amounts payable under the Credit Facility are due and payable five years after the end of the Revolving Period; 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remove the condition that we may not acquire additional loan assets without the prior written consent of Madison Capital Funding LLC.</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September 17, 2014, we entered into a second amendment to the Credit Facility with Madison Capital Funding LLC to, among other things:</w:t>
      </w:r>
    </w:p>
    <w:p>
      <w:pPr>
        <w:spacing w:after="0" w:line="14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extend the maturity date of the Credit Facility from February 24, 2020 to September 17, 2022 (unless terminated sooner upon certain events);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reduce the applicable margin rate on base rate borrowings from 4.50% to 3.75%, and on LIBOR borrowings from 5.50% to 4.75%;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As of November 30, 2016 and February 29, 2016, there were no outstanding borrowings under the Credit Facility and the Company was in compliance with all of the limitations and requirements of the Credit Facility. Financing costs of $2.7 million related to the Credit Facility have been capitalized and are being amortized over the term of the facility. For the three months ended November 30, 2016 and November 30, 2015, we recorded $0.1 million and</w:t>
      </w:r>
    </w:p>
    <w:p>
      <w:pPr>
        <w:ind w:right="240"/>
        <w:spacing w:after="0" w:line="281" w:lineRule="auto"/>
        <w:rPr>
          <w:sz w:val="20"/>
          <w:szCs w:val="20"/>
          <w:color w:val="auto"/>
        </w:rPr>
      </w:pPr>
      <w:r>
        <w:rPr>
          <w:rFonts w:ascii="Arial" w:cs="Arial" w:eastAsia="Arial" w:hAnsi="Arial"/>
          <w:sz w:val="16"/>
          <w:szCs w:val="16"/>
          <w:color w:val="auto"/>
        </w:rPr>
        <w:t>$0.1 million of interest expense, respectively. For the nine months ended November 30, 2016 and November 30, 2015, we recorded $0.3 million and $0.6 million of interest expense, respectively. For the three months ended November 30, 2016 and November 30, 2015, we recorded $0.02 million and $0.02 million of amortization of deferred financing costs related to the Credit Facility and Revolving Facility, respectively. For the nine months ended November 30, 2016 and November 30, 2015, we recorded $0.1 million and $0.1 million of amortization of deferred financing costs related to the Credit Facility and Revolving Facility, respectively. During the three and nine months ended November 30, 2016, there were no outstanding borrowings under the Credit Facility. The interest rates during the three and nine months ended November 30, 2015 on the outstanding borrowings under the Credit Facility were</w:t>
      </w:r>
    </w:p>
    <w:p>
      <w:pPr>
        <w:spacing w:after="0" w:line="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6.00%. During the three and nine months ended November 30, 2015, the average dollar amount of outstanding borrowings under the Credit Facility was $0.9 million and $5.8 million, respectively.</w:t>
      </w:r>
    </w:p>
    <w:p>
      <w:pPr>
        <w:spacing w:after="0" w:line="18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Credit Facility contains limitations as to how borrowed funds may be used, such as restrictions on industry concentrations, asset size, weighted average life, currency denomination and collateral interests. The Credit Facility also includes certain requirements relating to portfolio performance, the violation of which could result in the limit of further advances and, in some cases, result in an event of default, allowing the lenders to accelerate repayment of amounts owed thereunder. The Credit Facility has an eight year term, consisting of a three year period (the “Revolving Period”), under which the Company may make and repay borrowings, and a final maturity five years from the end of the Revolving Period. Availability on the Credit Facility will be subject to a borrowing base calculation, based on, among other things, applicable advance rates (which vary from 50.0% to 75.0% of par or fair value depending on the type of loan asset) and the value of certain “eligible” loan assets included as part of the Borrowing Base. Funds may be borrowed at the greater of the prevailing LIBOR rate and 2.00%, plus an applicable margin of 5.50%. At the Company’s option, funds may be borrowed based on an alternative base rate, which in no event will be less than 3.00%, and the applicable margin over such alternative base rate is 4.50%. In addition, the Company will pay the lenders a commitment fee of 0.75% per year on the unused amount of the Credit Facility for the duration of the Revolving Period.</w:t>
      </w:r>
    </w:p>
    <w:p>
      <w:pPr>
        <w:spacing w:after="0" w:line="16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borrowing base under the Credit Facility was $24.1 million subject to the Credit Facility cap of $45.0 million at November 30, 2016. For purposes of determining the borrowing base, most assets are assigned the values set forth in our most recent Annual Report on Form 10-K or Quarterly Report on Form 10-Q filed with the Securities and Exchange Commission (“SEC”). Accordingly, the November 30, 2016 borrowing base relies upon the valuations set forth in the Quarterly Report on Form 10-Q for the period ended August 31, 2016, as filed with the SEC on October 12, 2016. The valuations presented in this Quarterly Report on Form 10-Q will not be incorporated into the borrowing base until after this Quarterly Report on Form 10-Q is filed with the SEC.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 in and is subject to customary regulatory requirements including but not limited to an examination by the SBA. As of November 30, 2016, we have funded SBIC LP with $75.0 million of equity capital, and have $112.7 million of SBA-guaranteed debentures outstanding.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w:t>
      </w:r>
    </w:p>
    <w:p>
      <w:pPr>
        <w:spacing w:after="0" w:line="19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SBICs are designed to stimulate the flow of private equity capital to eligible small businesses. Under SBA regulations, SBICs may make loans to eligible small businesses and invest in the equity securities of small businesses. Under present SBA regulations,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eligible small businesses include businesses that have a tangible net worth not exceeding $19.5 million and have average annual fully taxed net income not exceeding $6.5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SBIC LP is subject to regulation and oversight by the SBA, including requirements with respect to maintaining certain minimum financial ratios and other covenants. Receipt of an SBIC license does not assure that SBIC LP will receive SBA-guaranteed debenture funding, which is dependent upon SBIC LP continuing to be in compliance with SBA regulations and policies. The SBA, as a creditor, will have a superior claim to SBIC LP’s assets over our stockholders and debtholders in the event we liquidate SBIC LP or the SBA exercises its remedies under the SBA-guaranteed debentures issued by SBIC LP upon an event of default.</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Company received exemptive relief from the SEC to permit it to exclude the debt of SBIC LP guaranteed by the SBA from the definition of senior securities in the 200.0% asset coverage test under the 1940 Act. This allows the Company increased flexibility under the 200.0% asset coverage test by permitting it to borrow up to $150.0 million more than it would otherwise be able to absent the receipt of this exemptive relief.</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November 30, 2016 and February 29, 2016, there was $112.7 million and $103.7 million outstanding of SBA debentures, respectively. The carrying amount of the amount outstanding of SBA debentures approximates its fair value, which is based on a waterfall analysis showing adequate collateral coverage. $4.1 million of financing costs related to the SBA debentures have been capitalized and are being amortized over the term of the commitment and drawdown.</w:t>
      </w:r>
    </w:p>
    <w:p>
      <w:pPr>
        <w:spacing w:after="0" w:line="18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For the three months ended November 30, 2016 and November 30, 2015, we recorded $0.9 million and $0.6 million of interest expense related to the SBA debentures, respectively. For the three months ended November 30, 2016 and November 30, 2015, we recorded $0.1 million and $0.1 million of amortization of deferred financing costs related to the SBA debentures, respectively. The weighted average interest rate during the three months ended November 30, 2016 and November 30, 2015 on the outstanding borrowings of the SBA debentures was 3.08% and 3.25%, respectively.</w:t>
      </w:r>
    </w:p>
    <w:p>
      <w:pPr>
        <w:spacing w:after="0" w:line="154"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For the nine months ended November 30, 2016 and November 30, 2015, we recorded $2.5 million and $1.9 million of interest expense related to the SBA debentures, respectively. For the nine months ended November 30, 2016 and November 30, 2015, we recorded $0.4 million and $0.3 million of amortization of deferred financing costs related to the SBA debentures, respectively. The weighted average interest rate during the nine months ended November 30, 2016 and November 30, 2015 on the outstanding borrowings of the SBA debentures was 3.12% and 3.21%, respectively. During the three and nine months ended November 30, 2016, the average dollar amount of SBA debentures outstanding was $110.7 million and $106.0 million, respectively. During the three and nine months ended November 30, 2015, the average dollar amount of SBA debentures outstanding was $79.0 million.</w:t>
      </w:r>
    </w:p>
    <w:p>
      <w:pPr>
        <w:spacing w:after="0" w:line="165"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December 2015, the 2016 omnibus spending bill approved by Congress and signed into law by the President increased the amount of SBA-guaranteed debentures that affiliated SBIC funds can have outstanding from $225.0 million to $350.0 million, subject to SBA approval. SBA regulations currently limit the amount of SBA-guaranteed debentures that an SBIC may issue to $150.0 million when it has at least $75.0 million in regulatory capital. Affiliated SBICs are permitted to issue up to a combined maximum amount of $350.0 million in SBA-guaranteed debentures when they have at least $175.0 million in combined regulatory capital.</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April 2, 2015, the SBA issued a “green light” letter inviting the Company to continue the application process to obtain a license to form and operate its second SBIC subsidiary. On September 27, 2016, the SBA informed us that as part of their continued review of our application for a second license, and in order to ensure that they were reviewing the most current information available, we would need to update all previously submitted materials and invited us to reapply. As a result of this request, with which we are in the process of complying, the existing “green light” letter that the SBA issued to us will expire. If approved in the future, a second SBIC license would provide us an incremental source of long-term capital by permitting us to issue up to $150.0 million of additional SBA-guaranteed debentures in addition to the $150.0 million already approved under the first license.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May 10, 2013, the Company issued $42.0 million in aggregate principal amount of 7.50% fixed-rate notes due 2020 (the “2020 Notes”). The 2020 Notes will mature on May 31, 2020, and since May 31, 2016, may be redeemed in whole or in part at any time or from time to time at the Company’s option. Interest will be payable quarterly beginning August 15, 2013.</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 May 17, 2013, the Company closed an additional $6.3 million in aggregate principal amount of the 2020 Notes, pursuant to the full exercise of the underwriters’ option to purchase additional 2020 Notes. On May 29, 2015, the Company entered into a Debt Distribution Agreement with Ladenburg Thalmann &amp; Co. through which the Company may offer for sale, from time to time, up to $20.0 million in aggregate principal amount of the 2020 Notes through an At-the-Market (“ATM”) offering. As of November 30, 2016, the Company sold 539,725 bonds with a principal of $13,493,125 at an average price of $25.31 for aggregate net proceeds of $13,385,766 (net of transaction costs).</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November 30, 2016, the carrying amount and fair value of the 2020 Notes was $61.8 million and $62.3 million, respectively. The fair value of the 2020 Notes, which are publicly traded, is based upon closing market quotes as of the measurement date and would be classified as a Level 1 liability within the fair value hierarchy. As of November 30, 2016, $2.7 million of financing costs related to the 2020 Notes (including underwriting commissions and net of issuance premiums) have been capitalized and are being amortized over the term of the 2020 Notes. For the three and nine months ended November 30, 2016, we recorded $1.2 million and $3.5 million, respectively, of interest expense and $0.1 million and $0.3 million, respectively, of amortization of deferred financing costs related to the 2020 Notes. For the three and nine months ended November 30, 2015, we recorded $1.1 million and $3.1 million, respectively, of interest expense and $0.1 million and $0.3 million, respectively, of amortization of deferred financing costs related to the 2020 Notes. During the three and nine months ended November 30, 2016, the average dollar amount of 2020 Notes outstanding was $61.8 million. During the three and nine months ended November 30, 2015, the average dollar amount of 2020 Notes outstanding was $59.1 million and $53.9 million,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November 30, 2016: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1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3"/>
              </w:rPr>
              <w:t>Less Than</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1 - 3</w:t>
            </w:r>
          </w:p>
        </w:tc>
        <w:tc>
          <w:tcPr>
            <w:tcW w:w="360" w:type="dxa"/>
            <w:vAlign w:val="bottom"/>
          </w:tcPr>
          <w:p>
            <w:pPr>
              <w:spacing w:after="0"/>
              <w:rPr>
                <w:sz w:val="10"/>
                <w:szCs w:val="10"/>
                <w:color w:val="auto"/>
              </w:rPr>
            </w:pPr>
          </w:p>
        </w:tc>
        <w:tc>
          <w:tcPr>
            <w:tcW w:w="680" w:type="dxa"/>
            <w:vAlign w:val="bottom"/>
            <w:gridSpan w:val="2"/>
          </w:tcPr>
          <w:p>
            <w:pPr>
              <w:jc w:val="right"/>
              <w:ind w:right="108"/>
              <w:spacing w:after="0" w:line="119" w:lineRule="exact"/>
              <w:rPr>
                <w:sz w:val="20"/>
                <w:szCs w:val="20"/>
                <w:color w:val="auto"/>
              </w:rPr>
            </w:pPr>
            <w:r>
              <w:rPr>
                <w:rFonts w:ascii="Arial" w:cs="Arial" w:eastAsia="Arial" w:hAnsi="Arial"/>
                <w:sz w:val="13"/>
                <w:szCs w:val="13"/>
                <w:b w:val="1"/>
                <w:bCs w:val="1"/>
                <w:color w:val="auto"/>
              </w:rPr>
              <w:t>3 - 5</w:t>
            </w:r>
          </w:p>
        </w:tc>
        <w:tc>
          <w:tcPr>
            <w:tcW w:w="4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92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174,453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61,793</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$ 112,660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Company’s off-balance sheet arrangements consisted of $3.0 million and $2.0 million of unfunded commitments to provide debt financing to its portfolio companies or to fund limited partnership interests as of November 30, 2016 and February 29, 2016,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statements of assets and liabilities and are not reflected in the Company’s consolidated statements of assets and liabilities.</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 summary of the composition of the unfunded commitments as of November 30, 2016 and February 29, 2016 is shown in the table below (dollars in thousands):</w:t>
      </w:r>
    </w:p>
    <w:p>
      <w:pPr>
        <w:spacing w:after="0" w:line="189"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516"/>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1"/>
              </w:rPr>
              <w:t>November 30, 2016</w:t>
            </w:r>
          </w:p>
        </w:tc>
        <w:tc>
          <w:tcPr>
            <w:tcW w:w="560" w:type="dxa"/>
            <w:vAlign w:val="bottom"/>
          </w:tcPr>
          <w:p>
            <w:pPr>
              <w:spacing w:after="0"/>
              <w:rPr>
                <w:sz w:val="12"/>
                <w:szCs w:val="12"/>
                <w:color w:val="auto"/>
              </w:rPr>
            </w:pPr>
          </w:p>
        </w:tc>
        <w:tc>
          <w:tcPr>
            <w:tcW w:w="11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February 29, 2016</w:t>
            </w:r>
          </w:p>
        </w:tc>
        <w:tc>
          <w:tcPr>
            <w:tcW w:w="100" w:type="dxa"/>
            <w:vAlign w:val="bottom"/>
          </w:tcPr>
          <w:p>
            <w:pPr>
              <w:spacing w:after="0"/>
              <w:rPr>
                <w:sz w:val="12"/>
                <w:szCs w:val="12"/>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Avionte Holdings, LLC</w:t>
            </w:r>
          </w:p>
        </w:tc>
        <w:tc>
          <w:tcPr>
            <w:tcW w:w="1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GreyHeller LLC</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Identity Automation Systems</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372"/>
        </w:trPr>
        <w:tc>
          <w:tcPr>
            <w:tcW w:w="2880" w:type="dxa"/>
            <w:vAlign w:val="bottom"/>
          </w:tcPr>
          <w:p>
            <w:pPr>
              <w:spacing w:after="0"/>
              <w:rPr>
                <w:sz w:val="24"/>
                <w:szCs w:val="24"/>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Directors Fees</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 of the Company (as such term is defined in the 1940 Act). For the three months ended November 30, 2016 and November 30, 2015, we incurred $0.07 million and $0.05 million for directors’ fees and expenses, respectively. For the nine months ended November 30, 2016 and November 30, 2015, we incurred $0.2 million and $0.2 million for directors’ fees and expenses, respectively. As of November 30, 2016 and February 29, 2016, $0.05 million and $0.03 million in directors’ fees and expenses were accrued and unpaid, respectively. As of November 30, 2016, we had not issued any common stock to our directors as compensation for their services.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On May 16, 2006, GSC Group, Inc. capitalized the LLC, by contributing $1,000 in exchange for 67 shares, constituting all of the issued and outstanding shares of the LLC.</w:t>
      </w:r>
    </w:p>
    <w:p>
      <w:pPr>
        <w:spacing w:after="0" w:line="17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On March 20, 2007, the Company issued 95,995.5 and 8,136.2 shares of common stock, priced at $150.00 per share, to GSC Group and certain individual employees of GSC Group, respectively, in exchange for the general partnership interest and a limited partnership interest in GSC Partners CDO III GP, LP, collectively valued at $15.6 million. At this time, the 6.7 shares owned by GSC Group in the LLC were exchanged for 6.7 shares of the Company.</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On March 28, 2007, the Company completed its IPO of 725,000 shares of common stock, priced at $150.00 per share, before underwriting discounts and commissions. Total proceeds received from the IPO, net of $7.1 million in underwriter’s discount and commissions, and $1.0 million in offering costs, were $100.7 million.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13, 2009, we declared a dividend of $18.25 per share payable on December 31, 2009. Shareholders had the option to receive payment of the dividend in cash, shares of common stock, or a combination of cash and shares of common stock, provided that the aggregate cash payable to all shareholders was limited to $2.1 million or $2.50 per share. Based on shareholder elections, the dividend consisted of $2.1 million in cash and 864,872.5 of newly issued shares of common stock.</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July 30, 2010, our Manager and its affiliates purchased 986,842 shares of common stock at $15.20 per share. Total proceeds received from this sale were $15.0 million.</w:t>
      </w:r>
    </w:p>
    <w:p>
      <w:pPr>
        <w:spacing w:after="0" w:line="17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November 12, 2010, we declared a dividend of $4.40 per share payable on December 29, 2010. Shareholders had the option to receive payment of the dividend in cash, shares of common stock, or a combination of cash and shares of common stock, provided that the aggregate cash payable to all shareholders was limited to approximately $1.2 million or $0.44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$1.2 million in cash and 596,235 shares of common stock.</w:t>
      </w:r>
    </w:p>
    <w:p>
      <w:pPr>
        <w:spacing w:after="0" w:line="21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November 15, 2011, we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$2.0 million in cash and 599,584 shares of common stock.</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 Based on shareholder elections, the dividend consisted of approximately $3.3 million in cash and 853,455 shares of common stock.</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Based on shareholder elections, the dividend consisted of approximately $2.5 million in cash and 649,500 shares of common stock.</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September 24, 2014, the Company declared a dividend of $0.18 per share payable on November 28, 2014. Shareholders had the option to receive payment of the dividend in cash, or receive shares of common stock pursuant to the Company’s DRIP. Based on shareholder elections, the dividend consisted of approximately $0.6 million in cash and 22,283 newly issued shares of common stock.</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On September 24, 2014, the Company declared a dividend of $0.22 per share payable on February 27, 2015. Shareholders had the option to receive payment of the dividend in cash, or receive shares of common stock, pursuant our DRIP. Based on shareholder elections, the dividend consisted of approximately $0.8 million in cash and 26,858 newly issued shares of common stock.</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April 9, 2015, the Company declared a dividend of $0.27 per share payable on May 29, 2015. Shareholders had the option to receive payment of the dividend in cash, or receive shares of common stock, pursuant our DRIP. Based on shareholder elections, the dividend consisted of approximately $0.9 million in cash and 33,766 newly issued shares of common stock.</w:t>
      </w:r>
    </w:p>
    <w:p>
      <w:pPr>
        <w:spacing w:after="0" w:line="181"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On May 14, 2015, the Company declared a special dividend of $1.00 per share payable on June 5, 2015. Shareholders had the option to receive payment of the dividend in cash, or receive shares of common stock, pursuant our DRIP. Based on shareholder elections, the dividend consisted of approximately $3.4 million in cash and 126,230 newly issued shares of common stock.</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July 8, 2015, the Company declared a dividend of $0.33 per share payable on August 31, 2015. Shareholders had the option to receive payment of the dividend in cash, or receive shares of common stock, pursuant our DRIP. Based on shareholder elections, the dividend consisted of approximately $1.1 million in cash and 47,861 newly issued shares of common stock.</w:t>
      </w:r>
    </w:p>
    <w:p>
      <w:pPr>
        <w:spacing w:after="0" w:line="18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On October 7, 2015, the Company declared a dividend of $0.36 per share payable on November 30, 2015. Shareholders had the option to receive payment of the dividend in cash, or receive shares of common stock, pursuant our DRIP. Based on shareholder elections, the dividend consisted of approximately $1.1 million in cash and 61,029 newly issued shares of common stock.</w:t>
      </w:r>
    </w:p>
    <w:p>
      <w:pPr>
        <w:spacing w:after="0" w:line="181"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On January 12, 2016, the Company declared a dividend of $0.40 per share payable on February 29, 2016. Shareholders had the option to receive payment of the dividend in cash, or receive shares of common stock, pursuant our DRIP. Based on shareholder elections, the dividend consisted of approximately $1.4 million in cash and 66,765 newly issued shares of common stock.</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March 31, 2016, the Company declared a dividend of $0.41 per share payable on April 27, 2016. Shareholders had the option to receive payment of the dividend in cash, or receive shares of common stock, pursuant our DRIP. Based on shareholder elections, the dividend consisted of approximately $1.5 million in cash and 56,728 newly issued shares of common stock.</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On July 7, 2016, the Company declared a dividend of $0.43 per share payable on August 9, 2016. Shareholders had the option to receive payment of the dividend in cash, or receive shares of common stock, pursuant our DRIP. Based on shareholder elections, the dividend consisted of approximately $1.5 million in cash and 58,167 newly issued shares of common stock.</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August 8, 2016, the Company declared a special dividend of $0.20 per share payable on September 5, 2016. Shareholders had the option to receive payment of the dividend in cash, or receive shares of common stock, pursuant our DRIP. Based on shareholder elections, the dividend consisted of approximately $0.7 million in cash and 24,786 newly issued shares of common stock.</w:t>
      </w:r>
    </w:p>
    <w:p>
      <w:pPr>
        <w:spacing w:after="0" w:line="181"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On October 5, 2016, the Company declared a dividend of $0.44 per share payable on November 9, 2016. Shareholders had the option to receive payment of the dividend in cash, or receive shares of common stock, pursuant our DRIP. Based on shareholder elections, the dividend consisted of approximately $1.5 million in cash and 58,548 newly issued shares of common stock.</w:t>
      </w:r>
    </w:p>
    <w:p>
      <w:pPr>
        <w:spacing w:after="0" w:line="18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September 24, 2014, the Company announced the approval of an open market share repurchase plan that allowed it to repurchase up to 200,000 shares of its common stock at prices below its NAV as reported in its then most recently published consolidated financial statements. On October 7, 2015, the Company’s board of directors extended the open market share repurchase plan for another year and increased the number of shares the Company is permitted to repurchase at prices below its NAV, as reported in its then most recently published consolidated financial statements, to 400,000 shares of its common stock. On October 5, 2016, the Company’s board of directors extended the open market share repurchase plan for another year to October 15, 2017 and increased the number of shares the Company is permitted to repurchase at prices below its NAV, as reported in its then most recently published consolidated financial statements, to 600,000 shares of its common stock. As of November 30, 2016, the Company purchased 214,391 shares of common stock, at the average price of $16.84 for approximately $3.6 million pursuant to this repurchase plan.</w:t>
      </w:r>
    </w:p>
    <w:p>
      <w:pPr>
        <w:sectPr>
          <w:pgSz w:w="11900" w:h="16838" w:orient="portrait"/>
          <w:cols w:equalWidth="0" w:num="1">
            <w:col w:w="11400"/>
          </w:cols>
          <w:pgMar w:left="240" w:top="459" w:right="25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59" w:right="2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In accordance with the provisions of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The following information sets forth the computation of the weighted average basic and diluted net increase in net assets per share from operations for the three and nine months ended November 30, 2016 and November 30, 2015 (dollars in thousands except share and per share amounts):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5"/>
          </w:tcPr>
          <w:p>
            <w:pPr>
              <w:ind w:left="24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19"/>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and diluted</w:t>
            </w:r>
          </w:p>
        </w:tc>
        <w:tc>
          <w:tcPr>
            <w:tcW w:w="44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November 30,</w:t>
            </w:r>
          </w:p>
        </w:tc>
        <w:tc>
          <w:tcPr>
            <w:tcW w:w="8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November 30,</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November 30,</w:t>
            </w: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Net increase in</w:t>
            </w:r>
          </w:p>
        </w:tc>
        <w:tc>
          <w:tcPr>
            <w:tcW w:w="34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assets from operations</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5,727,933</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5,632,011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5,735,443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5,533,094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Weighted average earnings per common share-basic and</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0.61</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Dividend</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On October 5, 2016, the Company declared a dividend of $0.44 per share, which was paid on November 9, 2016, to common stockholders of record as of October 31, 2016. Shareholders had the option to receive payment of the dividend in cash, or receive shares of common stock, pursuant to our DRIP.</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$1.5 million in cash and 58,548 newly issued shares of common stock, or 1.0% of our outstanding common stock prior to the dividend payment. The number of shares of common stock comprising the stock portion was calculated based on a price of $17.12 per share, which equaled the volume weighted average trading price per share of the common stock on October 27, 28, 31 and November 1, 2, 3, 4, 7, 8 and 9, 2016.</w:t>
      </w:r>
    </w:p>
    <w:p>
      <w:pPr>
        <w:spacing w:after="0" w:line="18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On August 8, 2016, the Company declared a special dividend of $0.20 per share, which was paid on September 5, 2016, to common stockholders of record as of August 24, 2016. Shareholders had the option to receive payment of the dividend in cash, or receive shares of common stock, pursuant to our DRIP.</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$0.7 million in cash and 24,786 newly issued shares of common stock, or 0.4% of our outstanding common stock prior to the dividend payment. The number of shares of common stock comprising the stock portion was calculated based on a price of $17.06 per share, which equaled the volume weighted average trading price per share of the common stock on August 22, 23, 24, 25, 26, 29, 30, 31 and September 1 and 2, 2016.</w:t>
      </w:r>
    </w:p>
    <w:p>
      <w:pPr>
        <w:spacing w:after="0" w:line="187"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On July 7, 2016, the Company declared a dividend of $0.43 per share, which was paid on August 9, 2016, to common stockholders of record as of July 29, 2016. Shareholders had the option to receive payment of the dividend in cash, or receive shares of common stock, pursuant to our DRIP.</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$1.5 million in cash and 58,167 newly issued shares of common stock, or 1.0% of our outstanding common stock prior to the dividend payment. The number of shares of common stock comprising the stock portion was calculated based on a price of $16.32 per share, which equaled the volume weighted average trading price per share of the common stock on July 27, 28, 29 and August 1, 2, 3, 4, 5, 8 and 9, 2016.</w:t>
      </w:r>
    </w:p>
    <w:p>
      <w:pPr>
        <w:spacing w:after="0" w:line="18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On March 31, 2016, the Company declared a dividend of $0.41 per share, which was paid on April 27, 2016, to common stockholders of record as of April 15, 2016. Shareholders had the option to receive payment of the dividend in cash, or receive shares of common stock, pursuant to our DRIP.</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$1.5 million in cash and 56,728 newly issued shares of common stock, or 1.0% of our outstanding common stock prior to the dividend payment. The number of shares of common stock comprising the stock portion was calculated based on a price of $15.43 per share, which equaled the volume weighted average trading price per share of the common stock on April 14, 15, 18, 19, 20, 21, 22, 25, 26 and 27, 2016.</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dividends declared during the nine months ended November 30, 2016 (dollars 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Date Declared</w:t>
            </w:r>
          </w:p>
        </w:tc>
        <w:tc>
          <w:tcPr>
            <w:tcW w:w="17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Record Date</w:t>
            </w:r>
          </w:p>
        </w:tc>
        <w:tc>
          <w:tcPr>
            <w:tcW w:w="16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Payment Date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500" w:type="dxa"/>
            <w:vAlign w:val="bottom"/>
            <w:gridSpan w:val="4"/>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24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5,</w:t>
            </w:r>
          </w:p>
        </w:tc>
        <w:tc>
          <w:tcPr>
            <w:tcW w:w="4160" w:type="dxa"/>
            <w:vAlign w:val="bottom"/>
            <w:tcBorders>
              <w:top w:val="single" w:sz="8" w:color="CCEEFF"/>
            </w:tcBorders>
            <w:shd w:val="clear" w:color="auto" w:fill="CCEEFF"/>
          </w:tcPr>
          <w:p>
            <w:pPr>
              <w:jc w:val="right"/>
              <w:ind w:right="3775"/>
              <w:spacing w:after="0"/>
              <w:rPr>
                <w:sz w:val="20"/>
                <w:szCs w:val="20"/>
                <w:color w:val="auto"/>
              </w:rPr>
            </w:pPr>
            <w:r>
              <w:rPr>
                <w:rFonts w:ascii="Arial" w:cs="Arial" w:eastAsia="Arial" w:hAnsi="Arial"/>
                <w:sz w:val="17"/>
                <w:szCs w:val="17"/>
                <w:color w:val="auto"/>
                <w:w w:val="73"/>
              </w:rPr>
              <w:t>2016</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October 31, 2016</w:t>
            </w:r>
          </w:p>
        </w:tc>
        <w:tc>
          <w:tcPr>
            <w:tcW w:w="4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November 9, 2016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0.44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August 8, 2016</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August 24, 2016</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September 5, 2016</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0.20</w:t>
            </w:r>
          </w:p>
        </w:tc>
        <w:tc>
          <w:tcPr>
            <w:tcW w:w="840" w:type="dxa"/>
            <w:vAlign w:val="bottom"/>
            <w:gridSpan w:val="3"/>
          </w:tcPr>
          <w:p>
            <w:pPr>
              <w:jc w:val="center"/>
              <w:ind w:left="50"/>
              <w:spacing w:after="0"/>
              <w:rPr>
                <w:sz w:val="20"/>
                <w:szCs w:val="20"/>
                <w:color w:val="auto"/>
              </w:rPr>
            </w:pPr>
            <w:r>
              <w:rPr>
                <w:rFonts w:ascii="Arial" w:cs="Arial" w:eastAsia="Arial" w:hAnsi="Arial"/>
                <w:sz w:val="18"/>
                <w:szCs w:val="18"/>
                <w:color w:val="auto"/>
                <w:w w:val="90"/>
              </w:rPr>
              <w:t>$1,151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7, 2016</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29, 2016</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August 9, 2016</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0.43</w:t>
            </w:r>
          </w:p>
        </w:tc>
        <w:tc>
          <w:tcPr>
            <w:tcW w:w="840" w:type="dxa"/>
            <w:vAlign w:val="bottom"/>
            <w:gridSpan w:val="3"/>
            <w:shd w:val="clear" w:color="auto" w:fill="CCEEFF"/>
          </w:tcPr>
          <w:p>
            <w:pPr>
              <w:jc w:val="center"/>
              <w:ind w:left="50"/>
              <w:spacing w:after="0"/>
              <w:rPr>
                <w:sz w:val="20"/>
                <w:szCs w:val="20"/>
                <w:color w:val="auto"/>
              </w:rPr>
            </w:pPr>
            <w:r>
              <w:rPr>
                <w:rFonts w:ascii="Arial" w:cs="Arial" w:eastAsia="Arial" w:hAnsi="Arial"/>
                <w:sz w:val="18"/>
                <w:szCs w:val="18"/>
                <w:color w:val="auto"/>
                <w:w w:val="90"/>
              </w:rPr>
              <w:t>$2,466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March 31, 2016</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April 15, 2016</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April 27, 2016</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41</w:t>
            </w:r>
          </w:p>
        </w:tc>
        <w:tc>
          <w:tcPr>
            <w:tcW w:w="840" w:type="dxa"/>
            <w:vAlign w:val="bottom"/>
            <w:gridSpan w:val="3"/>
          </w:tcPr>
          <w:p>
            <w:pPr>
              <w:jc w:val="center"/>
              <w:ind w:left="5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2,346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dividends declared</w:t>
            </w: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48</w:t>
            </w:r>
          </w:p>
        </w:tc>
        <w:tc>
          <w:tcPr>
            <w:tcW w:w="840" w:type="dxa"/>
            <w:vAlign w:val="bottom"/>
            <w:gridSpan w:val="3"/>
            <w:shd w:val="clear" w:color="auto" w:fill="CCEEFF"/>
          </w:tcPr>
          <w:p>
            <w:pPr>
              <w:jc w:val="center"/>
              <w:ind w:left="5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8,472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Amount per share is calculated based on the number of shares outstanding at the date of declaration.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dividends declared during the nine months ended November 30, 2015 (dollars 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920" w:type="dxa"/>
            <w:vAlign w:val="bottom"/>
            <w:vMerge w:val="restart"/>
          </w:tcPr>
          <w:p>
            <w:pPr>
              <w:spacing w:after="0"/>
              <w:rPr>
                <w:sz w:val="14"/>
                <w:szCs w:val="14"/>
                <w:color w:val="auto"/>
              </w:rPr>
            </w:pPr>
          </w:p>
        </w:tc>
        <w:tc>
          <w:tcPr>
            <w:tcW w:w="18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Record Date</w:t>
            </w:r>
          </w:p>
        </w:tc>
        <w:tc>
          <w:tcPr>
            <w:tcW w:w="19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Payment Date</w:t>
            </w: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60" w:type="dxa"/>
            <w:vAlign w:val="bottom"/>
            <w:vMerge w:val="continue"/>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9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Per Share*</w:t>
            </w:r>
          </w:p>
        </w:tc>
        <w:tc>
          <w:tcPr>
            <w:tcW w:w="240" w:type="dxa"/>
            <w:vAlign w:val="bottom"/>
          </w:tcPr>
          <w:p>
            <w:pPr>
              <w:spacing w:after="0"/>
              <w:rPr>
                <w:sz w:val="15"/>
                <w:szCs w:val="15"/>
                <w:color w:val="auto"/>
              </w:rPr>
            </w:pPr>
          </w:p>
        </w:tc>
        <w:tc>
          <w:tcPr>
            <w:tcW w:w="680" w:type="dxa"/>
            <w:vAlign w:val="bottom"/>
            <w:gridSpan w:val="3"/>
          </w:tcPr>
          <w:p>
            <w:pPr>
              <w:jc w:val="right"/>
              <w:ind w:right="140"/>
              <w:spacing w:after="0" w:line="158"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8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October 7, 2015</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November 2, 2015</w:t>
            </w:r>
          </w:p>
        </w:tc>
        <w:tc>
          <w:tcPr>
            <w:tcW w:w="4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November 30, 2015</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0.36</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July 8, 2015</w:t>
            </w:r>
          </w:p>
        </w:tc>
        <w:tc>
          <w:tcPr>
            <w:tcW w:w="1880" w:type="dxa"/>
            <w:vAlign w:val="bottom"/>
            <w:gridSpan w:val="2"/>
          </w:tcPr>
          <w:p>
            <w:pPr>
              <w:jc w:val="right"/>
              <w:ind w:right="480"/>
              <w:spacing w:after="0"/>
              <w:rPr>
                <w:sz w:val="20"/>
                <w:szCs w:val="20"/>
                <w:color w:val="auto"/>
              </w:rPr>
            </w:pPr>
            <w:r>
              <w:rPr>
                <w:rFonts w:ascii="Arial" w:cs="Arial" w:eastAsia="Arial" w:hAnsi="Arial"/>
                <w:sz w:val="18"/>
                <w:szCs w:val="18"/>
                <w:color w:val="auto"/>
              </w:rPr>
              <w:t>August 3, 2015</w:t>
            </w: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August 31, 2015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14, 2015</w:t>
            </w:r>
          </w:p>
        </w:tc>
        <w:tc>
          <w:tcPr>
            <w:tcW w:w="1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May 26, 2015</w:t>
            </w: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June 5, 2015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April 9, 2015</w:t>
            </w:r>
          </w:p>
        </w:tc>
        <w:tc>
          <w:tcPr>
            <w:tcW w:w="1880" w:type="dxa"/>
            <w:vAlign w:val="bottom"/>
            <w:gridSpan w:val="2"/>
          </w:tcPr>
          <w:p>
            <w:pPr>
              <w:jc w:val="right"/>
              <w:ind w:right="480"/>
              <w:spacing w:after="0"/>
              <w:rPr>
                <w:sz w:val="20"/>
                <w:szCs w:val="20"/>
                <w:color w:val="auto"/>
              </w:rPr>
            </w:pPr>
            <w:r>
              <w:rPr>
                <w:rFonts w:ascii="Arial" w:cs="Arial" w:eastAsia="Arial" w:hAnsi="Arial"/>
                <w:sz w:val="18"/>
                <w:szCs w:val="18"/>
                <w:color w:val="auto"/>
              </w:rPr>
              <w:t>May 4, 2015</w:t>
            </w: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May 29, 2015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0.27</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dividends declared</w:t>
            </w:r>
          </w:p>
        </w:tc>
        <w:tc>
          <w:tcPr>
            <w:tcW w:w="1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10,767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Amount per share is calculated based on the number of shares outstanding at the date of declaration.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schedule of financial highlights for the nine months ended November 30, 2016 and November 30, 2015:</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20" w:type="dxa"/>
            <w:vAlign w:val="bottom"/>
            <w:gridSpan w:val="4"/>
          </w:tcPr>
          <w:p>
            <w:pPr>
              <w:ind w:left="280"/>
              <w:spacing w:after="0"/>
              <w:rPr>
                <w:sz w:val="20"/>
                <w:szCs w:val="20"/>
                <w:color w:val="auto"/>
              </w:rPr>
            </w:pPr>
            <w:r>
              <w:rPr>
                <w:rFonts w:ascii="Arial" w:cs="Arial" w:eastAsia="Arial" w:hAnsi="Arial"/>
                <w:sz w:val="14"/>
                <w:szCs w:val="14"/>
                <w:b w:val="1"/>
                <w:bCs w:val="1"/>
                <w:color w:val="auto"/>
              </w:rPr>
              <w:t>November 30, 2016</w:t>
            </w:r>
          </w:p>
        </w:tc>
        <w:tc>
          <w:tcPr>
            <w:tcW w:w="1620" w:type="dxa"/>
            <w:vAlign w:val="bottom"/>
            <w:gridSpan w:val="4"/>
          </w:tcPr>
          <w:p>
            <w:pPr>
              <w:ind w:left="220"/>
              <w:spacing w:after="0"/>
              <w:rPr>
                <w:sz w:val="20"/>
                <w:szCs w:val="20"/>
                <w:color w:val="auto"/>
              </w:rPr>
            </w:pPr>
            <w:r>
              <w:rPr>
                <w:rFonts w:ascii="Arial" w:cs="Arial" w:eastAsia="Arial" w:hAnsi="Arial"/>
                <w:sz w:val="14"/>
                <w:szCs w:val="14"/>
                <w:b w:val="1"/>
                <w:bCs w:val="1"/>
                <w:color w:val="auto"/>
              </w:rPr>
              <w:t>November 30,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22.06</w:t>
            </w:r>
          </w:p>
        </w:tc>
        <w:tc>
          <w:tcPr>
            <w:tcW w:w="34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realized and unrealized gains and losses on investments</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Distributions declared from net investment income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 to stockholders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Dilution(4)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127,679,730</w:t>
            </w:r>
          </w:p>
        </w:tc>
        <w:tc>
          <w:tcPr>
            <w:tcW w:w="34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127,273,366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5,748,247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5,634,115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56.98%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 return based on net asset value(3)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Ratio of net investment income to average net assets(8)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Ratio of incentive management fees to average net assets(6)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2"/>
              </w:rPr>
              <w:t>Ratio of interest and debt financing expenses to average net assets(7)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Ratio of total expenses to average net assets(8)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rate(5)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365"/>
        </w:trPr>
        <w:tc>
          <w:tcPr>
            <w:tcW w:w="5240" w:type="dxa"/>
            <w:vAlign w:val="bottom"/>
            <w:gridSpan w:val="2"/>
          </w:tcPr>
          <w:p>
            <w:pPr>
              <w:jc w:val="right"/>
              <w:ind w:right="73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investment income per share is calculated using the weighted average shares outstanding during the period.</w:t>
      </w:r>
    </w:p>
    <w:p>
      <w:pPr>
        <w:spacing w:after="0" w:line="23"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periods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jc w:val="both"/>
        <w:ind w:left="460" w:right="180" w:hanging="452"/>
        <w:spacing w:after="0" w:line="265"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Total investment return is calculated assuming a purchase of common shares at the current net asset value on the first day and a sale at the current net asset value on the last day of the periods reported. Dividends and distributions, if any, are assumed for purposes of this calculation to be reinvested at prices obtained under the Company’s DRIP. Total investment return does not reflect brokerage commissions.</w:t>
      </w:r>
    </w:p>
    <w:p>
      <w:pPr>
        <w:ind w:left="460" w:right="44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dilutive effect of issuing common stock below net asset value per share during the period in connection with the satisfaction of the Company’s annual RIC distribution requirement. See Note 11, Dividend.</w:t>
      </w: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Portfolio turnover rate is calculated using the lesser of year-to-date sales or year-to-date purchases over the average of the invested assets at fair value.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Ratios are not annualized.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Ratios are annualized. Incentive management fees included within the ratio are not annualized.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12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Company has evaluated subsequent events through the filing of this Form 10-Q and determined that there have been no events that have occurred that would require adjustments to the Company’s disclosures in the consolidated financial statements except for the following:</w:t>
      </w:r>
    </w:p>
    <w:p>
      <w:pPr>
        <w:spacing w:after="0" w:line="14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On January 12, 2017, the Company declared a dividend of $0.45 per share payable for the fiscal quarter ended November 30, 2016 to all stockholders of record at the close of business on January 31, 2017, with a payment date on February 9, 2017. Shareholders will have the option to receive payment of the dividend in cash, or receive shares of common stock pursuant to the Company’s DRIP.</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21, 2016, the Company issued $74.5 million in aggregate principal amount of 6.75% fixed-rate notes due 2023 (the “2023 Notes”) for net proceeds of $72.1 million after deducting underwriting commissions of approximately $2.0 million and offering costs of approximately $0.5 million. The issuance included the exercise of substantially all of the underwriters’ option to purchase an additional $9.8 million aggregate principal amount of 2023 Notes within 30 days. Interest on the 2023 Notes is paid quarterly in arrears on March 15, June 15, September 15 and December 15, at a rate of 6.75% per year, beginning March 30, 2017. The 2023 Notes mature on December 20, 2023, and commencing December 21, 2019, may be redeemed in whole or in part at any time or from time to time at our option. The proceeds from the offering will be used to repay all of the outstanding indebtedness under the 2020 Notes, which amounts to $61.8 million.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related notes and other financial information appearing elsewhere in this Quarterly Report on Form 10-Q. In addition to historical information, the following discussion and other parts of this Quarterly Report contain forward-looking information that involves risks and uncertainties. Our actual results could differ materially from those anticipated by such forward-looking information due to the factors discussed under Part I, Item 1A in our Annual Report on Form 10-K for the fiscal year ended February 29, 2016.</w:t>
      </w:r>
    </w:p>
    <w:p>
      <w:pPr>
        <w:spacing w:after="0" w:line="18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forward-looking statements contained in this Quarterly Report on Form 10-Q involve risks and uncertainties, including statements as to:</w:t>
      </w:r>
    </w:p>
    <w:p>
      <w:pPr>
        <w:spacing w:after="0" w:line="14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regulatory structure and tax treatment, including our ability to operate as a business development company (“BDC”), or to operate our small business investment company (“SBIC”) subsidiary, and to continue to qualify to be taxed as a regulated investment company (“RIC”);</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effectively administer our investments.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You should not place undue reliance on these forward-looking statements. The forward-looking statements made in this Quarterly Report on Form 10-Q relate only to events as of the date on which the statements are made. We undertake no obligation to update any forward-looking statement to reflect events or circumstances occurring after the date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a Maryland corporation that has elected to be treated as a BDC under the Investment Company Act of 1940 (the “1940 Act”). Our investment objective is to generate current income and, to a lesser extent, capital appreciation from our investments. We invest primarily in leveraged loans and mezzanine debt issued by private U.S. middle market companies, which we define as companies having EBITDA of between $2 million and $50 million, both through direct lending and through participation in loan syndicates. We may also invest up to 30.0% of the portfolio in opportunistic investments in order to seek to enhance returns to stockholders. Such investments may include investments in distressed debt, which may include securities of companies in bankruptcy, foreign debt, private equity, securities of public companies that are not thinly traded and structured finance vehicles such as collateralized loan obligation funds. Although we have no current intention to do so, to the extent we invest in private equity funds, we will limit our investments in entities that are excluded from the definition of “investment company” under Section 3(c)(1) or Section 3(c)(7) of the 1940 Act, which includes private equity funds, to no more than 15% of its net assets. We have elected and qualified to be treated as a RIC under Subchapter M of the Internal Revenue Code of 1986, as amended (the “Code”).</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History and Recent Developments</w:t>
      </w:r>
    </w:p>
    <w:p>
      <w:pPr>
        <w:spacing w:after="0" w:line="117" w:lineRule="exact"/>
        <w:rPr>
          <w:sz w:val="20"/>
          <w:szCs w:val="20"/>
          <w:color w:val="auto"/>
        </w:rPr>
      </w:pPr>
    </w:p>
    <w:p>
      <w:pPr>
        <w:ind w:right="400" w:firstLine="456"/>
        <w:spacing w:after="0" w:line="302" w:lineRule="auto"/>
        <w:rPr>
          <w:sz w:val="20"/>
          <w:szCs w:val="20"/>
          <w:color w:val="auto"/>
        </w:rPr>
      </w:pPr>
      <w:r>
        <w:rPr>
          <w:rFonts w:ascii="Arial" w:cs="Arial" w:eastAsia="Arial" w:hAnsi="Arial"/>
          <w:sz w:val="16"/>
          <w:szCs w:val="16"/>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as described below we engaged Saratoga Investment Advisors (“SIA”) to replace GSCP (NJ), L.P. as our investment adviser and changed our name to Saratoga Investment Corp.</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a result of the event of default under a revolving securitized credit facility with Deutsche Bank we previously had in place, in December 2008 we engaged the investment banking firm of Stifel, Nicolaus &amp; Company to evaluate strategic transaction opportunities and consider alternatives for us. On April 14, 2010, GSC Investment Corp. entered into a stock purchase agreement with Saratoga Investment Advisors and certain of its affiliates and an assignment, assumption and novation agreement with Saratoga Investment Advisors, pursuant to which GSC Investment Corp. assumed certain rights and obligations of Saratoga Investment Advisors under a debt commitment letter Saratoga Investment Advisors received from Madison Capital Funding LLC, which indicated Madison Capital Funding’s willingness to provide GSC Investment Corp. with a $40.0 million senior secured revolving credit facility, subject to the satisfaction of certain terms and conditions. In addition, GSC Investment Corp. and GSCP (NJ), L.P.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8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On July 30, 2010, the transactions contemplated by the stock purchase agreement with Saratoga Investment Advisors and certain of its affiliates were completed, the private sale of 986,842 shares of our common stock for $15.0 million in aggregate purchase price to Saratoga Investment Advisors and certain of its affiliates closed, the Company entered into the Credit Facility, and the Company began doing business as Saratoga Investment Corp.</w:t>
      </w:r>
    </w:p>
    <w:p>
      <w:pPr>
        <w:spacing w:after="0" w:line="14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used the net proceeds from the private sale transaction and a portion of the funds available to us under the Credit Facility to pay the full amount of principal and accrued interest, including default interest, outstanding under our revolving securitized credit facility with Deutsche Bank. The revolving securitized credit facility with Deutsche Bank was terminated in connection with our payment of all amounts outstanding thereunder on July 30, 2010.</w:t>
      </w:r>
    </w:p>
    <w:p>
      <w:pPr>
        <w:spacing w:after="0" w:line="14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January 2011, we registered for public resale of the 986,842 shares of our common stock issued to Saratoga Investment Advisors and certain of its affiliates.</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an SBIC license from the Small Business Administration (“SBA”).</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May 2013, we issued $48.3 million in aggregate principal amount of our 7.50% unsecured notes due 2020 (the “2020 Notes”) for net proceeds of $46.1 million after deducting underwriting commissions of $1.9 million and offering costs of $0.3 million. The proceeds included the underwriters’ full exercise of their overallotment option. Interest on these 2020 Notes is paid quarterly in arrears on February 15, May 15, August 15 and November 15, at a rate of 7.50% per year, beginning August 15, 2013. The 2020 Notes mature on May 31, 2020 and since May 31, 2016, may be redeemed in whole or in part at any time or from time to time at our option. The 2020 Notes are listed on the NYSE under the trading symbol “SAQ” with a par value of $25.00 per share.</w:t>
      </w:r>
    </w:p>
    <w:p>
      <w:pPr>
        <w:spacing w:after="0" w:line="15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On April 2, 2015, the SBA issued a “green light” letter inviting the Company to continue the application process to obtain a license to form and operate its second SBIC subsidiary. On September 27, 2016, the SBA informed us that as part of their continued review of our application for a second license, and in order to ensure that they were reviewing the most current information available, we would need to update all previously submitted materials and invited us to reapply. As a result of this request, with which we are in the process of complying, the existing “green light” letter that the SBA issued to us will expire. If approved in the future, a second SBIC license would provide us an incremental source of long-term capital by permitting us to issue up to $150.0 million of additional SBA-guaranteed debentures in addition to the $150.0 million already approved under the first license.</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May 29, 2015, we entered into a Debt Distribution Agreement with Ladenburg Thalmann &amp; Co. through which we may offer for sale, from time to time, up to $20.0 million in aggregate principal amount of the 2020 Notes through an At-the-Market (“ATM”) offering. As of November 30, 2016, the Company sold 539,725 bonds with a principal of $13,493,125 at an average price of $25.31 for aggregate net proceeds of $13,385,766 (net of transaction costs).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December 21, 2016, we issued $74.5 million in aggregate principal amount of our 6.75% fixed-rate notes due 2023 (the “2023 Notes”) for net proceeds of $72.1 million after deducting underwriting commissions of approximately $2.0 million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offering costs of approximately $0.5 million. The issuance included the exercise of substantially all of the underwriters’ option to purchase an additional $9.8 million aggregate principal amount of 2023 Notes within 30 days. Interest on the 2023 Notes is paid quarterly in arrears on March 15, June 15, September 15 and December 15, at a rate of 6.75% per year, beginning March 30, 2017. The 2023 Notes mature on December 20, 2023, and commencing December 21, 2019, may be redeemed in whole or in part at any time or from time to time at our option. The net proceeds from the offering will be used to repay all of the outstanding indebtedness under the 2020 Notes, which amounts to $61.8 million, and for general corporate purposes in accordance with our investment objective and strategies.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(“U.S. GAAP”) requires management to make certain estimates and assumptions affecting amounts reported in the Company’s consolidated financial statements. We have identified investment valuation, revenue recognition and the recognition of capital gains incentive fee expense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Valuation</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balance sheet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65"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Advisers, the audit committee of our board of directors and a third party independent valuation firm.</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5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900" w:right="54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75"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 selection of these preliminary valuations each quarter so that the valuation of each investment for which market quotes are not readily available is reviewed by the independent valuation firm at least once each fiscal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900" w:right="24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and approves each preliminary valuation and Saratoga Investment Advisors and an independent valuation firm (if applicable) will supplement the preliminary valuation to reflect any comments provided by the audit committee; and</w:t>
      </w:r>
    </w:p>
    <w:p>
      <w:pPr>
        <w:spacing w:after="0" w:line="86" w:lineRule="exact"/>
        <w:rPr>
          <w:rFonts w:ascii="Arial" w:cs="Arial" w:eastAsia="Arial" w:hAnsi="Arial"/>
          <w:sz w:val="18"/>
          <w:szCs w:val="18"/>
          <w:color w:val="auto"/>
        </w:rPr>
      </w:pPr>
    </w:p>
    <w:p>
      <w:pPr>
        <w:ind w:left="900" w:right="460" w:hanging="446"/>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board of directors discusses the valuations and approves the fair value of each investment, in good faith, based on the input of Saratoga Investment Advisors, independent valuation firm (to the extent applicable) and the audit committee of our board of directors.</w:t>
      </w:r>
    </w:p>
    <w:p>
      <w:pPr>
        <w:spacing w:after="0" w:line="14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collateralized loan obligation funds similar to Saratoga CLO, when available, as determined by SIA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 analysis on expected future cash flows to determine a valuation for our investment in Saratoga CLO.</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Recognition</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 of premiums on investments.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Payment-in-Kind Interest</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Company records an expense accrual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generate revenue in the form of interest income and capital gains on the debt investments that we hold and capital gains, if any, on equity interests that we may acquire. We expect our debt investments, whether in the form of leveraged loans or mezzanine debt, to have terms of up to ten years, and to bear interest at either a fixed or floating rate. Interest on debt will be payable generally either quarterly or semi-annually. In some cases, our debt investments may provide for a portion of the interest to be PIK. To the extent interest is paid-in-kind,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 fees. Any such fees will be generated in connection with our investments and recognized as earned. We may also invest in preferred equity securities that pay dividends on a current basis.</w:t>
      </w:r>
    </w:p>
    <w:p>
      <w:pPr>
        <w:spacing w:after="0" w:line="19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January 22, 2008, we entered into a collateral management agreement with Saratoga CLO, pursuant to which we act as its collateral manager. The Saratoga CLO was initially refinanced in October 2013 and its reinvestment period ended in October 2016. On November 15, 2016, we completed the second refinancing of the Saratoga CLO. The Saratoga CLO refinancing, among other</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459" w:right="2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things, extended its reinvestment period to October 2018, and extended its legal maturity date to October 2025. Following the refinancing, the Saratoga CLO portfolio remained at the same size and with a similar capital structure of approximately $300.0 million in aggregate principal amount of predominantly senior secured first lien term loans. In addition to refinancing its liabilities, we also purchased $4.5 million in aggregate principal amount of the Class F notes tranche of the Saratoga CLO at par, with a coupon of LIBOR plus 8.5%.</w:t>
      </w:r>
    </w:p>
    <w:p>
      <w:pPr>
        <w:spacing w:after="0" w:line="18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Saratoga CLO remains 100% owned and managed by Saratoga Investment Corp. Following the refinancing, we receive a base management fee of 0.10% and a subordinated management fee of 0.40% of the fee basis amount at the beginning of the collection period, paid quarterly to the extent of available proceeds. We are also entitled to an incentive management fee equal to 20.0% of excess cash flow to the extent the Saratoga CLO subordinated notes receive an internal rate of return paid in cash equal to or greater than 12.0%.</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recognize interest income on our investment in the subordinated notes of Saratoga CLO using the effective interest method,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and management fees, professional fees, directors and officers insurance, fees paid to independent directors and administrator expenses, including our allocable portion of our administrator’s overhead. Our investment advisory and management fees compensate our investment adviser for its work in identifying, evaluating, negotiating, closing and monitoring our investments. We bear all other costs and expenses of our operations and transactions, including those relating to:</w:t>
      </w:r>
    </w:p>
    <w:p>
      <w:pPr>
        <w:spacing w:after="0" w:line="7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expenses incurred by our investment adviser payable to third parties, including agents, consultants or other advisers, in monitoring our financial and legal affairs and in monitoring our investments and performing due diligence on our prospective portfolio companies;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incurred by our investment adviser payable for travel and due diligence on our prospective portfolio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fees payable to third parties, including agents, consultants or other advisers, relating to, or associated with, evaluating and making investments;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Securities and Exchange Commission (“SEC”) and the SBA);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75" w:lineRule="exact"/>
        <w:rPr>
          <w:rFonts w:ascii="Arial" w:cs="Arial" w:eastAsia="Arial" w:hAnsi="Arial"/>
          <w:sz w:val="18"/>
          <w:szCs w:val="18"/>
          <w:color w:val="auto"/>
        </w:rPr>
      </w:pPr>
    </w:p>
    <w:p>
      <w:pPr>
        <w:ind w:left="900" w:right="40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an administration agreement, including rent and the allocable portion of the cost of our officers and their respective staffs (including travel expenses)).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Pursuant to the investment advisory and management agreement that we had with GSCP (NJ), L.P., our former investment adviser and administrator, we had agreed to pay GSCP (NJ), L.P. as investment adviser a quarterly base management fee of 1.75% of the average value of our total assets (other than cash or cash equivalents but including assets purchased with borrowed funds) at the end of the two most recently completed fiscal quarters and an incentive fee.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had two parts:</w:t>
      </w:r>
    </w:p>
    <w:p>
      <w:pPr>
        <w:spacing w:after="0" w:line="131" w:lineRule="exact"/>
        <w:rPr>
          <w:sz w:val="20"/>
          <w:szCs w:val="20"/>
          <w:color w:val="auto"/>
        </w:rPr>
      </w:pPr>
    </w:p>
    <w:p>
      <w:pPr>
        <w:ind w:left="900" w:right="60" w:hanging="446"/>
        <w:spacing w:after="0" w:line="297"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fee, payable quarterly in arrears, equal to 20.0% of our pre-incentive fee net investment income, expressed as a rate of return on the value of the net assets at the end of the immediately preceding quarter, that exceeded a 1.875% quarterly hurdle rate measured as of the end of each fiscal quarter. Under this provision, in any fiscal quarter, our investment adviser received no incentive fee unless our pre-incentive fee net investment income exceeded the hurdle rate of 1.875%. Amounts received as a return of capital were not included in calculating this portion of the incentive fee. Since the hurdle rate was based on net assets, a return of less than the hurdle rate on total assets could still have resulted in an incentive fee.</w:t>
      </w:r>
    </w:p>
    <w:p>
      <w:pPr>
        <w:spacing w:after="0" w:line="63" w:lineRule="exact"/>
        <w:rPr>
          <w:rFonts w:ascii="Arial" w:cs="Arial" w:eastAsia="Arial" w:hAnsi="Arial"/>
          <w:sz w:val="16"/>
          <w:szCs w:val="16"/>
          <w:color w:val="auto"/>
        </w:rPr>
      </w:pPr>
    </w:p>
    <w:p>
      <w:pPr>
        <w:ind w:left="900" w:right="280" w:hanging="446"/>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fee, payable at the end of each fiscal year, equal to 20.0% of our net realized capital gains, if any, computed net of all realized capital losses and unrealized capital depreciation, in each case on a cumulative basis, less the aggregate amount of capital gains incentive fees paid to the investment adviser through such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deferred cash payment of any incentive fee otherwise earned by our former investment adviser if, during the then most recent four full fiscal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quarters ending on or prior to the date such payment was to be made, the sum of (a) our aggregate distributions to our stockholders and (b) our change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(defined as total assets less liabilities) (before taking into account any incentive fees payable during that period) was less than 7.5% of our net assets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beginning of such period. These calculations were appropriately pro-rated for the first three fiscal quarters of operation and adjusted for any share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issuances or repurchases during the applicable period. Such incentive fee would become payable on the next date on which such test had been satisfied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most recent four full fiscal quarters or upon certain terminations of the investment advisory and management agreement. We commenced deferring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 of incentive fees during the quarterly period ended August 31, 2007, and continued to defer such payments through the quarterly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31, 2010. As of July 30, 2010, the date on which GSCP (NJ), L.P. ceased to be our investment adviser and administrator, we owed GSCP (NJ),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 million in fees for services previously provided to us; of which $0.3 million has been paid by us. GSCP (NJ), L.P. agreed to waive payment by us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$2.6 million in connection with the consummation of the stock purchase transaction with Saratoga Investment Advisors and certain of its affiliates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elsewhere in this Quarterly Report.</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terms of the investment advisory and management agreement with Saratoga Investment Advisors, our current investment adviser, are substantially similar to the terms of the investment advisory and management agreement we had entered into with GSCP (NJ), L.P., our former investment adviser, except for the following material distinctions in the fee terms:</w:t>
      </w:r>
    </w:p>
    <w:p>
      <w:pPr>
        <w:spacing w:after="0" w:line="87" w:lineRule="exact"/>
        <w:rPr>
          <w:sz w:val="20"/>
          <w:szCs w:val="20"/>
          <w:color w:val="auto"/>
        </w:rPr>
      </w:pPr>
    </w:p>
    <w:p>
      <w:pPr>
        <w:ind w:left="900" w:right="80" w:hanging="446"/>
        <w:spacing w:after="0" w:line="273"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capital gains portion of the incentive fee was reset with respect to gains and losses from May 31, 2010, and therefore losses and gains incurred prior to such time will not be taken into account when calculating the capital gains fee payable to Saratoga Investment Advisors and, as a result, Saratoga Investment Advisors will be entitled to 20.0% of net gains that arise after May 31, 2010. In addition, the cost basis for computing realized gains and losses on investments held by us as of May 31, 2010 equal the fair value of such investment as of such date. Under the investment advisory and management agreement with our former investment adviser, GSCP (NJ), L.P., the capital gains fee was calculated from March 21, 2007, and the gains were substantially outweighed by losses.</w:t>
      </w:r>
    </w:p>
    <w:p>
      <w:pPr>
        <w:spacing w:after="0" w:line="83" w:lineRule="exact"/>
        <w:rPr>
          <w:rFonts w:ascii="Arial" w:cs="Arial" w:eastAsia="Arial" w:hAnsi="Arial"/>
          <w:sz w:val="17"/>
          <w:szCs w:val="17"/>
          <w:color w:val="auto"/>
        </w:rPr>
      </w:pPr>
    </w:p>
    <w:p>
      <w:pPr>
        <w:ind w:left="900" w:right="20" w:hanging="446"/>
        <w:spacing w:after="0" w:line="297"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Under the “catch up” provision, 100.0% of our pre-incentive fee net investment income with respect to that portion of such pre-incentive fee net investment income that exceeds 1.875% but is less than or equal to 2.344% in any fiscal quarter is payable to Saratoga Investment Advisors. This will enable Saratoga Investment Advisors to receive 20.0% of all net investment income as such amount approaches 2.344% in any quarter, and Saratoga Investment Advisors will receive 20.0% of any additional net investment income. Under the investment advisory and management agreement with our former investment adviser, GSCP (NJ), L.P. only received 20.0% of the excess net investment income over 1.875%.</w:t>
      </w:r>
    </w:p>
    <w:p>
      <w:pPr>
        <w:spacing w:after="0" w:line="63"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no longer have deferral rights regarding incentive fees in the event that the distributions to stockholders and change in net assets is less than 7.5% for the preceding four fiscal quarters.</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To the extent that any of our leveraged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interest rate caps, futures, options and forward contracts. Costs incurred in entering into or settling such contracts will be borne by us.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In August 2016, the FASB issued Accounting Standards Update (“ASU”) 2016-15, Statement of Cash Flows (Topic 230), </w:t>
      </w:r>
      <w:r>
        <w:rPr>
          <w:rFonts w:ascii="Arial" w:cs="Arial" w:eastAsia="Arial" w:hAnsi="Arial"/>
          <w:sz w:val="18"/>
          <w:szCs w:val="18"/>
          <w:i w:val="1"/>
          <w:iCs w:val="1"/>
          <w:color w:val="auto"/>
        </w:rPr>
        <w:t>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Receipts and Cash Payments </w:t>
      </w:r>
      <w:r>
        <w:rPr>
          <w:rFonts w:ascii="Arial" w:cs="Arial" w:eastAsia="Arial" w:hAnsi="Arial"/>
          <w:sz w:val="18"/>
          <w:szCs w:val="18"/>
          <w:color w:val="auto"/>
        </w:rPr>
        <w:t>(“ASU 2016-15”), which is intended to reduce the existing diversity in practice in how certain cash receipts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are presented and classified in the statement of cash flows. The guidance is effective for annual periods beginning after December 15, 2017, and interim periods therein. Early adoption is permitted. Management is currently evaluating the impact ASU 2016-15 will have on the Company’s consolidated financial statements and disclosures.</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Amendments to the Leases</w:t>
      </w:r>
      <w:r>
        <w:rPr>
          <w:rFonts w:ascii="Arial" w:cs="Arial" w:eastAsia="Arial" w:hAnsi="Arial"/>
          <w:sz w:val="18"/>
          <w:szCs w:val="18"/>
          <w:color w:val="auto"/>
        </w:rPr>
        <w:t xml:space="preserve"> (“ASC Topic 842”), which will require for all operating leases the recognition of a right-of-use asset and a lease liability, in the statement of financial position. The lease cost will be allocated over the lease term on a straight-line basis. This guidance is effective for annual and interim periods beginning after December 15, 2018. Management is currently evaluating the impact these changes will have on the Company’s consolidated financial statements and disclosures.</w:t>
      </w:r>
    </w:p>
    <w:p>
      <w:pPr>
        <w:spacing w:after="0" w:line="18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retains many current requirements for the classification and measurement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however, it significantly revises an entity’s accounting related to (1) the classification and measurement of investments in equity securities and</w:t>
      </w:r>
    </w:p>
    <w:p>
      <w:pPr>
        <w:ind w:right="40" w:firstLine="8"/>
        <w:spacing w:after="0" w:line="254"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presentation of certain fair value changes for financial 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 adoption of this standard has on our consolidated financial statements and disclosures.</w:t>
      </w:r>
    </w:p>
    <w:p>
      <w:pPr>
        <w:spacing w:after="0" w:line="1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does not believe these changes will have a material impact on the Company’s consolidated financial statements and disclosures.</w:t>
      </w:r>
    </w:p>
    <w:p>
      <w:pPr>
        <w:spacing w:after="0" w:line="165"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In May 2016, ASU 2016-12 amended ASU 2014-09 and deferred the effective period to December 15, 2017. Management is currently evaluating the impact these changes will have on the Company’s consolidated financial statements and disclosures.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Corporate Debt Portfolio Overview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At November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At February 29,</w:t>
            </w:r>
          </w:p>
        </w:tc>
      </w:tr>
      <w:tr>
        <w:trPr>
          <w:trHeight w:val="171"/>
        </w:trPr>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r>
      <w:tr>
        <w:trPr>
          <w:trHeight w:val="142"/>
        </w:trPr>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3"/>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100" w:type="dxa"/>
            <w:vAlign w:val="bottom"/>
          </w:tcPr>
          <w:p>
            <w:pPr>
              <w:spacing w:after="0"/>
              <w:rPr>
                <w:sz w:val="12"/>
                <w:szCs w:val="12"/>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Number of investments(1)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Number of portfolio companies(1)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size(1)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Weighted average maturity(1)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 yrs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3.8 yrs</w:t>
            </w: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Number of industries(3)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Average investment per portfolio company(1)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or delinquent investments(1)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Fixed rate debt (% of interest bearing portfolio)(2)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46.7(18.3%)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97.9(40.0%)</w:t>
            </w: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coupon(2)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Floating rate debt (% of interest bearing portfolio)(2)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208.5(81.7%)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8"/>
              </w:rPr>
              <w:t>146.8(60.0%)</w:t>
            </w: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spread over LIBOR(2)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r>
        <w:trPr>
          <w:trHeight w:val="135"/>
        </w:trPr>
        <w:tc>
          <w:tcPr>
            <w:tcW w:w="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9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36"/>
        </w:trPr>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(1)</w:t>
            </w:r>
          </w:p>
        </w:tc>
        <w:tc>
          <w:tcPr>
            <w:tcW w:w="6680" w:type="dxa"/>
            <w:vAlign w:val="bottom"/>
            <w:gridSpan w:val="3"/>
          </w:tcPr>
          <w:p>
            <w:pPr>
              <w:ind w:left="180"/>
              <w:spacing w:after="0"/>
              <w:rPr>
                <w:sz w:val="20"/>
                <w:szCs w:val="20"/>
                <w:color w:val="auto"/>
              </w:rPr>
            </w:pPr>
            <w:r>
              <w:rPr>
                <w:rFonts w:ascii="Arial" w:cs="Arial" w:eastAsia="Arial" w:hAnsi="Arial"/>
                <w:sz w:val="18"/>
                <w:szCs w:val="18"/>
                <w:color w:val="auto"/>
              </w:rPr>
              <w:t>Excludes our investment in the subordinated notes of Saratoga CLO.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(2)</w:t>
            </w:r>
          </w:p>
        </w:tc>
        <w:tc>
          <w:tcPr>
            <w:tcW w:w="6680" w:type="dxa"/>
            <w:vAlign w:val="bottom"/>
            <w:gridSpan w:val="3"/>
          </w:tcPr>
          <w:p>
            <w:pPr>
              <w:ind w:left="180"/>
              <w:spacing w:after="0"/>
              <w:rPr>
                <w:sz w:val="20"/>
                <w:szCs w:val="20"/>
                <w:color w:val="auto"/>
              </w:rPr>
            </w:pPr>
            <w:r>
              <w:rPr>
                <w:rFonts w:ascii="Arial" w:cs="Arial" w:eastAsia="Arial" w:hAnsi="Arial"/>
                <w:sz w:val="18"/>
                <w:szCs w:val="18"/>
                <w:color w:val="auto"/>
                <w:w w:val="91"/>
              </w:rPr>
              <w:t>Excludes our investment in the subordinated notes of Saratoga CLO and equity interests.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(3)</w:t>
            </w:r>
          </w:p>
        </w:tc>
        <w:tc>
          <w:tcPr>
            <w:tcW w:w="6680" w:type="dxa"/>
            <w:vAlign w:val="bottom"/>
            <w:gridSpan w:val="3"/>
          </w:tcPr>
          <w:p>
            <w:pPr>
              <w:ind w:left="180"/>
              <w:spacing w:after="0"/>
              <w:rPr>
                <w:sz w:val="20"/>
                <w:szCs w:val="20"/>
                <w:color w:val="auto"/>
              </w:rPr>
            </w:pPr>
            <w:r>
              <w:rPr>
                <w:rFonts w:ascii="Arial" w:cs="Arial" w:eastAsia="Arial" w:hAnsi="Arial"/>
                <w:sz w:val="18"/>
                <w:szCs w:val="18"/>
                <w:color w:val="auto"/>
                <w:w w:val="93"/>
              </w:rPr>
              <w:t>Excludes our investment in the subordinated notes of Saratoga CLO and Class F Note.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400" w:type="dxa"/>
            <w:vAlign w:val="bottom"/>
          </w:tcPr>
          <w:p>
            <w:pPr>
              <w:spacing w:after="0"/>
              <w:rPr>
                <w:sz w:val="24"/>
                <w:szCs w:val="24"/>
                <w:color w:val="auto"/>
              </w:rPr>
            </w:pPr>
          </w:p>
        </w:tc>
        <w:tc>
          <w:tcPr>
            <w:tcW w:w="6680" w:type="dxa"/>
            <w:vAlign w:val="bottom"/>
            <w:gridSpan w:val="3"/>
          </w:tcPr>
          <w:p>
            <w:pPr>
              <w:jc w:val="right"/>
              <w:ind w:right="119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three months ended November 30, 2016, we invested $30.1 million in new or existing portfolio companies and had $23.8 million in aggregate amount of exits and repayments resulting in net investments of $6.3 million for the period. During the three months ended November 30, 2015, we invested $15.3 million in new or existing portfolio companies and had $27.9 million in aggregate amount of exits and repayments resulting in net repayments of $12.6 million for the period.</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nine months ended November 30, 2016, we invested $85.9 million in new or existing portfolio companies and had $94.7 million in aggregate amount of exits and repayments resulting in net repayments of $8.8 million for the period. During the nine months ended November 30, 2015, we invested $57.4 million in new or existing portfolio companies and had $62.7 million in aggregate amount of exits and repayments resulting in net repayments of $5.3 million for the period.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portfolio composition at November 30, 2016 and February 29, 2016 at fair value was as follows: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Portfolio composition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6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At November 30, 2016</w:t>
            </w:r>
          </w:p>
        </w:tc>
        <w:tc>
          <w:tcPr>
            <w:tcW w:w="21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1380" w:type="dxa"/>
            <w:vAlign w:val="bottom"/>
            <w:tcBorders>
              <w:top w:val="single" w:sz="8" w:color="auto"/>
            </w:tcBorders>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7"/>
              </w:rPr>
              <w:t>Percentage</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80" w:type="dxa"/>
            <w:vAlign w:val="bottom"/>
          </w:tcPr>
          <w:p>
            <w:pPr>
              <w:spacing w:after="0"/>
              <w:rPr>
                <w:sz w:val="10"/>
                <w:szCs w:val="10"/>
                <w:color w:val="auto"/>
              </w:rPr>
            </w:pPr>
          </w:p>
        </w:tc>
        <w:tc>
          <w:tcPr>
            <w:tcW w:w="1360" w:type="dxa"/>
            <w:vAlign w:val="bottom"/>
            <w:tcBorders>
              <w:top w:val="single" w:sz="8" w:color="auto"/>
            </w:tcBorders>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vMerge w:val="continue"/>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of Total</w:t>
            </w: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Current</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of Total</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6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6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First lien term loans</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57.8</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10.5</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50.9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28.9</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11.7</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5.5</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12.2</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4.5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0.7</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vMerge w:val="continue"/>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10.8%</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investment in the subordinated notes of Saratoga CLO represents a first loss position in a portfolio that, at November 30, 2016 and February 29, 2016 was composed of $297.5 million and $302.7 million, respectively, in aggregate principal amount of predominantly senior secured first lien term loans. This investment is subject to unique risks. (See “Risk Factors—Our investment in Saratoga CLO constitutes a leveraged investment in a portfolio of predominantly senior secured first lien term loans and is subject to additional risks and volatility” in our Annual Report on Form 10-K for the fiscal year ended February 29, 2016). We do not consolidate the Saratoga CLO portfolio in our consolidated financial statements. Accordingly, the metrics below do not include the underlying Saratoga CLO portfolio investments. However, at November 30, 2016, $286.1 million or 98.7% of the Saratoga CLO portfolio investments in terms of market value had a CMR (as defined below) color rating of green or yellow and there were no Saratoga CLO portfolio investments in default. At February 29, 2016, $283.3 million or 99.4% of the Saratoga CLO portfolio investments in terms of market value had a CMR (as defined below) color rating of green or yellow and one Saratoga CLO portfolio investment was in default with a fair value of $0.8 million.</w:t>
      </w:r>
    </w:p>
    <w:p>
      <w:pPr>
        <w:spacing w:after="0" w:line="18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Saratoga Investment Advisors normally grades all of our investments using a credit and monitoring rating system (“CMR”). The CMR consists of a single component: a color rating. The color rating is based on several criteria, including financial and operating strength, probability of default, and restructuring risk. The color ratings are characterized as follows: (Green)—strong credit; (Yellow)—satisfactory credit; (Red)—payment default risk, in payment default and/or significant restructuring activity.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CMR distribution of our investments at November 30, 2016 and February 29, 2016 was as follows: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3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At November 30, 2016</w:t>
            </w:r>
          </w:p>
        </w:tc>
        <w:tc>
          <w:tcPr>
            <w:tcW w:w="22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0"/>
              </w:rPr>
              <w:t>Color Score</w:t>
            </w:r>
          </w:p>
        </w:tc>
        <w:tc>
          <w:tcPr>
            <w:tcW w:w="500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of Total</w:t>
            </w:r>
          </w:p>
        </w:tc>
        <w:tc>
          <w:tcPr>
            <w:tcW w:w="2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1200" w:type="dxa"/>
            <w:vAlign w:val="bottom"/>
            <w:gridSpan w:val="3"/>
            <w:vMerge w:val="continue"/>
          </w:tcPr>
          <w:p>
            <w:pPr>
              <w:spacing w:after="0"/>
              <w:rPr>
                <w:sz w:val="14"/>
                <w:szCs w:val="14"/>
                <w:color w:val="auto"/>
              </w:rPr>
            </w:pPr>
          </w:p>
        </w:tc>
        <w:tc>
          <w:tcPr>
            <w:tcW w:w="500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$ 246,130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88.7%</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$ 240,623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Yellow</w:t>
            </w:r>
          </w:p>
        </w:tc>
        <w:tc>
          <w:tcPr>
            <w:tcW w:w="6280" w:type="dxa"/>
            <w:vAlign w:val="bottom"/>
            <w:gridSpan w:val="3"/>
          </w:tcPr>
          <w:p>
            <w:pPr>
              <w:jc w:val="right"/>
              <w:ind w:right="540"/>
              <w:spacing w:after="0"/>
              <w:rPr>
                <w:sz w:val="20"/>
                <w:szCs w:val="20"/>
                <w:color w:val="auto"/>
              </w:rPr>
            </w:pPr>
            <w:r>
              <w:rPr>
                <w:rFonts w:ascii="Arial" w:cs="Arial" w:eastAsia="Arial" w:hAnsi="Arial"/>
                <w:sz w:val="18"/>
                <w:szCs w:val="18"/>
                <w:color w:val="auto"/>
              </w:rPr>
              <w:t>8,423</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4,058</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N/A(1)</w:t>
            </w:r>
          </w:p>
        </w:tc>
        <w:tc>
          <w:tcPr>
            <w:tcW w:w="50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23,009</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8.3</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39,307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$ 277,570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$ 283,996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4180" w:hanging="5612"/>
        <w:spacing w:after="0" w:line="449" w:lineRule="auto"/>
        <w:tabs>
          <w:tab w:leader="none" w:pos="4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 and equity interests. 42</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CMR distribution of Saratoga CLO investments at November 30, 2016 and February 29, 2016 was as follows:</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3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At November 30, 2016</w:t>
            </w:r>
          </w:p>
        </w:tc>
        <w:tc>
          <w:tcPr>
            <w:tcW w:w="22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0"/>
              </w:rPr>
              <w:t>Color Score</w:t>
            </w:r>
          </w:p>
        </w:tc>
        <w:tc>
          <w:tcPr>
            <w:tcW w:w="500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of Total</w:t>
            </w:r>
          </w:p>
        </w:tc>
        <w:tc>
          <w:tcPr>
            <w:tcW w:w="2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1200" w:type="dxa"/>
            <w:vAlign w:val="bottom"/>
            <w:gridSpan w:val="3"/>
            <w:vMerge w:val="continue"/>
          </w:tcPr>
          <w:p>
            <w:pPr>
              <w:spacing w:after="0"/>
              <w:rPr>
                <w:sz w:val="14"/>
                <w:szCs w:val="14"/>
                <w:color w:val="auto"/>
              </w:rPr>
            </w:pPr>
          </w:p>
        </w:tc>
        <w:tc>
          <w:tcPr>
            <w:tcW w:w="500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$ 257,697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88.9%</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$ 251,570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Yellow</w:t>
            </w:r>
          </w:p>
        </w:tc>
        <w:tc>
          <w:tcPr>
            <w:tcW w:w="6280" w:type="dxa"/>
            <w:vAlign w:val="bottom"/>
            <w:gridSpan w:val="3"/>
          </w:tcPr>
          <w:p>
            <w:pPr>
              <w:jc w:val="right"/>
              <w:ind w:right="540"/>
              <w:spacing w:after="0"/>
              <w:rPr>
                <w:sz w:val="20"/>
                <w:szCs w:val="20"/>
                <w:color w:val="auto"/>
              </w:rPr>
            </w:pPr>
            <w:r>
              <w:rPr>
                <w:rFonts w:ascii="Arial" w:cs="Arial" w:eastAsia="Arial" w:hAnsi="Arial"/>
                <w:sz w:val="18"/>
                <w:szCs w:val="18"/>
                <w:color w:val="auto"/>
              </w:rPr>
              <w:t>28,425</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9.8</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31,752</w:t>
            </w: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3,840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N/A(1)</w:t>
            </w:r>
          </w:p>
        </w:tc>
        <w:tc>
          <w:tcPr>
            <w:tcW w:w="50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37</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192</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$ 289,999</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$ 284,845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Comprised of Saratoga CLO’s equity interests.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Portfolio composition by industry grouping at fair value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portfolio composition by industry grouping at fair value at November 30, 2016 and February 29,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At November 30, 2016</w:t>
            </w:r>
          </w:p>
        </w:tc>
        <w:tc>
          <w:tcPr>
            <w:tcW w:w="22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4"/>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at</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of Total</w:t>
            </w:r>
          </w:p>
        </w:tc>
        <w:tc>
          <w:tcPr>
            <w:tcW w:w="2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$ 146,250</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$ 105,976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Healthcare Services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28,128</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36,905</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20,737</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43,109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Media</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18,522</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6.7</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16,574</w:t>
            </w: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16,661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9,537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Structured Finance Securities (1)</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15,266</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5.5</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12,828</w:t>
            </w: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10,919</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10,694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Metals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8,857</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3.2</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10,526</w:t>
            </w: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8,423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9,131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Building Products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2,000</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0.7</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6,367</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787</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0.3</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7,642</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 Aftermarket</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14,707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$ 277,570</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2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$ 283,996</w:t>
            </w:r>
          </w:p>
        </w:tc>
        <w:tc>
          <w:tcPr>
            <w:tcW w:w="5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3960" w:hanging="5612"/>
        <w:spacing w:after="0" w:line="490" w:lineRule="auto"/>
        <w:tabs>
          <w:tab w:leader="none" w:pos="45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Comprised of our investment in the subordinated notes and Class F Note of Saratoga CLO. 43</w:t>
      </w:r>
    </w:p>
    <w:p>
      <w:pPr>
        <w:sectPr>
          <w:pgSz w:w="11900" w:h="16838" w:orient="portrait"/>
          <w:cols w:equalWidth="0" w:num="1">
            <w:col w:w="10960"/>
          </w:cols>
          <w:pgMar w:left="240" w:top="459" w:right="6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Saratoga CLO’s portfolio composition by industry grouping at fair value at November 30, 2016 and February 29, 2016:</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At November 30, 2016</w:t>
            </w:r>
          </w:p>
        </w:tc>
        <w:tc>
          <w:tcPr>
            <w:tcW w:w="140" w:type="dxa"/>
            <w:vAlign w:val="bottom"/>
          </w:tcPr>
          <w:p>
            <w:pPr>
              <w:spacing w:after="0"/>
              <w:rPr>
                <w:sz w:val="14"/>
                <w:szCs w:val="14"/>
                <w:color w:val="auto"/>
              </w:rPr>
            </w:pPr>
          </w:p>
        </w:tc>
        <w:tc>
          <w:tcPr>
            <w:tcW w:w="2020" w:type="dxa"/>
            <w:vAlign w:val="bottom"/>
            <w:gridSpan w:val="4"/>
          </w:tcPr>
          <w:p>
            <w:pPr>
              <w:ind w:left="18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0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at</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 Total</w:t>
            </w:r>
          </w:p>
        </w:tc>
        <w:tc>
          <w:tcPr>
            <w:tcW w:w="140" w:type="dxa"/>
            <w:vAlign w:val="bottom"/>
          </w:tcPr>
          <w:p>
            <w:pPr>
              <w:spacing w:after="0"/>
              <w:rPr>
                <w:sz w:val="12"/>
                <w:szCs w:val="12"/>
                <w:color w:val="auto"/>
              </w:rPr>
            </w:pPr>
          </w:p>
        </w:tc>
        <w:tc>
          <w:tcPr>
            <w:tcW w:w="11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Fair Value</w:t>
            </w: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Portfolio</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ind w:left="52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17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41,241</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37,308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30,765</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28,339</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Chemicals/Plastics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23,271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24,714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High Tech Industries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16,703</w:t>
            </w: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9,451</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15,678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Retailers (Except Food and Drugs)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14,664</w:t>
            </w: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18,898</w:t>
            </w: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13,008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12,580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Conglomerate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12,767</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11,770</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11,741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Media</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10,732</w:t>
            </w: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4,768</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Industrial Equipment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Leisure Goods/Activities/Movies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9,198</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8,009</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Electronics/Electric</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8,344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Financial Intermediaries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7,760</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13,559</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Food Services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5,872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5,944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Automotive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5,004</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5,470</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Lodging and Casinos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4,352</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4,958</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Technology</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3,883</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7,774</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Food/Drug Retailers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3,835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Food Products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3,150</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5,694</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&amp; Tobacco</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Insurance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2,988</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4,712</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Drugs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2,936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2,873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Utilities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2,894</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6,975</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2,604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Oil &amp; Gas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2,519</w:t>
            </w: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2,273</w:t>
            </w: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Brokers/Dealers/Investment Houses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Containers/Glass Products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1,993</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4,168</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Construction &amp; Building</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1,958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2,869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Cable and Satellite Television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1,617</w:t>
            </w: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3,557</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Nonferrous Metals/Minerals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Transportation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1,005</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Services: Consumer</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655</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496</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Broadcast Radio and Television</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Building and Development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248</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248</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289,999</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284,845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40" w:type="dxa"/>
            <w:vAlign w:val="bottom"/>
            <w:vMerge w:val="restart"/>
          </w:tcPr>
          <w:p>
            <w:pPr>
              <w:jc w:val="right"/>
              <w:ind w:right="350"/>
              <w:spacing w:after="0"/>
              <w:rPr>
                <w:sz w:val="20"/>
                <w:szCs w:val="20"/>
                <w:color w:val="auto"/>
              </w:rPr>
            </w:pPr>
            <w:r>
              <w:rPr>
                <w:rFonts w:ascii="Arial" w:cs="Arial" w:eastAsia="Arial" w:hAnsi="Arial"/>
                <w:sz w:val="18"/>
                <w:szCs w:val="18"/>
                <w:color w:val="auto"/>
              </w:rPr>
              <w:t>44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9" w:right="6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Portfolio composition by geographic location at fair value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our portfolio composition by geographic location at fair value at November 30, 2016 and February 29, 2016. The geographic composition is determined by the location of the corporate headquarters of the portfolio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4"/>
          </w:tcPr>
          <w:p>
            <w:pPr>
              <w:ind w:left="180"/>
              <w:spacing w:after="0"/>
              <w:rPr>
                <w:sz w:val="20"/>
                <w:szCs w:val="20"/>
                <w:color w:val="auto"/>
              </w:rPr>
            </w:pPr>
            <w:r>
              <w:rPr>
                <w:rFonts w:ascii="Arial" w:cs="Arial" w:eastAsia="Arial" w:hAnsi="Arial"/>
                <w:sz w:val="14"/>
                <w:szCs w:val="14"/>
                <w:b w:val="1"/>
                <w:bCs w:val="1"/>
                <w:color w:val="auto"/>
              </w:rPr>
              <w:t>At November 30, 2016</w:t>
            </w:r>
          </w:p>
        </w:tc>
        <w:tc>
          <w:tcPr>
            <w:tcW w:w="240" w:type="dxa"/>
            <w:vAlign w:val="bottom"/>
          </w:tcPr>
          <w:p>
            <w:pPr>
              <w:spacing w:after="0"/>
              <w:rPr>
                <w:sz w:val="14"/>
                <w:szCs w:val="14"/>
                <w:color w:val="auto"/>
              </w:rPr>
            </w:pPr>
          </w:p>
        </w:tc>
        <w:tc>
          <w:tcPr>
            <w:tcW w:w="22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29, 2016</w:t>
            </w:r>
          </w:p>
        </w:tc>
      </w:tr>
      <w:tr>
        <w:trPr>
          <w:trHeight w:val="119"/>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3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at</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 Total</w:t>
            </w:r>
          </w:p>
        </w:tc>
        <w:tc>
          <w:tcPr>
            <w:tcW w:w="24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at</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Total</w:t>
            </w: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Portfolio</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5"/>
          </w:tcPr>
          <w:p>
            <w:pPr>
              <w:ind w:left="52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Southeast</w:t>
            </w:r>
          </w:p>
        </w:tc>
        <w:tc>
          <w:tcPr>
            <w:tcW w:w="20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113,621</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$ 108,661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r>
      <w:tr>
        <w:trPr>
          <w:trHeight w:val="216"/>
        </w:trPr>
        <w:tc>
          <w:tcPr>
            <w:tcW w:w="9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55,526</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20.0</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57,553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r>
      <w:tr>
        <w:trPr>
          <w:trHeight w:val="216"/>
        </w:trPr>
        <w:tc>
          <w:tcPr>
            <w:tcW w:w="9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Northeast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41,973</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15.1</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52,875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r>
      <w:tr>
        <w:trPr>
          <w:trHeight w:val="216"/>
        </w:trPr>
        <w:tc>
          <w:tcPr>
            <w:tcW w:w="9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Southwest</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24,843</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9.0</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25,535</w:t>
            </w: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16,561</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24,544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Other(1)</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15,266</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5.5</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12,828</w:t>
            </w: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Northwest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7,780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0.7</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2,000</w:t>
            </w: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277,570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$ 283,996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5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2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and Class F Note of Saratoga CLO.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three and nine months ended November 30, 2016 and November 30, 2015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240" w:type="dxa"/>
            <w:vAlign w:val="bottom"/>
            <w:tcBorders>
              <w:top w:val="single" w:sz="8" w:color="auto"/>
            </w:tcBorders>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200" w:type="dxa"/>
            <w:vAlign w:val="bottom"/>
            <w:tcBorders>
              <w:top w:val="single" w:sz="8" w:color="auto"/>
            </w:tcBorders>
            <w:gridSpan w:val="3"/>
          </w:tcPr>
          <w:p>
            <w:pPr>
              <w:jc w:val="center"/>
              <w:ind w:left="242"/>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4"/>
          </w:tcPr>
          <w:p>
            <w:pPr>
              <w:jc w:val="center"/>
              <w:ind w:left="336"/>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1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expenses</w:t>
            </w:r>
          </w:p>
        </w:tc>
        <w:tc>
          <w:tcPr>
            <w:tcW w:w="1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realized gains from investments</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0"/>
              </w:rPr>
              <w:t>Net unrealized appreciation (depreciation) on investments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9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For the 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240" w:type="dxa"/>
            <w:vAlign w:val="bottom"/>
            <w:tcBorders>
              <w:top w:val="single" w:sz="8" w:color="auto"/>
            </w:tcBorders>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November 30,</w:t>
            </w:r>
          </w:p>
        </w:tc>
        <w:tc>
          <w:tcPr>
            <w:tcW w:w="1200" w:type="dxa"/>
            <w:vAlign w:val="bottom"/>
            <w:tcBorders>
              <w:top w:val="single" w:sz="8" w:color="auto"/>
            </w:tcBorders>
            <w:gridSpan w:val="3"/>
          </w:tcPr>
          <w:p>
            <w:pPr>
              <w:jc w:val="center"/>
              <w:ind w:left="262"/>
              <w:spacing w:after="0" w:line="119" w:lineRule="exact"/>
              <w:rPr>
                <w:sz w:val="20"/>
                <w:szCs w:val="20"/>
                <w:color w:val="auto"/>
              </w:rPr>
            </w:pPr>
            <w:r>
              <w:rPr>
                <w:rFonts w:ascii="Arial" w:cs="Arial" w:eastAsia="Arial" w:hAnsi="Arial"/>
                <w:sz w:val="13"/>
                <w:szCs w:val="13"/>
                <w:b w:val="1"/>
                <w:bCs w:val="1"/>
                <w:color w:val="auto"/>
              </w:rPr>
              <w:t>November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 in thousands)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1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24,799</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expenses</w:t>
            </w:r>
          </w:p>
        </w:tc>
        <w:tc>
          <w:tcPr>
            <w:tcW w:w="1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realized gains from investments</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12,300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0"/>
              </w:rPr>
              <w:t>Net unrealized appreciation (depreciation) on investments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(10,728)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9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40" w:type="dxa"/>
            <w:vAlign w:val="bottom"/>
            <w:vMerge w:val="restart"/>
          </w:tcPr>
          <w:p>
            <w:pPr>
              <w:jc w:val="right"/>
              <w:ind w:right="1630"/>
              <w:spacing w:after="0"/>
              <w:rPr>
                <w:sz w:val="20"/>
                <w:szCs w:val="20"/>
                <w:color w:val="auto"/>
              </w:rPr>
            </w:pPr>
            <w:r>
              <w:rPr>
                <w:rFonts w:ascii="Arial" w:cs="Arial" w:eastAsia="Arial" w:hAnsi="Arial"/>
                <w:sz w:val="18"/>
                <w:szCs w:val="18"/>
                <w:color w:val="auto"/>
                <w:w w:val="99"/>
              </w:rPr>
              <w:t>45</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composition of our investment income for the three and nine months ended November 30, 2016 and November 30, 2015 were as follows: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For the three months ended</w:t>
            </w:r>
          </w:p>
        </w:tc>
      </w:tr>
      <w:tr>
        <w:trPr>
          <w:trHeight w:val="119"/>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560" w:type="dxa"/>
            <w:vAlign w:val="bottom"/>
            <w:tcBorders>
              <w:top w:val="single" w:sz="8" w:color="auto"/>
            </w:tcBorders>
            <w:gridSpan w:val="3"/>
          </w:tcPr>
          <w:p>
            <w:pPr>
              <w:jc w:val="center"/>
              <w:ind w:left="599"/>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2016</w:t>
            </w: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jc w:val="center"/>
              <w:ind w:left="338"/>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9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Management fee income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1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7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9"/>
                <w:szCs w:val="19"/>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8,442</w:t>
            </w:r>
          </w:p>
        </w:tc>
        <w:tc>
          <w:tcPr>
            <w:tcW w:w="7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119"/>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560" w:type="dxa"/>
            <w:vAlign w:val="bottom"/>
            <w:tcBorders>
              <w:top w:val="single" w:sz="8" w:color="auto"/>
            </w:tcBorders>
            <w:gridSpan w:val="3"/>
          </w:tcPr>
          <w:p>
            <w:pPr>
              <w:jc w:val="center"/>
              <w:ind w:left="619"/>
              <w:spacing w:after="0" w:line="119" w:lineRule="exact"/>
              <w:rPr>
                <w:sz w:val="20"/>
                <w:szCs w:val="20"/>
                <w:color w:val="auto"/>
              </w:rPr>
            </w:pPr>
            <w:r>
              <w:rPr>
                <w:rFonts w:ascii="Arial" w:cs="Arial" w:eastAsia="Arial" w:hAnsi="Arial"/>
                <w:sz w:val="13"/>
                <w:szCs w:val="13"/>
                <w:b w:val="1"/>
                <w:bCs w:val="1"/>
                <w:color w:val="auto"/>
              </w:rPr>
              <w:t>November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2016</w:t>
            </w: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 in thousands)</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22,040</w:t>
            </w:r>
          </w:p>
        </w:tc>
        <w:tc>
          <w:tcPr>
            <w:tcW w:w="9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19,978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income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1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24,799</w:t>
            </w:r>
          </w:p>
        </w:tc>
        <w:tc>
          <w:tcPr>
            <w:tcW w:w="9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the three months ended November 30, 2016, total investment income of $8.4 million, increased $1.5 million, or 21.7% compared to $6.9 million for the three months ended November 30, 2015. Interest income from investments increased $1.3 million, or 19.7%, to $7.5 million for the three months ended November 30, 2016 from $6.2 million for the three months ended November 30, 2015. This reflects an increase of 15.2% in total investments to $277.6 million at November 30, 2016 from $241.0 million at November 30, 2015, with the weighted average current coupon increasing from 11.3% to 11.9%.</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nine months ended November 30, 2016, total investment income of $24.8 million, increased $2.5 million, or 11.4% compared to $22.3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November 30, 2015. Interest income from investments increased $2.0 million, or 10.3%, to $22.0 million for the nine months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ended November 30, 2016 from $20.0 million for the nine months ended November 30, 2015. This reflects an increase of 15.2% in total investments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$277.6 million at November 30, 2016 from $241.0 million at November 30, 2015, with the weighted average current coupon increasing from 11.3% to 11.9%.</w:t>
      </w:r>
    </w:p>
    <w:p>
      <w:pPr>
        <w:spacing w:after="0" w:line="234"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For the three months ended November 30, 2016 and November 30, 2015, total PIK income was $0.2 million and $0.04 million, respectively. For the nine months ended November 30, 2016 and November 30, 2015, total PIK income was $0.5 million and $1.0 million, respectively.</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composition of our operating expenses for the three and nine months ended November 30, 2016 and November 30, 2015 was as follows: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19"/>
        </w:trPr>
        <w:tc>
          <w:tcPr>
            <w:tcW w:w="4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00" w:type="dxa"/>
            <w:vAlign w:val="bottom"/>
            <w:tcBorders>
              <w:top w:val="single" w:sz="8" w:color="auto"/>
            </w:tcBorders>
            <w:gridSpan w:val="5"/>
          </w:tcPr>
          <w:p>
            <w:pPr>
              <w:jc w:val="right"/>
              <w:ind w:right="60"/>
              <w:spacing w:after="0" w:line="119" w:lineRule="exact"/>
              <w:rPr>
                <w:sz w:val="20"/>
                <w:szCs w:val="20"/>
                <w:color w:val="auto"/>
              </w:rPr>
            </w:pPr>
            <w:r>
              <w:rPr>
                <w:rFonts w:ascii="Arial" w:cs="Arial" w:eastAsia="Arial" w:hAnsi="Arial"/>
                <w:sz w:val="13"/>
                <w:szCs w:val="13"/>
                <w:b w:val="1"/>
                <w:bCs w:val="1"/>
                <w:color w:val="auto"/>
                <w:w w:val="96"/>
              </w:rPr>
              <w:t>November 30,</w:t>
            </w:r>
          </w:p>
        </w:tc>
        <w:tc>
          <w:tcPr>
            <w:tcW w:w="7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4"/>
          </w:tcPr>
          <w:p>
            <w:pPr>
              <w:ind w:left="20"/>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00" w:type="dxa"/>
            <w:vAlign w:val="bottom"/>
          </w:tcPr>
          <w:p>
            <w:pPr>
              <w:spacing w:after="0"/>
              <w:rPr>
                <w:sz w:val="10"/>
                <w:szCs w:val="10"/>
                <w:color w:val="auto"/>
              </w:rPr>
            </w:pPr>
          </w:p>
        </w:tc>
      </w:tr>
      <w:tr>
        <w:trPr>
          <w:trHeight w:val="171"/>
        </w:trPr>
        <w:tc>
          <w:tcPr>
            <w:tcW w:w="4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5"/>
          </w:tcPr>
          <w:p>
            <w:pPr>
              <w:jc w:val="center"/>
              <w:ind w:left="354"/>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1580" w:type="dxa"/>
            <w:vAlign w:val="bottom"/>
            <w:gridSpan w:val="4"/>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Base management fees</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1,220</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Administrator expenses</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Incentive management fees</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Insurance</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General and administrative and other expenses</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Excise tax expense (credit)</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 expenses</w:t>
            </w:r>
          </w:p>
        </w:tc>
        <w:tc>
          <w:tcPr>
            <w:tcW w:w="1380" w:type="dxa"/>
            <w:vAlign w:val="bottom"/>
          </w:tcPr>
          <w:p>
            <w:pPr>
              <w:spacing w:after="0"/>
              <w:rPr>
                <w:sz w:val="19"/>
                <w:szCs w:val="19"/>
                <w:color w:val="auto"/>
              </w:rPr>
            </w:pPr>
          </w:p>
        </w:tc>
        <w:tc>
          <w:tcPr>
            <w:tcW w:w="200" w:type="dxa"/>
            <w:vAlign w:val="bottom"/>
            <w:tcBorders>
              <w:top w:val="single" w:sz="8" w:color="auto"/>
              <w:bottom w:val="single" w:sz="8" w:color="auto"/>
            </w:tcBorders>
            <w:gridSpan w:val="3"/>
          </w:tcPr>
          <w:p>
            <w:pPr>
              <w:jc w:val="right"/>
              <w:ind w:right="62"/>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5,023</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4,786</w:t>
            </w:r>
          </w:p>
        </w:tc>
        <w:tc>
          <w:tcPr>
            <w:tcW w:w="1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119"/>
        </w:trPr>
        <w:tc>
          <w:tcPr>
            <w:tcW w:w="4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w w:val="93"/>
              </w:rPr>
              <w:t>November 30,</w:t>
            </w:r>
          </w:p>
        </w:tc>
        <w:tc>
          <w:tcPr>
            <w:tcW w:w="1560" w:type="dxa"/>
            <w:vAlign w:val="bottom"/>
            <w:tcBorders>
              <w:top w:val="single" w:sz="8" w:color="auto"/>
            </w:tcBorders>
            <w:gridSpan w:val="4"/>
          </w:tcPr>
          <w:p>
            <w:pPr>
              <w:ind w:left="700"/>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20" w:type="dxa"/>
            <w:vAlign w:val="bottom"/>
            <w:gridSpan w:val="2"/>
          </w:tcPr>
          <w:p>
            <w:pPr>
              <w:spacing w:after="0"/>
              <w:rPr>
                <w:sz w:val="10"/>
                <w:szCs w:val="10"/>
                <w:color w:val="auto"/>
              </w:rPr>
            </w:pPr>
          </w:p>
        </w:tc>
      </w:tr>
      <w:tr>
        <w:trPr>
          <w:trHeight w:val="171"/>
        </w:trPr>
        <w:tc>
          <w:tcPr>
            <w:tcW w:w="4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5"/>
          </w:tcPr>
          <w:p>
            <w:pPr>
              <w:jc w:val="center"/>
              <w:ind w:left="394"/>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1580" w:type="dxa"/>
            <w:vAlign w:val="bottom"/>
            <w:gridSpan w:val="4"/>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9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Base management fees</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3,650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Administrator expenses</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Incentive management fees</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Insurance</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General and administrative and other expenses</w:t>
            </w:r>
          </w:p>
        </w:tc>
        <w:tc>
          <w:tcPr>
            <w:tcW w:w="1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Excise tax expense (credit)</w:t>
            </w:r>
          </w:p>
        </w:tc>
        <w:tc>
          <w:tcPr>
            <w:tcW w:w="1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 expenses</w:t>
            </w:r>
          </w:p>
        </w:tc>
        <w:tc>
          <w:tcPr>
            <w:tcW w:w="14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16,238</w:t>
            </w: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three months ended November 30, 2016, total operating expenses increased $0.2 million, or 5.0% compared to the three months ended November 30, 2015. For the nine months ended November 30, 2016, total operating expenses increased $1.6 million, or 10.6% compared to the nine months ended November 30, 2015.</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the three and nine months ended November 30, 2016 and November 30, 2015, the increase in interest and debt financing expenses is primarily attributable to an increase in outstanding debt as compared to the prior year, with increased levels of outstanding SBA debentures, as well as additional notes being issued. Our SBA debentures increased from $79.0 million at November 30, 2015 to $112.7 million at November 30, 2016, and the 2020 Notes payable increased slightly from $61.4 million outstanding to $61.8 million outstanding for these same periods. For the three months ended November 30, 2016, the weighted average interest rate on our outstanding indebtedness was 4.66% compared to 5.07% for the three months ended November 30, 2015. For the nine months ended November 30, 2016, the weighted average interest rate on our outstanding indebtedness was 4.73% compared to 4.99% for the nine months ended November 30, 2015. For both periods, the decrease was primarily driven by an increase in SBA debentures that carry a lower interest rate and makes up a higher proportion of our overall debt this year partially offset by the increase in 2020 Notes payable that carry a higher interest rate. SBA debentures increased from 56.3% of overall debt as of November 30, 2015 to 64.6% as of November 30, 2016.</w:t>
      </w:r>
    </w:p>
    <w:p>
      <w:pPr>
        <w:spacing w:after="0" w:line="16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For the three months ended November 30, 2016, base management fees increased $0.1 million, or 11.8% compared to the three months ended November 30, 2015. For the nine months ended November 30, 2016, base management fees increased $0.3 million, or 8.4% compared to the nine months ended November 30, 2015. The increase in base management fees results from the 11.8% increase in the average value of our total assets, less cash and cash equivalents, from $250.1 million as of November 30, 2015 to $279.6 million as of November 30, 2016.</w:t>
      </w:r>
    </w:p>
    <w:p>
      <w:pPr>
        <w:spacing w:after="0" w:line="17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the three and nine months ended November 30, 2016, professional fees decreased $0.02 million, or 5.0%, and decreased $0.04 million, or 3.8%, respectively, compared to the three and nine months ended November 30, 2015.</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the three months ended November 30, 2016, incentive management fees decreased $0.01 million, or 2.4%, compared to the three months ended November 30, 2015. The first part of the incentive management fees increased this year from $0.2 million to $0.8 million reflecting higher pre-incentive fee net investment income for the three months ended November 30, 2016. For the three months ended November 30, 2016, there was a reduction of $0.4 million in incentive management fees related to capital gains compared to a $0.2 million increase in expense as compared to the three months ended November 30, 2015, reflecting a $1.3 million net gain on investments for the three months ended November 30, 2015, as compared to a $1.8 million net loss on investments for the three months ended November 30, 2016.</w:t>
      </w:r>
    </w:p>
    <w:p>
      <w:pPr>
        <w:spacing w:after="0" w:line="17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the nine months ended November 30, 2016, incentive management fees increased $0.2 million, or 7.9%, compared to the nine months ended November 30, 2015. The first part of the incentive management fees increased this year from $1.7 million to $2.2 million for the nine months ended November 30, 2016, reflecting a higher pre-incentive fee net investment income this year. However, the total incentive management fees increase was only $0.2 million as the incentive management fees related to capital gains decreased from $0.5 million to $0.1 million compared to the nine months ended November 30, 2015, reflecting a $4.5 million net gain on investments for the nine months ended November 30, 2015, as compared to a $1.6 million net gain on investments for the nine months ended November 30, 2016.</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discussed above, the increase in interest and debt financing expenses for the three and nine months ended November 30, 2016 as compared to the three and nine months ended November 30, 2015 is primarily attributable to an increase in the amount of outstanding debt. For the three and nine months ended November 30, 2016, there were no outstanding borrowings under the Credit Facility. For the three and nine months ended November 30, 2015, the weighted average interest rate on the outstanding borrowings under the Credit Facility was 6.00%. For the three months ended November 30, 2016 and November 30, 2015, the weighted average interest rate on the outstanding borrowings of the SBA debentures was 3.08% and 3.25%, respectively. For the nine months ended November 30, 2016 and November 30, 2015, the weighted average interest rate on the outstanding borrowings of the SBA debentures was 3.12% and 3.21%, respectively.</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three months ended November 30, 2016, the Company had $23.8 million of sales, repayments, exits or restructurings resulting in $0.3 million of net realized gains. For the nine months ended November 30, 2016, the Company had $94.7 million of sales, repayments, exits or restructurings resulting in $12.3 million of net realized gains. The most significant realized gains during the nine months ended November 30, 2016 were as follows (dollars in thousands):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Nine Months ended November 30, 2016</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234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Asset Type</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Cost</w:t>
            </w: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71"/>
        </w:trPr>
        <w:tc>
          <w:tcPr>
            <w:tcW w:w="4780" w:type="dxa"/>
            <w:vAlign w:val="bottom"/>
            <w:gridSpan w:val="2"/>
            <w:vMerge w:val="continue"/>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Proceeds</w:t>
            </w:r>
          </w:p>
        </w:tc>
        <w:tc>
          <w:tcPr>
            <w:tcW w:w="2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Gain</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Take</w:t>
            </w:r>
          </w:p>
        </w:tc>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 Oil Change, L.L.C.</w:t>
            </w:r>
          </w:p>
        </w:tc>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$ 6,505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$481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$ 6,024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Legacy Cabinets, Inc.</w:t>
            </w:r>
          </w:p>
        </w:tc>
        <w:tc>
          <w:tcPr>
            <w:tcW w:w="2340" w:type="dxa"/>
            <w:vAlign w:val="bottom"/>
            <w:gridSpan w:val="2"/>
          </w:tcPr>
          <w:p>
            <w:pPr>
              <w:spacing w:after="0"/>
              <w:rPr>
                <w:sz w:val="20"/>
                <w:szCs w:val="20"/>
                <w:color w:val="auto"/>
              </w:rPr>
            </w:pPr>
            <w:r>
              <w:rPr>
                <w:rFonts w:ascii="Arial" w:cs="Arial" w:eastAsia="Arial" w:hAnsi="Arial"/>
                <w:sz w:val="18"/>
                <w:szCs w:val="18"/>
                <w:color w:val="auto"/>
              </w:rPr>
              <w:t>Common Stock Voting A-1</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2,320</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221</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Legacy Cabinets, Inc.</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Voting B-1</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1,464</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$6.0 million of realized gain on our investment in Take 5 Oil Change, L.L.C. was due to the completion of a sales transaction with a strategic acquirer.</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$3.4 million of realized gains on our investments in Legacy Cabinets, Inc. were due to a period of steadily improving performance, leading up to our sale of shares in Legacy Cabinets, Inc.</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three months ended November 30, 2015, the Company had $27.9 million of sales, repayments, exits or restructurings resulting in $0.4 million of net realized gains. For the nine months ended November 30, 2015, the Company had $62.7 million of sales, repayments, exits or restructurings resulting in $4.2 million of net realized gains. The most significant realized gains during the nine months ended November 30, 2015 were as follows (dollars in thousands):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November 30, 2015</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100" w:type="dxa"/>
            <w:vAlign w:val="bottom"/>
          </w:tcPr>
          <w:p>
            <w:pPr>
              <w:spacing w:after="0"/>
              <w:rPr>
                <w:sz w:val="12"/>
                <w:szCs w:val="12"/>
                <w:color w:val="auto"/>
              </w:rPr>
            </w:pPr>
          </w:p>
        </w:tc>
        <w:tc>
          <w:tcPr>
            <w:tcW w:w="264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Asset Type</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71"/>
        </w:trPr>
        <w:tc>
          <w:tcPr>
            <w:tcW w:w="338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2640" w:type="dxa"/>
            <w:vAlign w:val="bottom"/>
            <w:gridSpan w:val="2"/>
            <w:vMerge w:val="continue"/>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Proceeds</w:t>
            </w:r>
          </w:p>
        </w:tc>
        <w:tc>
          <w:tcPr>
            <w:tcW w:w="2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1100" w:type="dxa"/>
            <w:vAlign w:val="bottom"/>
            <w:vMerge w:val="restart"/>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Communications, Inc.</w:t>
            </w:r>
          </w:p>
        </w:tc>
        <w:tc>
          <w:tcPr>
            <w:tcW w:w="1100" w:type="dxa"/>
            <w:vAlign w:val="bottom"/>
            <w:vMerge w:val="continue"/>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4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$ 3,206</w:t>
            </w:r>
          </w:p>
        </w:tc>
        <w:tc>
          <w:tcPr>
            <w:tcW w:w="2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0"/>
              </w:rPr>
              <w:t>$ —</w:t>
            </w:r>
          </w:p>
        </w:tc>
        <w:tc>
          <w:tcPr>
            <w:tcW w:w="2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$ 3,206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Community Investors, Inc.</w:t>
            </w:r>
          </w:p>
        </w:tc>
        <w:tc>
          <w:tcPr>
            <w:tcW w:w="3740" w:type="dxa"/>
            <w:vAlign w:val="bottom"/>
            <w:gridSpan w:val="3"/>
          </w:tcPr>
          <w:p>
            <w:pPr>
              <w:ind w:left="1100"/>
              <w:spacing w:after="0"/>
              <w:rPr>
                <w:sz w:val="20"/>
                <w:szCs w:val="20"/>
                <w:color w:val="auto"/>
              </w:rPr>
            </w:pPr>
            <w:r>
              <w:rPr>
                <w:rFonts w:ascii="Arial" w:cs="Arial" w:eastAsia="Arial" w:hAnsi="Arial"/>
                <w:sz w:val="18"/>
                <w:szCs w:val="18"/>
                <w:color w:val="auto"/>
              </w:rPr>
              <w:t>Preferred Stock - A Shares 10%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464</w:t>
            </w: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135</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$3.2 million of realized gain on our investments in Network Communications, Inc. is due to the sale of the company to a third party and reflects the realization value pursuant to that transaction.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the three months ended November 30, 2016, our investments had net unrealized depreciation of $2.1 million versus net unrealized appreciation of $0.8 million for the three months ended November 30, 2015. For the nine months ended November 30, 2016, our investments had net unrealized depreciation of $10.7 million versus net unrealized appreciation of $0.2 million for the nine months ended November 30, 2015. The most significant cumulative changes in unrealized appreciation and depreciation for the nine months ended November 30, 2016, were the following (dollars in thousands):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November 30, 2016</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YTD Change</w:t>
            </w: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9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Asset Type</w:t>
            </w:r>
          </w:p>
        </w:tc>
        <w:tc>
          <w:tcPr>
            <w:tcW w:w="180" w:type="dxa"/>
            <w:vAlign w:val="bottom"/>
          </w:tcPr>
          <w:p>
            <w:pPr>
              <w:spacing w:after="0"/>
              <w:rPr>
                <w:sz w:val="12"/>
                <w:szCs w:val="12"/>
                <w:color w:val="auto"/>
              </w:rPr>
            </w:pPr>
          </w:p>
        </w:tc>
        <w:tc>
          <w:tcPr>
            <w:tcW w:w="6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Unrealized</w:t>
            </w: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Depreciation</w:t>
            </w: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Take</w:t>
            </w:r>
          </w:p>
        </w:tc>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 Oil Change, L.L.C.</w:t>
            </w:r>
          </w:p>
        </w:tc>
        <w:tc>
          <w:tcPr>
            <w:tcW w:w="1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center"/>
              <w:ind w:left="174"/>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(5,755)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Legacy Cabinets, Inc.</w:t>
            </w:r>
          </w:p>
        </w:tc>
        <w:tc>
          <w:tcPr>
            <w:tcW w:w="1980" w:type="dxa"/>
            <w:vAlign w:val="bottom"/>
          </w:tcPr>
          <w:p>
            <w:pPr>
              <w:spacing w:after="0"/>
              <w:rPr>
                <w:sz w:val="20"/>
                <w:szCs w:val="20"/>
                <w:color w:val="auto"/>
              </w:rPr>
            </w:pPr>
            <w:r>
              <w:rPr>
                <w:rFonts w:ascii="Arial" w:cs="Arial" w:eastAsia="Arial" w:hAnsi="Arial"/>
                <w:sz w:val="18"/>
                <w:szCs w:val="18"/>
                <w:color w:val="auto"/>
                <w:w w:val="92"/>
              </w:rPr>
              <w:t>Common Stock Voting A-1</w:t>
            </w:r>
          </w:p>
        </w:tc>
        <w:tc>
          <w:tcPr>
            <w:tcW w:w="1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center"/>
              <w:ind w:left="14"/>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Legacy Cabinets, Inc.</w:t>
            </w: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2"/>
              </w:rPr>
              <w:t>Common Stock Voting B-1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14"/>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Elyria Foundry Company, L.L.C.</w:t>
            </w:r>
          </w:p>
        </w:tc>
        <w:tc>
          <w:tcPr>
            <w:tcW w:w="1980" w:type="dxa"/>
            <w:vAlign w:val="bottom"/>
          </w:tcPr>
          <w:p>
            <w:pPr>
              <w:spacing w:after="0"/>
              <w:rPr>
                <w:sz w:val="20"/>
                <w:szCs w:val="20"/>
                <w:color w:val="auto"/>
              </w:rPr>
            </w:pPr>
            <w:r>
              <w:rPr>
                <w:rFonts w:ascii="Arial" w:cs="Arial" w:eastAsia="Arial" w:hAnsi="Arial"/>
                <w:sz w:val="18"/>
                <w:szCs w:val="18"/>
                <w:color w:val="auto"/>
              </w:rPr>
              <w:t>Common Stock</w:t>
            </w:r>
          </w:p>
        </w:tc>
        <w:tc>
          <w:tcPr>
            <w:tcW w:w="800" w:type="dxa"/>
            <w:vAlign w:val="bottom"/>
            <w:gridSpan w:val="3"/>
          </w:tcPr>
          <w:p>
            <w:pPr>
              <w:ind w:left="260"/>
              <w:spacing w:after="0"/>
              <w:rPr>
                <w:sz w:val="20"/>
                <w:szCs w:val="20"/>
                <w:color w:val="auto"/>
              </w:rPr>
            </w:pPr>
            <w:r>
              <w:rPr>
                <w:rFonts w:ascii="Arial" w:cs="Arial" w:eastAsia="Arial" w:hAnsi="Arial"/>
                <w:sz w:val="18"/>
                <w:szCs w:val="18"/>
                <w:color w:val="auto"/>
              </w:rPr>
              <w:t>9,217</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4"/>
              </w:rPr>
              <w:t>(8,860)</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$5.8 million of change in unrealized depreciation in our investment in Take 5 Oil Change, L.L.C. was driven by the completion of a sales transaction with a strategic acquirer. In realizing this gain as a result of the sale, unrealized appreciation was adjusted to zero, which resulted in a $5.8 million change in unrealized depreciation for the period.</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$4.0 million of change in unrealized depreciation in our investments in Legacy Cabinets, Inc. were driven by the completion of a sales transaction. In realizing these gains as a result of the sale, unrealized appreciation was adjusted to zero, which resulted in a $4.0 million change in unrealized depreciation for the period.</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$1.7 million of change in unrealized depreciation in our investment in Elyria Foundry Company, L.L.C. was driven by a decline in oil and gas end markets since year-end, negatively impacting the company’s performance.</w:t>
      </w:r>
    </w:p>
    <w:p>
      <w:pPr>
        <w:spacing w:after="0" w:line="17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most significant cumulative changes in unrealized appreciation and depreciation for the nine months ended November 30, 2015, were the following (dollars in thousands):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ended November 30,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Total</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8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Asset Type</w:t>
            </w:r>
          </w:p>
        </w:tc>
        <w:tc>
          <w:tcPr>
            <w:tcW w:w="420" w:type="dxa"/>
            <w:vAlign w:val="bottom"/>
          </w:tcPr>
          <w:p>
            <w:pPr>
              <w:spacing w:after="0"/>
              <w:rPr>
                <w:sz w:val="12"/>
                <w:szCs w:val="12"/>
                <w:color w:val="auto"/>
              </w:rPr>
            </w:pPr>
          </w:p>
        </w:tc>
        <w:tc>
          <w:tcPr>
            <w:tcW w:w="11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100" w:type="dxa"/>
            <w:vAlign w:val="bottom"/>
            <w:gridSpan w:val="2"/>
            <w:vMerge w:val="continue"/>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14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5"/>
              </w:rPr>
              <w:t>(Depreciation)</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Elyria</w:t>
            </w:r>
          </w:p>
        </w:tc>
        <w:tc>
          <w:tcPr>
            <w:tcW w:w="32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Foundry Company, LLC</w:t>
            </w: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$ 9,218</w:t>
            </w: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$ 3,266</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Targus Group International, Inc.</w:t>
            </w:r>
          </w:p>
        </w:tc>
        <w:tc>
          <w:tcPr>
            <w:tcW w:w="1820" w:type="dxa"/>
            <w:vAlign w:val="bottom"/>
          </w:tcPr>
          <w:p>
            <w:pPr>
              <w:spacing w:after="0"/>
              <w:rPr>
                <w:sz w:val="20"/>
                <w:szCs w:val="20"/>
                <w:color w:val="auto"/>
              </w:rPr>
            </w:pPr>
            <w:r>
              <w:rPr>
                <w:rFonts w:ascii="Arial" w:cs="Arial" w:eastAsia="Arial" w:hAnsi="Arial"/>
                <w:sz w:val="18"/>
                <w:szCs w:val="18"/>
                <w:color w:val="auto"/>
              </w:rPr>
              <w:t>First Lien Term Loan</w:t>
            </w:r>
          </w:p>
        </w:tc>
        <w:tc>
          <w:tcPr>
            <w:tcW w:w="1540" w:type="dxa"/>
            <w:vAlign w:val="bottom"/>
            <w:gridSpan w:val="3"/>
          </w:tcPr>
          <w:p>
            <w:pPr>
              <w:jc w:val="right"/>
              <w:ind w:right="520"/>
              <w:spacing w:after="0"/>
              <w:rPr>
                <w:sz w:val="20"/>
                <w:szCs w:val="20"/>
                <w:color w:val="auto"/>
              </w:rPr>
            </w:pPr>
            <w:r>
              <w:rPr>
                <w:rFonts w:ascii="Arial" w:cs="Arial" w:eastAsia="Arial" w:hAnsi="Arial"/>
                <w:sz w:val="18"/>
                <w:szCs w:val="18"/>
                <w:color w:val="auto"/>
              </w:rPr>
              <w:t>3,589</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(1,357)</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Saratoga CLO</w:t>
            </w: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Other/Structured Finance</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13,668</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15,776</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2,108</w:t>
            </w: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$3.5 million unrealized depreciation in our investment in Elyria Foundry Company, LLC was primarily due to a decline in oil and gas end markets since year-end, negatively impacting the Company’s performance.</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$1.1 million unrealized depreciation in our investment in Targus Group International, Inc. was primarily due to a decline in earnings resulting from weakened demand in the company’s end markets.</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$1.0 million unrealized appreciation in our investment in the Saratoga CLO was primarily due to the quarterly distribution and a decline in the discount rate based on prevailing market conditions.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the three months ended November 30, 2016 and November 30, 2015, we recorded a net increase in net assets resulting from operations of $1.6 million and $3.4 million, respectively. Based on 5,727,933 weighted average common shares outstanding as of November 30, 2016, our per share net increase in net assets resulting from operations was $0.27 for the three months ended November 30, 2016. This compares to a per share net increase in net assets resulting from operations of $0.61 for the three months ended November 30, 2015 based on 5,632,011 weighted average common shares outstanding as of November 30, 2015.</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the nine months ended November 30, 2016 and November 30, 2015, we recorded a net increase in net assets resulting from operations of $10.1 million and $12.0 million, respectively. Based on 5,735,443 weighted average common shares outstanding as of November 30, 2016, our per share net increase in net assets resulting from operations was $1.77 for the nine months ended November 30, 2016. This compares to a per share net increase in net assets resulting from operations of $2.18 for the nine months ended November 30, 2015 based on 5,533,094 weighted average common shares outstanding as of November 30,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intend to continue to generate cash primarily from cash flows from operations, including interest earned from our investments in debt in middle market companies, interest earned from the temporary investment of cash in U.S. government securities and other high-quality debt investments that mature in one year or less, future borrowings and future offerings of securities.</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Although we expect to fund the growth of our investment portfolio through the net proceeds from SBA debenture drawdowns and future equity offerings, including our dividend reinvestment plan (“DRIP”), and issuances of senior securities or future borrowings, to the extent permitted by the 1940 Act, we cannot assure you that our plans to raise capital will be successful. In this regard, because our common stock has historically traded at a price below our current net asset value per share and we are limited in our ability to sell our common stock at a price below net asset value per share, we have been and may continue to be limited in our ability to raise equity capital.</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addition, we intend to distribute to our stockholders substantially all of our taxable income in order to satisfy the distribution requirement applicable to RICs under the Code. In satisfying this distribution requirement, we have in the past relied on IRS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 of the aggregate declared distribution. We may rely on these IRS private letter rulings in future periods to satisfy our RIC distribution requirement.</w:t>
      </w:r>
    </w:p>
    <w:p>
      <w:pPr>
        <w:spacing w:after="0" w:line="15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Also, as a BDC, we generally are required to meet a coverage ratio of total assets, less liabilities and indebtedness not represented by senior securities, to total senior securities, which include all of our borrowings and any outstanding preferred stock, of at least 200%. This requirement limits the amount that we may borrow. Our asset coverage ratio, as defined in the 1940 Act, was 306.6% as of November 30, 2016 and 302.5% as of February 29, 2016. To fund growth in our investment portfolio in the future, we anticipate needing to raise additional capital from various sources, including the equity markets and other debt-related markets, which may or may not be available on favorable terms, if at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Consequently, we may not have the funds or the ability to fund new investments, to make additional investments in our portfolio companies, to fund our unfunded commitments to portfolio companies or to repay borrowings. Also, the illiquidity of our portfolio investments may make it difficult for us to sell these investments when desired and, if we are required to sell these investments, we may realize significantly less than their recorded value.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Madison revolving credit facility</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Below is a summary of the terms of the senior secured revolving credit facility we entered into with Madison Capital Funding LLC (the “Credit Facility”) on June 30, 2010.</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Availability. </w:t>
      </w:r>
      <w:r>
        <w:rPr>
          <w:rFonts w:ascii="Arial" w:cs="Arial" w:eastAsia="Arial" w:hAnsi="Arial"/>
          <w:sz w:val="18"/>
          <w:szCs w:val="18"/>
          <w:color w:val="auto"/>
        </w:rPr>
        <w:t>The Company can draw up to the lesser of (i) $40.0 million (the “Facility Amount”) and (ii) the product of the applicable advance rate</w:t>
      </w:r>
      <w:r>
        <w:rPr>
          <w:rFonts w:ascii="Arial" w:cs="Arial" w:eastAsia="Arial" w:hAnsi="Arial"/>
          <w:sz w:val="18"/>
          <w:szCs w:val="18"/>
          <w:i w:val="1"/>
          <w:iCs w:val="1"/>
          <w:color w:val="auto"/>
        </w:rPr>
        <w:t xml:space="preserve"> </w:t>
      </w:r>
      <w:r>
        <w:rPr>
          <w:rFonts w:ascii="Arial" w:cs="Arial" w:eastAsia="Arial" w:hAnsi="Arial"/>
          <w:sz w:val="18"/>
          <w:szCs w:val="18"/>
          <w:color w:val="auto"/>
        </w:rPr>
        <w:t>(which varies from 50.0% to 75.0% depending on the type of loan asset) and the value, determined in accordance with the Credit Facility (the “Adjusted Borrowing Value”), of certain “eligible” loan assets pledged as security for the loan (the “Borrowing Base”), in each case less (a) the amount of any undrawn funding commitments the Company has under any loan asset and which are not covered by amounts in the Unfunded Exposure Account referred to below (the “Unfunded Exposure Amount”) and (b) outstanding borrowings. Each loan asset held by the Company as of the date on which the Credit Facility was closed was valued as of that date and each loan asset that the Company acquires after such date will be valued at the lowest of its fair value, its face value (excluding accrued interest) and the purchase price paid for such loan asset. Adjustments to the value of a loan asset will be made to reflect, among other things, changes in its fair value, a default by the obligor on the loan asset, insolvency of the obligor, acceleration of the loan asset, and certain modifications to the terms of the loan asset.</w:t>
      </w:r>
    </w:p>
    <w:p>
      <w:pPr>
        <w:spacing w:after="0" w:line="19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Credit Facility contains limitations on the type of loan assets that are “eligible” to be included in the Borrowing Base and as to the concentration level of certain categories of loan assets in the Borrowing Base such as restrictions on geographic and industry concentrations, asset size and quality, payment frequency, status and terms, average life, and collateral interests. In addition, if an asset is to remain an “eligible” loan asset, the Company may not make changes to the payment, amortization, collateral and certain other terms of the loan assets without the consent of the administrative agent that will either result in subordination of the loan asset or be materially adverse to the lenders.</w:t>
      </w:r>
    </w:p>
    <w:p>
      <w:pPr>
        <w:spacing w:after="0" w:line="18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i w:val="1"/>
          <w:iCs w:val="1"/>
          <w:color w:val="auto"/>
        </w:rPr>
        <w:t xml:space="preserve">Collateral. </w:t>
      </w:r>
      <w:r>
        <w:rPr>
          <w:rFonts w:ascii="Arial" w:cs="Arial" w:eastAsia="Arial" w:hAnsi="Arial"/>
          <w:sz w:val="16"/>
          <w:szCs w:val="16"/>
          <w:color w:val="auto"/>
        </w:rPr>
        <w:t>The Credit Facility is secured by substantially all of the assets of the Company (other than assets held by our SBIC subsidiary) and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the subordinated notes (“CLO Notes”) issued by Saratoga CLO and the Company’s rights under the CLO Management Agreement (as defined below).</w:t>
      </w:r>
    </w:p>
    <w:p>
      <w:pPr>
        <w:spacing w:after="0" w:line="124" w:lineRule="exact"/>
        <w:rPr>
          <w:sz w:val="20"/>
          <w:szCs w:val="20"/>
          <w:color w:val="auto"/>
        </w:rPr>
      </w:pPr>
    </w:p>
    <w:p>
      <w:pPr>
        <w:jc w:val="both"/>
        <w:ind w:right="240" w:firstLine="456"/>
        <w:spacing w:after="0" w:line="288" w:lineRule="auto"/>
        <w:rPr>
          <w:sz w:val="20"/>
          <w:szCs w:val="20"/>
          <w:color w:val="auto"/>
        </w:rPr>
      </w:pPr>
      <w:r>
        <w:rPr>
          <w:rFonts w:ascii="Arial" w:cs="Arial" w:eastAsia="Arial" w:hAnsi="Arial"/>
          <w:sz w:val="16"/>
          <w:szCs w:val="16"/>
          <w:i w:val="1"/>
          <w:iCs w:val="1"/>
          <w:color w:val="auto"/>
        </w:rPr>
        <w:t xml:space="preserve">Interest Rate and Fees. </w:t>
      </w:r>
      <w:r>
        <w:rPr>
          <w:rFonts w:ascii="Arial" w:cs="Arial" w:eastAsia="Arial" w:hAnsi="Arial"/>
          <w:sz w:val="16"/>
          <w:szCs w:val="16"/>
          <w:color w:val="auto"/>
        </w:rPr>
        <w:t>Under the Credit Facility, funds are borrowed from or through certain lenders at the greater of the prevailing LIBOR 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2.00%, plus an applicable margin of 5.50%. At the Company’s option, funds may be borrowed based on an alternative base rate, which in no event will be less than 3.00%, and the applicable margin over such alternative base rate is 4.50%. In addition, the Company pays the lenders a commitment fee of</w:t>
      </w:r>
    </w:p>
    <w:p>
      <w:pPr>
        <w:ind w:right="140"/>
        <w:spacing w:after="0" w:line="323" w:lineRule="auto"/>
        <w:rPr>
          <w:sz w:val="20"/>
          <w:szCs w:val="20"/>
          <w:color w:val="auto"/>
        </w:rPr>
      </w:pPr>
      <w:r>
        <w:rPr>
          <w:rFonts w:ascii="Arial" w:cs="Arial" w:eastAsia="Arial" w:hAnsi="Arial"/>
          <w:sz w:val="16"/>
          <w:szCs w:val="16"/>
          <w:color w:val="auto"/>
        </w:rPr>
        <w:t>0.75% per year on the unused amount of the Credit Facility for the duration of the Revolving Period (defined below). Accrued interest and commitment fees are payable monthly. The Company was also obligated to pay certain other fees to the lenders in connection with the closing of the Credit Facility.</w:t>
      </w:r>
    </w:p>
    <w:p>
      <w:pPr>
        <w:spacing w:after="0" w:line="13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Revolving Period and Maturity Date. </w:t>
      </w:r>
      <w:r>
        <w:rPr>
          <w:rFonts w:ascii="Arial" w:cs="Arial" w:eastAsia="Arial" w:hAnsi="Arial"/>
          <w:sz w:val="18"/>
          <w:szCs w:val="18"/>
          <w:color w:val="auto"/>
        </w:rPr>
        <w:t>The Company may make and repay borrowings under the Credit Facility for a period of three years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of the Credit Facility (the “Revolving Period”). The Revolving Period may be terminated at an earlier time by the Company or, upon the occurrence of an event of default, by action of the lenders or automatically. All borrowings and other amounts payable under the Credit Facility are due and payable in full five years after the end of the Revolving Period.</w:t>
      </w:r>
    </w:p>
    <w:p>
      <w:pPr>
        <w:spacing w:after="0" w:line="187"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i w:val="1"/>
          <w:iCs w:val="1"/>
          <w:color w:val="auto"/>
        </w:rPr>
        <w:t xml:space="preserve">Collateral Tests. </w:t>
      </w:r>
      <w:r>
        <w:rPr>
          <w:rFonts w:ascii="Arial" w:cs="Arial" w:eastAsia="Arial" w:hAnsi="Arial"/>
          <w:sz w:val="16"/>
          <w:szCs w:val="16"/>
          <w:color w:val="auto"/>
        </w:rPr>
        <w:t>It is a condition precedent to any borrowing under the Credit Facility that the principal amount outstanding under the Credit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after giving effect to the proposed borrowings, not exceed the lesser of the Borrowing Base or the Facility Amount (the “Borrowing Base Test”). In addition to satisfying the Borrowing Base Test, the following tests must also be satisfied (together with Borrowing Base Test, the “Collateral Tests”):</w:t>
      </w:r>
    </w:p>
    <w:p>
      <w:pPr>
        <w:spacing w:after="0" w:line="52" w:lineRule="exact"/>
        <w:rPr>
          <w:sz w:val="20"/>
          <w:szCs w:val="20"/>
          <w:color w:val="auto"/>
        </w:rPr>
      </w:pPr>
    </w:p>
    <w:p>
      <w:pPr>
        <w:ind w:left="900" w:right="200" w:hanging="446"/>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The ratio (expressed as a percentage) of interest collections with respect to pledged loan assets, less certain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the Credit Facility, to accrued interest and commitment fees and any breakage costs payable to the lenders under the Credit Facility for the last 6 payment periods must equal at least 175.0%.</w:t>
      </w:r>
    </w:p>
    <w:p>
      <w:pPr>
        <w:spacing w:after="0" w:line="86" w:lineRule="exact"/>
        <w:rPr>
          <w:rFonts w:ascii="Arial" w:cs="Arial" w:eastAsia="Arial" w:hAnsi="Arial"/>
          <w:sz w:val="18"/>
          <w:szCs w:val="18"/>
          <w:color w:val="auto"/>
        </w:rPr>
      </w:pPr>
    </w:p>
    <w:p>
      <w:pPr>
        <w:ind w:left="900" w:right="220" w:hanging="446"/>
        <w:spacing w:after="0" w:line="286"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Overcollateralization Ratio. </w:t>
      </w:r>
      <w:r>
        <w:rPr>
          <w:rFonts w:ascii="Arial" w:cs="Arial" w:eastAsia="Arial" w:hAnsi="Arial"/>
          <w:sz w:val="17"/>
          <w:szCs w:val="17"/>
          <w:color w:val="auto"/>
        </w:rPr>
        <w:t>The ratio (expressed as a percentage) of the aggregate Adjusted Borrowing Value of “eligible” pledged loan assets</w:t>
      </w:r>
      <w:r>
        <w:rPr>
          <w:rFonts w:ascii="Arial" w:cs="Arial" w:eastAsia="Arial" w:hAnsi="Arial"/>
          <w:sz w:val="17"/>
          <w:szCs w:val="17"/>
          <w:i w:val="1"/>
          <w:iCs w:val="1"/>
          <w:color w:val="auto"/>
        </w:rPr>
        <w:t xml:space="preserve"> </w:t>
      </w:r>
      <w:r>
        <w:rPr>
          <w:rFonts w:ascii="Arial" w:cs="Arial" w:eastAsia="Arial" w:hAnsi="Arial"/>
          <w:sz w:val="17"/>
          <w:szCs w:val="17"/>
          <w:color w:val="auto"/>
        </w:rPr>
        <w:t>plus the fair value of certain ineligible pledged loan assets and the CLO Notes (in each case, subject to certain adjustments) to outstanding borrowings under the Credit Facility plus the Unfunded Exposure Amount must equal at least 200.0%.</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446"/>
        <w:spacing w:after="0" w:line="286"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Weighted Average FMV Test. </w:t>
      </w:r>
      <w:r>
        <w:rPr>
          <w:rFonts w:ascii="Arial" w:cs="Arial" w:eastAsia="Arial" w:hAnsi="Arial"/>
          <w:sz w:val="17"/>
          <w:szCs w:val="17"/>
          <w:color w:val="auto"/>
        </w:rPr>
        <w:t>The aggregate adjusted or weighted value of “eligible” pledged loan assets as a percentage of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principal balance of “eligible” pledged loan assets must be equal to or greater than 72.0% and 80.0% during the one-year periods prior to the first and second anniversary of the closing date, respectively, and 85.0% at all times thereafter.</w:t>
      </w:r>
    </w:p>
    <w:p>
      <w:pPr>
        <w:spacing w:after="0" w:line="16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Credit Facility also requires payment of outstanding borrowings or replacement of pledged loan assets upon the Company’s breach of its representation and warranty that pledged loan assets included in the Borrowing Base are “eligible” loan assets. Such payments or replacements must equal the lower of the amount by which the Borrowing Base is overstated as a result of such breach or any deficiency under the Collateral Tests at the time of repayment or replacement. Compliance with the Collateral Tests is also a condition to the discretionary sale of pledged loan assets by the Company.</w:t>
      </w:r>
    </w:p>
    <w:p>
      <w:pPr>
        <w:spacing w:after="0" w:line="15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i w:val="1"/>
          <w:iCs w:val="1"/>
          <w:color w:val="auto"/>
        </w:rPr>
        <w:t xml:space="preserve">Priority of Payments. </w:t>
      </w:r>
      <w:r>
        <w:rPr>
          <w:rFonts w:ascii="Arial" w:cs="Arial" w:eastAsia="Arial" w:hAnsi="Arial"/>
          <w:sz w:val="17"/>
          <w:szCs w:val="17"/>
          <w:color w:val="auto"/>
        </w:rPr>
        <w:t>During the Revolving Period, the priority of payments provisions of the Credit Facility require, after payment of specified fees</w:t>
      </w:r>
      <w:r>
        <w:rPr>
          <w:rFonts w:ascii="Arial" w:cs="Arial" w:eastAsia="Arial" w:hAnsi="Arial"/>
          <w:sz w:val="17"/>
          <w:szCs w:val="17"/>
          <w:i w:val="1"/>
          <w:iCs w:val="1"/>
          <w:color w:val="auto"/>
        </w:rPr>
        <w:t xml:space="preserve"> </w:t>
      </w:r>
      <w:r>
        <w:rPr>
          <w:rFonts w:ascii="Arial" w:cs="Arial" w:eastAsia="Arial" w:hAnsi="Arial"/>
          <w:sz w:val="17"/>
          <w:szCs w:val="17"/>
          <w:color w:val="auto"/>
        </w:rPr>
        <w:t>and expenses and any necessary funding of the Unfunded Exposure Account, that collections of principal from the loan assets and, to the extent that these are insufficient, collections of interest from the loan assets, be applied on each payment date to payment of outstanding borrowings if the Borrowing Base Test, the Overcollateralization Ratio and the Interest Coverage Ratio would not otherwise be met. Similarly, following termination of the Revolving Period, collections of interest are required to be applied, after payment of certain fees and expenses, to cure any deficiencies in the Borrowing Base Test, the Interest Coverage Ratio and the Overcollateralization Ratio as of the relevant payment date.</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 xml:space="preserve">Reserve Account. </w:t>
      </w:r>
      <w:r>
        <w:rPr>
          <w:rFonts w:ascii="Arial" w:cs="Arial" w:eastAsia="Arial" w:hAnsi="Arial"/>
          <w:sz w:val="17"/>
          <w:szCs w:val="17"/>
          <w:color w:val="auto"/>
        </w:rPr>
        <w:t>The Credit Facility requires the Company to set aside an amount equal to the sum of accrued interest, commitment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fees due and payable on the next succeeding three payment dates (or corresponding to three payment periods). If for any monthly period during which fees and other payments accrue, the aggregate Adjusted Borrowing Value of “eligible” pledged loan assets which do not pay cash interest at least quarterly exceeds 15.0% of the aggregate Adjusted Borrowing Value of “eligible” pledged loan assets, the Company is required to set aside such interest and fees due and payable on the next succeeding six payment dates. Amounts in the reserve account can be applied solely to the payment of administrative agent fees, commitment fees, accrued and unpaid interest and any breakage costs payable to the lenders.</w:t>
      </w:r>
    </w:p>
    <w:p>
      <w:pPr>
        <w:spacing w:after="0" w:line="178"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i w:val="1"/>
          <w:iCs w:val="1"/>
          <w:color w:val="auto"/>
        </w:rPr>
        <w:t xml:space="preserve">Unfunded Exposure Account. </w:t>
      </w:r>
      <w:r>
        <w:rPr>
          <w:rFonts w:ascii="Arial" w:cs="Arial" w:eastAsia="Arial" w:hAnsi="Arial"/>
          <w:sz w:val="17"/>
          <w:szCs w:val="17"/>
          <w:color w:val="auto"/>
        </w:rPr>
        <w:t>With respect to revolver or delayed draw loan assets, the Company is required to set aside in a designated account (the</w:t>
      </w:r>
      <w:r>
        <w:rPr>
          <w:rFonts w:ascii="Arial" w:cs="Arial" w:eastAsia="Arial" w:hAnsi="Arial"/>
          <w:sz w:val="17"/>
          <w:szCs w:val="17"/>
          <w:i w:val="1"/>
          <w:iCs w:val="1"/>
          <w:color w:val="auto"/>
        </w:rPr>
        <w:t xml:space="preserve"> </w:t>
      </w:r>
      <w:r>
        <w:rPr>
          <w:rFonts w:ascii="Arial" w:cs="Arial" w:eastAsia="Arial" w:hAnsi="Arial"/>
          <w:sz w:val="17"/>
          <w:szCs w:val="17"/>
          <w:color w:val="auto"/>
        </w:rPr>
        <w:t>“Unfunded Exposure Account”) 100.0% of its outstanding and undrawn funding commitments with respect to such loan assets. The Unfunded Exposure Account is funded at the time the Company acquires a revolver or delayed draw loan asset and requests a related borrowing under the Credit Facility. The Unfunded Exposure Account is funded through a combination of proceeds of the requested borrowing and other Company funds, and if for any reason such amounts are insufficient, through application of the priority of payment provisions described above.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The priority of payments provision of the Credit Facility provides for the payment of certain operating expenses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 of collections on principal and interest during the Revolving Period and out of collections on interest following the termination of the Revolving Period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priority established in such provision. The operating expenses payable pursuant to the priority of payment provisions is limited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$350,000 for each monthly payment date or $2.5 million for the immediately preceding period of twelve consecutive monthly payment dates. This ceiling can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increased by the lesser of 5.0% or the percentage increase in the fair market value of all the Company’s assets only on the first monthly payment date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 after each one-year anniversary following the closing of the Credit Facility. Upon the occurrence of a Manager Event (described below), the consent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is required in order to pay operating expenses through the priority of payments provision.</w:t>
      </w:r>
    </w:p>
    <w:p>
      <w:pPr>
        <w:spacing w:after="0" w:line="211"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The Credit Facility contains certain negative covenants, customary representations and warranties and affirmative covenants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events of default. The Credit Facility does not contain grace periods for breach by the Company of certain covenants, including, without limitation, preservation of existence, negative pledge, change of name or jurisdiction and separate legal entity status of the Company covenants and certain other customary covenants. Other events of default under the Credit Facility include, among other things, the following:</w:t>
      </w:r>
    </w:p>
    <w:p>
      <w:pPr>
        <w:spacing w:after="0" w:line="7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Interest Coverage Ratio of less than 150.0%;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Overcollateralization Ratio of less than 175.0%;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filing of certain ERISA or tax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occurrence of certain “Manager Events” such as:</w:t>
      </w:r>
    </w:p>
    <w:p>
      <w:pPr>
        <w:spacing w:after="0" w:line="130" w:lineRule="exact"/>
        <w:rPr>
          <w:rFonts w:ascii="Arial" w:cs="Arial" w:eastAsia="Arial" w:hAnsi="Arial"/>
          <w:sz w:val="18"/>
          <w:szCs w:val="18"/>
          <w:color w:val="auto"/>
        </w:rPr>
      </w:pPr>
    </w:p>
    <w:p>
      <w:pPr>
        <w:ind w:left="1480" w:right="220" w:hanging="446"/>
        <w:spacing w:after="0" w:line="308" w:lineRule="auto"/>
        <w:tabs>
          <w:tab w:leader="none" w:pos="14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failure by Saratoga Investment Advisors and its affiliates to maintain collectively, directly or indirectly, a cash equity investment in the Company in an amount equal to at least $5,000,000 at any time prior to the third anniversary of the closing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of the Management Agreement between Saratoga Investment Advisors and the Company to be in full force and effect;</w:t>
      </w:r>
    </w:p>
    <w:p>
      <w:pPr>
        <w:spacing w:after="0" w:line="142" w:lineRule="exact"/>
        <w:rPr>
          <w:rFonts w:ascii="Arial" w:cs="Arial" w:eastAsia="Arial" w:hAnsi="Arial"/>
          <w:sz w:val="17"/>
          <w:szCs w:val="17"/>
          <w:color w:val="auto"/>
        </w:rPr>
      </w:pPr>
    </w:p>
    <w:p>
      <w:pPr>
        <w:ind w:left="1480" w:right="160" w:hanging="446"/>
        <w:spacing w:after="0" w:line="312" w:lineRule="auto"/>
        <w:tabs>
          <w:tab w:leader="none" w:pos="1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indictment or conviction of Saratoga Investment Advisors or any “key person” for a felony offense, or any fraud, embezzlement or misappropriation of funds by Saratoga Investment Advisors or any “key person” and, in the case of “key persons,” without a reputable, experienced individual reasonably satisfactory to Madison Capital Funding appointed to replace such key person within 30 days;</w:t>
      </w:r>
    </w:p>
    <w:p>
      <w:pPr>
        <w:spacing w:after="0" w:line="52" w:lineRule="exact"/>
        <w:rPr>
          <w:rFonts w:ascii="Arial" w:cs="Arial" w:eastAsia="Arial" w:hAnsi="Arial"/>
          <w:sz w:val="16"/>
          <w:szCs w:val="16"/>
          <w:color w:val="auto"/>
        </w:rPr>
      </w:pPr>
    </w:p>
    <w:p>
      <w:pPr>
        <w:ind w:left="1480" w:right="40" w:hanging="446"/>
        <w:spacing w:after="0" w:line="264"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resignation, termination, disability or death of a “key person” or failure of any “key person” to provide active participation in Saratoga Investment Advisors’ daily activities, all without a reputable, experienced individual reasonably satisfactory to Madison Capital Funding appointed within 30 days; or</w:t>
      </w:r>
    </w:p>
    <w:p>
      <w:pPr>
        <w:spacing w:after="0" w:line="86" w:lineRule="exact"/>
        <w:rPr>
          <w:rFonts w:ascii="Arial" w:cs="Arial" w:eastAsia="Arial" w:hAnsi="Arial"/>
          <w:sz w:val="18"/>
          <w:szCs w:val="18"/>
          <w:color w:val="auto"/>
        </w:rPr>
      </w:pPr>
    </w:p>
    <w:p>
      <w:pPr>
        <w:ind w:left="1480" w:hanging="446"/>
        <w:spacing w:after="0" w:line="259"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occurrence of any event constituting “cause” under the Collateral Management Agreement between the Company and Saratoga CLO (the “CLO Management Agreement”), delivery of a notice under Section 12(c) of the CLO Management Agreement with respect to the removal of the Company as collateral manager or the Company ceases to act as collateral manager under the CLO Management Agreement.</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Conditions to Acquisitions and Pledges of Loan Assets. </w:t>
      </w:r>
      <w:r>
        <w:rPr>
          <w:rFonts w:ascii="Arial" w:cs="Arial" w:eastAsia="Arial" w:hAnsi="Arial"/>
          <w:sz w:val="18"/>
          <w:szCs w:val="18"/>
          <w:color w:val="auto"/>
        </w:rPr>
        <w:t>The Credit Facility imposes certain additional conditions to the acquisition and pledge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loan assets. Among other things, the Company may not acquire additional loan assets without the prior written consent of the administrative agent until such time that the administrative agent indicates in writing its satisfaction with Saratoga Investment Advisors’ policies, personnel and processes relating to the loan assets.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Company paid certain fees and reimbursed Madison Capital Funding LLC for the aggregate amount of all documented, out-of-pocket costs and expenses, including the reasonable fees and expenses of lawyers, incurred by Madison Capital Funding LLC in connection with the Credit Facility and the carrying out of any and all acts contemplated thereunder up to and as of the date of closing of the stock purchase transaction with Saratoga Investment Advisors and certain of its affiliates. These amounts totaled $2.0 million.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February 24, 2012, we amended our senior secured revolving credit facility with Madison Capital Funding LLC to, among other things:</w:t>
      </w:r>
    </w:p>
    <w:p>
      <w:pPr>
        <w:spacing w:after="0" w:line="142"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ind w:left="900" w:right="30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extend the period during which we may make and repay borrowings under the Credit Facility from July 30, 2013 to February 24, 2015 (the “Revolving Period”). The Revolving Period may, upon the occurrence of an event of default, by action of the lenders or automatically, be terminated. All borrowings and other amounts payable under the Credit Facility are due and payable five years after the end of the Revolving Period; and</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remove the condition that we may not acquire additional loan assets without the prior written consent of the administrative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17, 2014, we entered into a second amendment to the Revolving Facility with Madison Capital Funding LLC to, among other things:</w:t>
      </w:r>
    </w:p>
    <w:p>
      <w:pPr>
        <w:spacing w:after="0" w:line="154"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extend the maturity date of the Revolving Facility from February 24, 2020 to September 17, 2022 (unless terminated sooner upon certain events);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reduce the applicable margin rate on base rate borrowings from 4.50% to 3.75%, and on LIBOR borrowings from 5.50% to 4.75%;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As of November 30, 2016, we had no outstanding borrowings under the Credit Facility and $112.7 million SBA-guaranteed debentures outstanding (which are discussed below). As of February 29, 2016, we had no outstanding borrowings under the Credit Facility and $103.7 million SBA-guaranteed debentures outstanding. Our borrowing base under the Credit Facility at November 30, 2016 and February 29, 2016 was $24.1 million and $21.8 million,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 coverage ratio, as defined in the 1940 Act, was 306.6% as of November 30, 2016 and 302.5% as of February 29, 2016.</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SBA-guaranteed debentures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addition, we, through a wholly-owned subsidiary, sought and obtained a license from the SBA to operate an SBIC. In this regard, on March 28, 2012, our wholly-owned subsidiary, Saratoga Investment Corp. SBIC, LP, received a license from the SBA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operate as an SBIC under Section 301(c) of the Small Business Investment Act of 1958. SBICs are designated to stimulate the flow of private equity capital to eligible small businesses. Under SBA regulations, SBICs may make loans to eligible small businesses and invest in the equity securities of small businesses.</w:t>
      </w:r>
    </w:p>
    <w:p>
      <w:pPr>
        <w:spacing w:after="0" w:line="18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SBIC license allows our SBIC subsidiary to obtain leverage by issuing SBA-guaranteed debentures.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on a semi-annual basis at a market-driven spread over U.S. Treasury Notes with 10-year maturities.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SBA regulations currently limit the amount that our SBIC subsidiary may borrow to a maximum of $150.0 million when it has at least $75.0 million in regulatory capital, receives a capital commitment from the SBA and has been through an examination by the SBA subsequent to licensing. As of November 30, 2016, our SBIC subsidiary had $75.0 million in regulatory capital and $112.7 million SBA-guaranteed debentures outstanding.</w:t>
      </w:r>
    </w:p>
    <w:p>
      <w:pPr>
        <w:spacing w:after="0" w:line="166"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received exemptive relief from the SEC to permit us to exclude the debt of our SBIC subsidiary guaranteed by the SBA from the definition of senior securities in the 200% asset coverage test under the 1940 Act. This allows us increased flexibility under the 200% asset coverage test by permitting us to borrow up to $150.0 million more than we would otherwise be able to absent the receipt of this exemptive relief.</w:t>
      </w:r>
    </w:p>
    <w:p>
      <w:pPr>
        <w:spacing w:after="0" w:line="166"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April 2, 2015, the SBA issued a “green light” letter inviting the Company to continue the application process to obtain a license to form and operate its second SBIC subsidiary. On September 27, 2016, the SBA informed us that as part of their continued review of our application for a second license, and in order to ensure that they were reviewing the most current information available, we would need to update all previously submitted materials and invited us to reapply. As a result of this request, with which we are in the process of complying, the existing “green light” letter that the SBA issued to us will expire. If approved in the future, a second SBIC license would provide us an incremental source of long-term capital by permitting us to issue up to $150.0 million of additional SBA-guaranteed debentures in addition to the $150.0 million already approved under the first license.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Unsecured notes</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May 2013, we issued $48.3 million in aggregate principal amount of our 2020 Notes for net proceeds of $46.1 million after deducting underwriting commissions of $1.9 million and offering costs of $0.3 million. The proceeds included the underwriters’ full exercise of their overallotment option. Interest on these 2020 Notes is paid quarterly in arrears on February 15, May 15, August 15 and November 15, at a rate of 7.50% per year, beginning August 15, 2013. The 2020 Notes mature on May 31, 2020 and since May 31, 2016, may be redeemed in whole or in part at any time or from time to time at our option. In connection with the issuance of the 2020 Notes, we agreed to the following covenants for the period of time during which the 2020 Notes are outstanding:</w:t>
      </w:r>
    </w:p>
    <w:p>
      <w:pPr>
        <w:spacing w:after="0" w:line="64" w:lineRule="exact"/>
        <w:rPr>
          <w:sz w:val="20"/>
          <w:szCs w:val="20"/>
          <w:color w:val="auto"/>
        </w:rPr>
      </w:pPr>
    </w:p>
    <w:p>
      <w:pPr>
        <w:ind w:left="900" w:right="34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not violate (whether or not we are subject to) Section 18(a)(1)(A) as modified by Section 61(a)(1) of the 1940 Act or any successor provisions, but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92" w:lineRule="exact"/>
        <w:rPr>
          <w:rFonts w:ascii="Arial" w:cs="Arial" w:eastAsia="Arial" w:hAnsi="Arial"/>
          <w:sz w:val="18"/>
          <w:szCs w:val="18"/>
          <w:color w:val="auto"/>
        </w:rPr>
      </w:pPr>
    </w:p>
    <w:p>
      <w:pPr>
        <w:ind w:left="900" w:hanging="446"/>
        <w:spacing w:after="0" w:line="25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not violate (regardless of whether we are subject to) Section 18(a)(1)(B) as modified by Section 61(a)(1) of the 1940 Act or any successor provisions, but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 investment company under the Code. Currently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2020 Notes are listed on the NYSE under the trading symbol “SAQ” with a par value of $25.00 per share.</w:t>
      </w:r>
    </w:p>
    <w:p>
      <w:pPr>
        <w:spacing w:after="0" w:line="225"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On May 29, 2015, we entered into a Debt Distribution Agreement with Ladenburg Thalmann &amp; Co. through which we may offer for sale, from time to time, up to $20.0 million in aggregate principal amount of the 2020 Notes through an ATM offering. As of November 30, 2016, we sold 539,725 bonds with a principal of $13,493,125 at an average price of $25.31 for aggregate net proceeds of $13,385,766 (net of transaction costs).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On December 21, 2016, we issued $74.5 million in aggregate principal amount of our 2023 Notes for net proceeds of $72.1 million after deducting underwriting commissions of approximately $2.0 million and offering costs of approximately $0.5 million. The issuance included the exercise of substantially all of the underwriters’ option to purchase an additional $9.8 million aggregate principal amount of 2023 Notes within 30 days. Interest on the 2023 Notes is paid quarterly in arrears on March 15, June 15, September 15 and December 15, at a rate of 6.75% per year, beginning March 30, 2017. The 2023 Notes mature on December 20, 2023, and commencing December 21, 2019, may be redeemed in whole or in part at any time or from time to time at our option. The net proceeds from the offering will be used to repay all of the outstanding indebtedness under the 2020 Notes, which amounts to $61.8 million, and for general corporate purposes in accordance with our investment objective and strategies.</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At November 30, 2016 and February 29, 2016, the fair value of investments, cash and cash equivalents and cash and cash equivalents, reserve accounts was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At November 30, 2016</w:t>
            </w:r>
          </w:p>
        </w:tc>
        <w:tc>
          <w:tcPr>
            <w:tcW w:w="10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of</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Total</w:t>
            </w:r>
          </w:p>
        </w:tc>
        <w:tc>
          <w:tcPr>
            <w:tcW w:w="1200" w:type="dxa"/>
            <w:vAlign w:val="bottom"/>
            <w:gridSpan w:val="3"/>
            <w:vMerge w:val="continue"/>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5"/>
          </w:tcPr>
          <w:p>
            <w:pPr>
              <w:jc w:val="right"/>
              <w:ind w:right="104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5,770</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2,440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Cash and cash equivalents, reserve accounts</w:t>
            </w:r>
          </w:p>
        </w:tc>
        <w:tc>
          <w:tcPr>
            <w:tcW w:w="10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17,521</w:t>
            </w: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4,595</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9,627</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11,868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First lien term loans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160,460</w:t>
            </w:r>
          </w:p>
        </w:tc>
        <w:tc>
          <w:tcPr>
            <w:tcW w:w="52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144,643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80,195</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88,178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10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15,266</w:t>
            </w: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12,828</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12,022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26,479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300,861</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291,031</w:t>
            </w:r>
          </w:p>
        </w:tc>
        <w:tc>
          <w:tcPr>
            <w:tcW w:w="5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On September 24, 2014, we announced the approval of an open market share repurchase plan that allows it to repurchase up to 200,000 shares of our common stock at prices below our NAV as reported in its then most recently published consolidated financial statements, which was subsequently increased to 400,000 shares of our common stock. On October 5, 2016, our board of directors extended the open market share repurchase plan for another year to October 15, 2017 and increased the number of shares we are permitted to repurchase at prices below our NAV, as reported in its then most recently published consolidated financial statements, to 600,000 shares of our common stock. As of November 30, 2016, we purchased 214,391 shares of common stock, at the average price of $16.84 for approximately $3.6 million pursuant to this repurchase plan.</w:t>
      </w:r>
    </w:p>
    <w:p>
      <w:pPr>
        <w:spacing w:after="0" w:line="17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On October 5, 2016, our board of directors declared a dividend of $0.44 per share, which was paid on November 9, 2016, to common stockholders of record as of October 31, 2016. Shareholders had the option to receive payment of the dividend in cash, or receive shares of common stock, pursuant our DRIP. Based on shareholder elections, the dividend consisted of approximately $1.5 million in cash and 58,548 newly issued shares of common stock, or</w:t>
      </w:r>
    </w:p>
    <w:p>
      <w:pPr>
        <w:ind w:right="220"/>
        <w:spacing w:after="0" w:line="255" w:lineRule="auto"/>
        <w:rPr>
          <w:sz w:val="20"/>
          <w:szCs w:val="20"/>
          <w:color w:val="auto"/>
        </w:rPr>
      </w:pPr>
      <w:r>
        <w:rPr>
          <w:rFonts w:ascii="Arial" w:cs="Arial" w:eastAsia="Arial" w:hAnsi="Arial"/>
          <w:sz w:val="18"/>
          <w:szCs w:val="18"/>
          <w:color w:val="auto"/>
        </w:rPr>
        <w:t>1.0% of our outstanding common stock prior to the dividend payment. The number of shares of common stock comprising the stock portion was calculated based on a price of $17.12 per share, which equaled the volume weighted average trading price per share of the common stock on October 27, 28, 31 and November 1, 2, 3, 4, 7, 8 and 9, 2016.</w:t>
      </w:r>
    </w:p>
    <w:p>
      <w:pPr>
        <w:spacing w:after="0" w:line="1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August 8, 2016, our board of directors declared a special dividend of $0.20 per share, which was paid on September 5, 2016, to common stockholders of record as of August 24, 2016. Shareholders had the option to receive payment of the dividend in cash, or receive shares of common stock, pursuant our DRIP. Based on shareholder elections, the dividend consisted of approximately $0.7 million in cash and 24,786 newly issued shares of common stock, or 0.4% of our outstanding common stock prior to the dividend payment. The number of shares of common stock comprising the stock portion was calculated based on a price of $17.06 per share, which equaled the volume weighted average trading price per share of the common stock on August 22, 23, 24, 25, 26, 29, 30, 31 and September 1 and 2, 2016.</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July 7, 2016, our board of directors declared a dividend of $0.43 per share, which was paid on August 9, 2016, to common stockholders of record as of July 29, 2016. Shareholders had the option to receive payment of the dividend in cash, or receive shares of common stock, pursuant our DRIP. Based on shareholder elections, the dividend consisted of approximately $1.5 million in cash and 58,167 newly issued shares of common stock, or 1.0% of our outstanding common stock prior to the dividend payment. The number of shares of common stock comprising the stock portion was calculated based on a price of $16.32 per share, which equaled the volume weighted average trading price per share of the common stock on July 27, 28, 29 and August 1, 2, 3, 4, 5, 8 and 9, 2016.</w:t>
      </w:r>
    </w:p>
    <w:p>
      <w:pPr>
        <w:spacing w:after="0" w:line="19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On March 31, 2016, our board of directors declared a dividend of $0.41 per share, which was paid on April 27, 2016, to common stockholders of record as of April 15, 2016. Shareholders had the option to receive payment of the dividend in cash,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receive shares of common stock, pursuant our DRIP. Based on shareholder elections, the dividend consisted of approximately $1.5 million in cash and 56,728 newly issued shares of common stock, or 1.0% of our outstanding common stock prior to the dividend payment. The number of shares of common stock comprising the stock portion was calculated based on a price of $15.43 per share, which equaled the volume weighted average trading price per share of the common stock on April 14, 15, 18, 19, 20, 21, 22, 25, 26 and 27, 2016.</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January 12, 2016, our board of directors declared a dividend of $0.40 per share, which was paid on February 29, 2016, to common stockholders of record as of February 1, 2016. Shareholders had the option to receive payment of the dividend in cash, or receive shares of common stock, pursuant our DRIP. Based on shareholder elections, the dividend consisted of approximately $1.4 million in cash and 66,765 newly issued shares of common stock, or 1.2% of our outstanding common stock prior to the dividend payment. The number of shares of common stock comprising the stock portion was calculated based on a price of $13.11 per share, which equaled the volume weighted average trading price per share of the common stock on February 16, 17, 18, 19, 22, 23, 24, 25, 26 and 29, 2016.</w:t>
      </w:r>
    </w:p>
    <w:p>
      <w:pPr>
        <w:spacing w:after="0" w:line="1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On October 7, 2015, our board of directors declared a dividend of $0.36 per share, which was paid on November 30, 2015, to common stockholders of record as of November 2, 2015. Shareholders had the option to receive payment of the dividend in cash, or receive shares of common stock, pursuant our DRIP. Based on shareholder elections, the dividend consisted of approximately $1.1 million in cash and 61,029 newly issued shares of common stock, or</w:t>
      </w:r>
    </w:p>
    <w:p>
      <w:pPr>
        <w:jc w:val="both"/>
        <w:ind w:right="180"/>
        <w:spacing w:after="0" w:line="255" w:lineRule="auto"/>
        <w:rPr>
          <w:sz w:val="20"/>
          <w:szCs w:val="20"/>
          <w:color w:val="auto"/>
        </w:rPr>
      </w:pPr>
      <w:r>
        <w:rPr>
          <w:rFonts w:ascii="Arial" w:cs="Arial" w:eastAsia="Arial" w:hAnsi="Arial"/>
          <w:sz w:val="18"/>
          <w:szCs w:val="18"/>
          <w:color w:val="auto"/>
        </w:rPr>
        <w:t>1.1% of our outstanding common stock prior to the dividend payment. The number of shares of common stock comprising the stock portion was calculated based on a price of $14.53 per share, which equaled the volume weighted average trading price per share of the common stock on November 16, 17, 18, 19, 20, 23, 24, 25, 27 and 30, 2015.</w:t>
      </w:r>
    </w:p>
    <w:p>
      <w:pPr>
        <w:spacing w:after="0" w:line="1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July 8, 2015, our board of directors declared a dividend of $0.33 per share, which was paid on August 31, 2015, to common stockholders of record as of August 3, 2015. Shareholders had the option to receive payment of the dividend in cash, or receive shares of common stock, pursuant our DRIP. Based on shareholder elections, the dividend consisted of approximately $1.1 million in cash and 47,861 newly issued shares of common stock, or 0.9% of our outstanding common stock prior to the dividend payment. The number of shares of common stock comprising the stock portion was calculated based on a price of $15.28 per share, which equaled the volume weighted average trading price per share of the common stock on August 18, 19, 20, 21, 24, 25, 26, 27, 28 and 31, 2015.</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May 14, 2015, our board of directors declared a special dividend of $1.00 per share, which was paid on June 5, 2015, to common stockholders of record as of May 26, 2015. Shareholders had the option to receive payment of the dividend in cash, or receive shares of common stock, pursuant our DRIP. Based on shareholder elections, the dividend consisted of approximately $3.4 million in cash and 126,230 newly issued shares of common stock, or 2.3% of our outstanding common stock prior to the dividend payment. The number of shares of common stock comprising the stock portion was calculated based on a price of $16.47 per share, which equaled the volume weighted average trading price per share of the common stock on May 22, 26, 27, 28, 29 and June 1, 2, 3, 4 and 5, 2015.</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April 9, 2015, our board of directors declared a dividend of $0.27 per share, which was paid on May 29, 2015, to common stockholders of record as of May 4, 2015. Shareholders had the option to receive payment of the dividend in cash, or receive shares of common stock, pursuant our DRIP. Based on shareholder elections, the dividend consisted of approximately $0.9 million in cash and 33,766 newly issued shares of common stock, or 0.6% of our outstanding common stock prior to the dividend payment. The number of shares of common stock comprising the stock portion was calculated based on a price of $16.78 per share, which equaled the volume weighted average trading price per share of the common stock on May 15, 18, 19, 20, 21, 22, 26, 27, 28 and 29, 2015.</w:t>
      </w:r>
    </w:p>
    <w:p>
      <w:pPr>
        <w:spacing w:after="0" w:line="193"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On September 24, 2014, our board of directors declared a dividend of $0.22 per share, which was paid on February 27, 2015. Shareholders have the option to receive payment of the dividend in cash, or receive shares of common stock, pursuant our DRIP. Based on shareholder elections, the dividend consisted of approximately $0.8 million in cash and 26,858 newly issued shares of common stock, or 0.5% of our outstanding common stock prior to the dividend payment. The number of shares of common stock comprising the stock portion was calculated based on a price of $14.97 per share, which equaled the volume weighted average trading price per share of the common stock on February 13, 17, 18, 19, 20, 23, 24, 25, 26 and 27, 2015.</w:t>
      </w:r>
    </w:p>
    <w:p>
      <w:pPr>
        <w:spacing w:after="0" w:line="15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Also on September 24, 2014, our board of directors declared a dividend of $0.18 per share, which was paid on November 28, 2014. Shareholders had the option to receive payment of the dividend in cash, or receive shares of common stock pursuant to our DRIP. 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October 30, 2013, our board of directors declared a dividend of $2.65 per share, which was paid on December 27, 2013, to common stockholders of record as of November 13, 2013. Shareholders had the option to receive payment of the dividend in cash,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shares of common stock, or a combination of cash and shares of common stock, provided that the aggregate cash payable to all shareholders was limited to approximately $2.5 million or $0.53 per share. This dividend was declared in reliance on certain private letter rulings issued by the IRS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approximately $2.5 million in cash and 649,500 shares of common stock, or 13.7%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$15.439 per share, which equaled the volume weighted average trading price per share of the common stock on December 11, 13 and 16, 2013.</w:t>
      </w:r>
    </w:p>
    <w:p>
      <w:pPr>
        <w:spacing w:after="0" w:line="18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On November 9, 2012, our board of directors declared a dividend of $4.25 per share, which was paid on December 31, 2012, to common stockholders of record as of November 20,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November 15, 2011, our board of directors declared a dividend of $3.00 per share, which was paid on December 30, 2011, to common stockholders of record as of November 25, 2011. Shareholders had the option to receive payment of the dividend in cash, shares of common stock, or a combination of cash and shares of common stock, provided that the aggregate cash payable to all shareholders was limited to $2.0 million or $0.60 per share.</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$13.117067 per share, which equaled the volume weighted average trading price per share of the common stock on December 20, 21 and 22, 2011.</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12, 2010, our board of directors declared a dividend of $4.40 per share to shareholders payable in cash or shares of our common stock, in accordance with the provisions of the IRS Revenue Procedure 2010-12, which allows a publicly-traded regulated investment company to satisfy its distribution requirements with a distribution paid partly in common stock provided that at least 10.0% of the distribution is payable in cash. The dividend was paid on December 29, 2010 to common shareholders of record on November 19, 2010.</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On November 13, 2009, our board of directors declared a dividend of $18.25 per share, which was paid on December 31, 2009, to common stockholders of record as of November 25, 2009. Shareholders had the option to receive payment of the dividend in cash, shares of common stock, or a combination of cash and shares of common stock, provided that the aggregate cash payable to all shareholders was limited to $2.1 million or $0.25 per share.</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$2.1 million in cash and 864,872.5 shares of common stock, or 104.0% of our outstanding common stock prior to the dividend payment. The amount of cash elected to be received was greater than the cash limit of 13.7% of the aggregate dividend amount, thus resulting in the payment of a combination of cash and stock to shareholders who elected to receive cash. The number of shares of common stock comprising the stock portion was calculated based on a price of $1.5099 per share, which equaled the volume weighted average trading price per share of the common stock on December 24 and 28, 2009.</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provide any assurance that these measures will provide sufficient sources of liquidity to support our operations and growth.</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November 30, 2016: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1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3"/>
              </w:rPr>
              <w:t>Less Than</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1 - 3</w:t>
            </w:r>
          </w:p>
        </w:tc>
        <w:tc>
          <w:tcPr>
            <w:tcW w:w="360" w:type="dxa"/>
            <w:vAlign w:val="bottom"/>
          </w:tcPr>
          <w:p>
            <w:pPr>
              <w:spacing w:after="0"/>
              <w:rPr>
                <w:sz w:val="10"/>
                <w:szCs w:val="10"/>
                <w:color w:val="auto"/>
              </w:rPr>
            </w:pPr>
          </w:p>
        </w:tc>
        <w:tc>
          <w:tcPr>
            <w:tcW w:w="680" w:type="dxa"/>
            <w:vAlign w:val="bottom"/>
            <w:gridSpan w:val="2"/>
          </w:tcPr>
          <w:p>
            <w:pPr>
              <w:jc w:val="right"/>
              <w:ind w:right="108"/>
              <w:spacing w:after="0" w:line="119" w:lineRule="exact"/>
              <w:rPr>
                <w:sz w:val="20"/>
                <w:szCs w:val="20"/>
                <w:color w:val="auto"/>
              </w:rPr>
            </w:pPr>
            <w:r>
              <w:rPr>
                <w:rFonts w:ascii="Arial" w:cs="Arial" w:eastAsia="Arial" w:hAnsi="Arial"/>
                <w:sz w:val="13"/>
                <w:szCs w:val="13"/>
                <w:b w:val="1"/>
                <w:bCs w:val="1"/>
                <w:color w:val="auto"/>
              </w:rPr>
              <w:t>3 - 5</w:t>
            </w:r>
          </w:p>
        </w:tc>
        <w:tc>
          <w:tcPr>
            <w:tcW w:w="4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92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174,453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61,793</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$ 112,660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Company’s off-balance sheet arrangements consisted of $3.0 million and $2.0 million of unfunded commitments to provide debt financing to its portfolio companies or to fund limited partnership interests as of November 30, 2016 and February 29, 2016,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statements of assets and liabilities and are not reflected in the Company’s consolidated statements of assets and liabilities.</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summary of the composition of the unfunded commitments as of November 30, 2016 and February 29, 2016 is shown in the table below (dollars in thousands):</w:t>
      </w:r>
    </w:p>
    <w:p>
      <w:pPr>
        <w:spacing w:after="0" w:line="189"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556"/>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1"/>
              </w:rPr>
              <w:t>November 30, 2016</w:t>
            </w:r>
          </w:p>
        </w:tc>
        <w:tc>
          <w:tcPr>
            <w:tcW w:w="700" w:type="dxa"/>
            <w:vAlign w:val="bottom"/>
          </w:tcPr>
          <w:p>
            <w:pPr>
              <w:spacing w:after="0"/>
              <w:rPr>
                <w:sz w:val="12"/>
                <w:szCs w:val="12"/>
                <w:color w:val="auto"/>
              </w:rPr>
            </w:pPr>
          </w:p>
        </w:tc>
        <w:tc>
          <w:tcPr>
            <w:tcW w:w="11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February 29, 2016</w:t>
            </w:r>
          </w:p>
        </w:tc>
        <w:tc>
          <w:tcPr>
            <w:tcW w:w="100" w:type="dxa"/>
            <w:vAlign w:val="bottom"/>
          </w:tcPr>
          <w:p>
            <w:pPr>
              <w:spacing w:after="0"/>
              <w:rPr>
                <w:sz w:val="12"/>
                <w:szCs w:val="12"/>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Avionte Holdings, LLC</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GreyHeller LLC</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Identity Automation Systems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 risks have not changed materially from the risks reported in our Form 10-K for the year ended February 29,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left="460" w:hanging="452"/>
        <w:spacing w:after="0" w:line="255"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(as defined in Rule 13a-15(e) and 15d-15(e) of the Securities Exchange Act of 1934). Based on that evaluation, our chief executive officer and our chief financial officer have concluded that our current disclosure controls and procedures are effective in facilitating timely decisions regarding required disclosure of any material information relating to us that is required to be disclosed by us in the reports we file or submit under the Securities Exchange Act of 1934.</w:t>
      </w:r>
    </w:p>
    <w:p>
      <w:pPr>
        <w:spacing w:after="0" w:line="98" w:lineRule="exact"/>
        <w:rPr>
          <w:rFonts w:ascii="Arial" w:cs="Arial" w:eastAsia="Arial" w:hAnsi="Arial"/>
          <w:sz w:val="18"/>
          <w:szCs w:val="18"/>
          <w:color w:val="auto"/>
        </w:rPr>
      </w:pPr>
    </w:p>
    <w:p>
      <w:pPr>
        <w:ind w:left="460" w:right="52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have been no changes in our internal control over financial reporting that occurred during the quarter ended November 30, 2016 that have materially affected, or are reasonably likely to materially affect, our internal control over financial reporting.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31, 2012, a complaint was filed in the United States Bankruptcy Court for the Southern District of New York by GSC Acquisition Holdings, LLC against us to recover, among other things, approximately $2.6 million for the benefit of the estates and the general unsecured creditors of GSC</w:t>
      </w:r>
    </w:p>
    <w:p>
      <w:pPr>
        <w:ind w:right="20"/>
        <w:spacing w:after="0" w:line="252" w:lineRule="auto"/>
        <w:rPr>
          <w:sz w:val="20"/>
          <w:szCs w:val="20"/>
          <w:color w:val="auto"/>
        </w:rPr>
      </w:pPr>
      <w:r>
        <w:rPr>
          <w:rFonts w:ascii="Arial" w:cs="Arial" w:eastAsia="Arial" w:hAnsi="Arial"/>
          <w:sz w:val="18"/>
          <w:szCs w:val="18"/>
          <w:color w:val="auto"/>
        </w:rPr>
        <w:t>Group, Inc. and its affiliates, including the Company’s former investment adviser, GSCP (NJ), L.P. The complaint alleges that the former investment adviser made a constructively fraudulent transfer of $2.6 million in deferred incentive fees by waiving them in connection with the termination of the Management Agreement with us, and that the termination of the Management Agreement was itself a fraudulent transfer. These transfers, the complaint alleges, were made without receipt of reasonably equivalent value and while the former investment adviser was insolvent. The complaint has not yet been served, and the plaintiff’s motion for authority to prosecute the case on behalf of the estates was taken under advisement by the court on October 1, 2012. We opposed that motion. We believe that the claims in this lawsuit are without merit and, if the plaintiff is authorized to proceed, intend to vigorously defend against this action.</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Except as discussed above, neither we nor our wholly-owned subsidiaries, Saratoga Investment Funding LLC and Saratoga Investment Corp. SBIC LP, are currently subject to any material legal proceedings.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In addition to information set forth in this report, you should carefully consider the “Risk Factors” discussed in our annual report on Form 10-K for the year ended February 29, 2016, which could materially affect our business, financial condition and/or operating results. Additional risks or uncertainties not currently known to us or that we currently deem to be immaterial also may materially affect our business, financial condition and/or operating results.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right"/>
        <w:ind w:right="936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right"/>
        <w:ind w:right="93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Listed below are the exhibits which are filed as part of this report (according to the number assigned to them in Item 601 of Regulation S-K):</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4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960" w:type="dxa"/>
            <w:vAlign w:val="bottom"/>
          </w:tcPr>
          <w:p>
            <w:pPr>
              <w:spacing w:after="0"/>
              <w:rPr>
                <w:sz w:val="16"/>
                <w:szCs w:val="16"/>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6"/>
              </w:rPr>
              <w:t>Certification of Chief Executive Officer Pursuant to Rule 13a-14(a) under the Securities Exchange Act of 1934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7"/>
              </w:rPr>
              <w:t>Certification of Chief Financial Officer Pursuant to Rule 13a-14(a) under the Securities Exchange Act of 1934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1"/>
              </w:rPr>
              <w:t>Certification of Chief Executive Officer Pursuant to Section 906 of the Sarbanes-Oxley Act of 2002 (18 U.S.C. 1350)</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Submitted herewith.</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620"/>
          </w:cols>
          <w:pgMar w:left="240" w:top="459" w:right="10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2100"/>
              <w:spacing w:after="0"/>
              <w:rPr>
                <w:sz w:val="20"/>
                <w:szCs w:val="20"/>
                <w:color w:val="auto"/>
              </w:rPr>
            </w:pPr>
            <w:r>
              <w:rPr>
                <w:rFonts w:ascii="Arial" w:cs="Arial" w:eastAsia="Arial" w:hAnsi="Arial"/>
                <w:sz w:val="18"/>
                <w:szCs w:val="18"/>
                <w:color w:val="auto"/>
              </w:rPr>
              <w:t>SARATOGA INVESTMENT CORP.</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January 11, 2017</w:t>
            </w:r>
          </w:p>
        </w:tc>
        <w:tc>
          <w:tcPr>
            <w:tcW w:w="2480" w:type="dxa"/>
            <w:vAlign w:val="bottom"/>
          </w:tcPr>
          <w:p>
            <w:pPr>
              <w:ind w:left="21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CHRISTIAN L. OBERBECK</w:t>
            </w:r>
          </w:p>
        </w:tc>
      </w:tr>
      <w:tr>
        <w:trPr>
          <w:trHeight w:val="209"/>
        </w:trPr>
        <w:tc>
          <w:tcPr>
            <w:tcW w:w="3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Christian L. Oberbeck</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w:t>
            </w:r>
          </w:p>
        </w:tc>
      </w:tr>
      <w:tr>
        <w:trPr>
          <w:trHeight w:val="432"/>
        </w:trPr>
        <w:tc>
          <w:tcPr>
            <w:tcW w:w="3800" w:type="dxa"/>
            <w:vAlign w:val="bottom"/>
          </w:tcPr>
          <w:p>
            <w:pPr>
              <w:spacing w:after="0"/>
              <w:rPr>
                <w:sz w:val="24"/>
                <w:szCs w:val="24"/>
                <w:color w:val="auto"/>
              </w:rPr>
            </w:pPr>
          </w:p>
        </w:tc>
        <w:tc>
          <w:tcPr>
            <w:tcW w:w="2480" w:type="dxa"/>
            <w:vAlign w:val="bottom"/>
          </w:tcPr>
          <w:p>
            <w:pPr>
              <w:ind w:left="21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HENRI J. STEENKAMP</w:t>
            </w:r>
          </w:p>
        </w:tc>
      </w:tr>
      <w:tr>
        <w:trPr>
          <w:trHeight w:val="224"/>
        </w:trPr>
        <w:tc>
          <w:tcPr>
            <w:tcW w:w="3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9"/>
              </w:rPr>
              <w:t>Henri J. Steenkamp</w:t>
            </w:r>
          </w:p>
        </w:tc>
      </w:tr>
    </w:tbl>
    <w:p>
      <w:pPr>
        <w:ind w:left="6900"/>
        <w:spacing w:after="0"/>
        <w:rPr>
          <w:sz w:val="20"/>
          <w:szCs w:val="20"/>
          <w:color w:val="auto"/>
        </w:rPr>
      </w:pPr>
      <w:r>
        <w:rPr>
          <w:rFonts w:ascii="Arial" w:cs="Arial" w:eastAsia="Arial" w:hAnsi="Arial"/>
          <w:sz w:val="18"/>
          <w:szCs w:val="18"/>
          <w:i w:val="1"/>
          <w:iCs w:val="1"/>
          <w:color w:val="auto"/>
        </w:rPr>
        <w:t>Chief Financial Officer and Chief Compliance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Christian L. Oberbeck, certify that:</w:t>
      </w:r>
    </w:p>
    <w:p>
      <w:pPr>
        <w:spacing w:after="0" w:line="225" w:lineRule="exact"/>
        <w:rPr>
          <w:sz w:val="20"/>
          <w:szCs w:val="20"/>
          <w:color w:val="auto"/>
        </w:rPr>
      </w:pPr>
    </w:p>
    <w:p>
      <w:pPr>
        <w:ind w:left="1100" w:hanging="179"/>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120" w:firstLine="921"/>
        <w:spacing w:after="0" w:line="342" w:lineRule="auto"/>
        <w:tabs>
          <w:tab w:leader="none" w:pos="1093"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921"/>
        <w:spacing w:after="0" w:line="308" w:lineRule="auto"/>
        <w:tabs>
          <w:tab w:leader="none" w:pos="1093"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60" w:firstLine="921"/>
        <w:spacing w:after="0" w:line="277" w:lineRule="auto"/>
        <w:tabs>
          <w:tab w:leader="none" w:pos="109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ind w:left="920" w:right="220" w:firstLine="421"/>
        <w:spacing w:after="0" w:line="264" w:lineRule="auto"/>
        <w:tabs>
          <w:tab w:leader="none" w:pos="158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firstLine="421"/>
        <w:spacing w:after="0" w:line="264" w:lineRule="auto"/>
        <w:tabs>
          <w:tab w:leader="none" w:pos="159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160" w:firstLine="421"/>
        <w:spacing w:after="0" w:line="342" w:lineRule="auto"/>
        <w:tabs>
          <w:tab w:leader="none" w:pos="1585"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140" w:firstLine="421"/>
        <w:spacing w:after="0" w:line="264" w:lineRule="auto"/>
        <w:tabs>
          <w:tab w:leader="none" w:pos="159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921"/>
        <w:spacing w:after="0" w:line="308" w:lineRule="auto"/>
        <w:tabs>
          <w:tab w:leader="none" w:pos="109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340" w:firstLine="421"/>
        <w:spacing w:after="0" w:line="308" w:lineRule="auto"/>
        <w:tabs>
          <w:tab w:leader="none" w:pos="1585"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right="20" w:firstLine="421"/>
        <w:spacing w:after="0" w:line="277" w:lineRule="auto"/>
        <w:tabs>
          <w:tab w:leader="none" w:pos="159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Henri J. Steenkamp, certify that:</w:t>
      </w:r>
    </w:p>
    <w:p>
      <w:pPr>
        <w:spacing w:after="0" w:line="225" w:lineRule="exact"/>
        <w:rPr>
          <w:sz w:val="20"/>
          <w:szCs w:val="20"/>
          <w:color w:val="auto"/>
        </w:rPr>
      </w:pPr>
    </w:p>
    <w:p>
      <w:pPr>
        <w:ind w:left="1100" w:hanging="179"/>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120" w:firstLine="921"/>
        <w:spacing w:after="0" w:line="342" w:lineRule="auto"/>
        <w:tabs>
          <w:tab w:leader="none" w:pos="1093"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921"/>
        <w:spacing w:after="0" w:line="308" w:lineRule="auto"/>
        <w:tabs>
          <w:tab w:leader="none" w:pos="1093"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60" w:firstLine="921"/>
        <w:spacing w:after="0" w:line="277" w:lineRule="auto"/>
        <w:tabs>
          <w:tab w:leader="none" w:pos="10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ind w:left="920" w:right="220" w:firstLine="421"/>
        <w:spacing w:after="0" w:line="264" w:lineRule="auto"/>
        <w:tabs>
          <w:tab w:leader="none" w:pos="158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firstLine="421"/>
        <w:spacing w:after="0" w:line="264" w:lineRule="auto"/>
        <w:tabs>
          <w:tab w:leader="none" w:pos="15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160" w:firstLine="421"/>
        <w:spacing w:after="0" w:line="342" w:lineRule="auto"/>
        <w:tabs>
          <w:tab w:leader="none" w:pos="1585"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140" w:firstLine="421"/>
        <w:spacing w:after="0" w:line="264" w:lineRule="auto"/>
        <w:tabs>
          <w:tab w:leader="none" w:pos="15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921"/>
        <w:spacing w:after="0" w:line="308" w:lineRule="auto"/>
        <w:tabs>
          <w:tab w:leader="none" w:pos="109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340" w:firstLine="421"/>
        <w:spacing w:after="0" w:line="308" w:lineRule="auto"/>
        <w:tabs>
          <w:tab w:leader="none" w:pos="1585"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right="20" w:firstLine="421"/>
        <w:spacing w:after="0" w:line="277" w:lineRule="auto"/>
        <w:tabs>
          <w:tab w:leader="none" w:pos="15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 Form 10-Q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Christian L. Oberbeck, the Chief Executive Officer, certifies that, to the best of his knowledge:</w:t>
      </w:r>
    </w:p>
    <w:p>
      <w:pPr>
        <w:spacing w:after="0" w:line="131"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 Form 10-Q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Henri J. Steenkamp, the Chief Financial Officer, Chief Compliance Officer and Secretary of Saratoga Investment Corp. certifies that, to the best of his knowledge:</w:t>
      </w:r>
    </w:p>
    <w:p>
      <w:pPr>
        <w:spacing w:after="0" w:line="76"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7"/>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7"/>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2"/>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2"/>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lvl w:ilvl="1">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2019-12-29T09:33:29Z</dcterms:created>
  <dcterms:modified xsi:type="dcterms:W3CDTF">2019-12-29T09:33:29Z</dcterms:modified>
</cp:coreProperties>
</file>