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4"/>
          <w:szCs w:val="14"/>
          <w:color w:val="auto"/>
        </w:rPr>
        <w:t>As filed with the Securities and Exchange Commission on October 17, 2006</w:t>
      </w:r>
    </w:p>
    <w:p>
      <w:pPr>
        <w:spacing w:after="0" w:line="174" w:lineRule="exact"/>
        <w:rPr>
          <w:sz w:val="24"/>
          <w:szCs w:val="24"/>
          <w:color w:val="auto"/>
        </w:rPr>
      </w:pPr>
    </w:p>
    <w:p>
      <w:pPr>
        <w:jc w:val="right"/>
        <w:ind w:right="320"/>
        <w:spacing w:after="0"/>
        <w:rPr>
          <w:sz w:val="20"/>
          <w:szCs w:val="20"/>
          <w:color w:val="auto"/>
        </w:rPr>
      </w:pPr>
      <w:r>
        <w:rPr>
          <w:rFonts w:ascii="Times New Roman" w:cs="Times New Roman" w:eastAsia="Times New Roman" w:hAnsi="Times New Roman"/>
          <w:sz w:val="14"/>
          <w:szCs w:val="14"/>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345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3450" cy="32385"/>
                    </a:xfrm>
                    <a:prstGeom prst="rect">
                      <a:avLst/>
                    </a:prstGeom>
                    <a:noFill/>
                  </pic:spPr>
                </pic:pic>
              </a:graphicData>
            </a:graphic>
          </wp:anchor>
        </w:drawing>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FORM N-2</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(Check Appropriate box or boxes)</w:t>
      </w:r>
    </w:p>
    <w:p>
      <w:pPr>
        <w:spacing w:after="0" w:line="174" w:lineRule="exact"/>
        <w:rPr>
          <w:sz w:val="24"/>
          <w:szCs w:val="24"/>
          <w:color w:val="auto"/>
        </w:rPr>
      </w:pPr>
    </w:p>
    <w:p>
      <w:pPr>
        <w:ind w:left="260" w:right="7700" w:hanging="2"/>
        <w:spacing w:after="0" w:line="258" w:lineRule="auto"/>
        <w:tabs>
          <w:tab w:leader="none" w:pos="582"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Registration Statement under the Securities Act of 1933 o Pre-Effective Amendment No.</w:t>
      </w: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    Post-Effective Amendment No.</w:t>
      </w:r>
    </w:p>
    <w:p>
      <w:pPr>
        <w:spacing w:after="0" w:line="1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and/or</w:t>
      </w:r>
    </w:p>
    <w:p>
      <w:pPr>
        <w:spacing w:after="0" w:line="195" w:lineRule="exact"/>
        <w:rPr>
          <w:sz w:val="24"/>
          <w:szCs w:val="24"/>
          <w:color w:val="auto"/>
        </w:rPr>
      </w:pPr>
    </w:p>
    <w:p>
      <w:pPr>
        <w:ind w:left="580" w:hanging="322"/>
        <w:spacing w:after="0"/>
        <w:tabs>
          <w:tab w:leader="none" w:pos="58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Registration Statement under the Investment Company Act of 1940</w:t>
      </w:r>
    </w:p>
    <w:p>
      <w:pPr>
        <w:spacing w:after="0" w:line="18" w:lineRule="exact"/>
        <w:rPr>
          <w:rFonts w:ascii="Times New Roman" w:cs="Times New Roman" w:eastAsia="Times New Roman" w:hAnsi="Times New Roman"/>
          <w:sz w:val="14"/>
          <w:szCs w:val="14"/>
          <w:b w:val="1"/>
          <w:bCs w:val="1"/>
          <w:color w:val="auto"/>
        </w:rPr>
      </w:pPr>
    </w:p>
    <w:p>
      <w:pPr>
        <w:ind w:left="580" w:hanging="322"/>
        <w:spacing w:after="0"/>
        <w:tabs>
          <w:tab w:leader="none" w:pos="58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 No.</w:t>
      </w:r>
    </w:p>
    <w:p>
      <w:pPr>
        <w:spacing w:after="0" w:line="1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GSC Investment LLC</w:t>
      </w:r>
      <w:r>
        <w:rPr>
          <w:rFonts w:ascii="Times New Roman" w:cs="Times New Roman" w:eastAsia="Times New Roman" w:hAnsi="Times New Roman"/>
          <w:sz w:val="33"/>
          <w:szCs w:val="33"/>
          <w:b w:val="1"/>
          <w:bCs w:val="1"/>
          <w:color w:val="auto"/>
          <w:vertAlign w:val="superscript"/>
        </w:rPr>
        <w:t>(1)</w:t>
      </w:r>
    </w:p>
    <w:p>
      <w:pPr>
        <w:sectPr>
          <w:pgSz w:w="11900" w:h="16838" w:orient="portrait"/>
          <w:cols w:equalWidth="0" w:num="1">
            <w:col w:w="11520"/>
          </w:cols>
          <w:pgMar w:left="220" w:top="381" w:right="159" w:bottom="1440" w:gutter="0" w:footer="0" w:header="0"/>
        </w:sectPr>
      </w:pPr>
    </w:p>
    <w:p>
      <w:pPr>
        <w:ind w:left="4640"/>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136" w:lineRule="exact"/>
        <w:rPr>
          <w:sz w:val="24"/>
          <w:szCs w:val="24"/>
          <w:color w:val="auto"/>
        </w:rPr>
      </w:pPr>
    </w:p>
    <w:p>
      <w:pPr>
        <w:jc w:val="center"/>
        <w:ind w:left="4580"/>
        <w:spacing w:after="0"/>
        <w:rPr>
          <w:sz w:val="20"/>
          <w:szCs w:val="20"/>
          <w:color w:val="auto"/>
        </w:rPr>
      </w:pPr>
      <w:r>
        <w:rPr>
          <w:rFonts w:ascii="Times New Roman" w:cs="Times New Roman" w:eastAsia="Times New Roman" w:hAnsi="Times New Roman"/>
          <w:sz w:val="10"/>
          <w:szCs w:val="10"/>
          <w:b w:val="1"/>
          <w:bCs w:val="1"/>
          <w:color w:val="auto"/>
        </w:rPr>
        <w:t>12 East 49</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0"/>
          <w:szCs w:val="10"/>
          <w:b w:val="1"/>
          <w:bCs w:val="1"/>
          <w:color w:val="auto"/>
        </w:rPr>
        <w:t xml:space="preserve"> Street, Suite 3200</w:t>
      </w:r>
    </w:p>
    <w:p>
      <w:pPr>
        <w:jc w:val="center"/>
        <w:ind w:left="4580"/>
        <w:spacing w:after="0"/>
        <w:rPr>
          <w:sz w:val="20"/>
          <w:szCs w:val="20"/>
          <w:color w:val="auto"/>
        </w:rPr>
      </w:pPr>
      <w:r>
        <w:rPr>
          <w:rFonts w:ascii="Times New Roman" w:cs="Times New Roman" w:eastAsia="Times New Roman" w:hAnsi="Times New Roman"/>
          <w:sz w:val="10"/>
          <w:szCs w:val="10"/>
          <w:b w:val="1"/>
          <w:bCs w:val="1"/>
          <w:color w:val="auto"/>
        </w:rPr>
        <w:t>New York, New York 10017</w:t>
      </w:r>
    </w:p>
    <w:p>
      <w:pPr>
        <w:jc w:val="center"/>
        <w:ind w:left="4580"/>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jc w:val="center"/>
        <w:ind w:left="4580"/>
        <w:spacing w:after="0"/>
        <w:rPr>
          <w:sz w:val="20"/>
          <w:szCs w:val="20"/>
          <w:color w:val="auto"/>
        </w:rPr>
      </w:pPr>
      <w:r>
        <w:rPr>
          <w:rFonts w:ascii="Times New Roman" w:cs="Times New Roman" w:eastAsia="Times New Roman" w:hAnsi="Times New Roman"/>
          <w:sz w:val="10"/>
          <w:szCs w:val="10"/>
          <w:b w:val="1"/>
          <w:bCs w:val="1"/>
          <w:color w:val="auto"/>
        </w:rPr>
        <w:t>(212) 884-6200</w:t>
      </w:r>
    </w:p>
    <w:p>
      <w:pPr>
        <w:jc w:val="center"/>
        <w:ind w:left="4580"/>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75" w:lineRule="exact"/>
        <w:rPr>
          <w:sz w:val="24"/>
          <w:szCs w:val="24"/>
          <w:color w:val="auto"/>
        </w:rPr>
      </w:pPr>
    </w:p>
    <w:p>
      <w:pPr>
        <w:jc w:val="center"/>
        <w:ind w:left="4580"/>
        <w:spacing w:after="0"/>
        <w:rPr>
          <w:sz w:val="20"/>
          <w:szCs w:val="20"/>
          <w:color w:val="auto"/>
        </w:rPr>
      </w:pPr>
      <w:r>
        <w:rPr>
          <w:rFonts w:ascii="Times New Roman" w:cs="Times New Roman" w:eastAsia="Times New Roman" w:hAnsi="Times New Roman"/>
          <w:sz w:val="10"/>
          <w:szCs w:val="10"/>
          <w:b w:val="1"/>
          <w:bCs w:val="1"/>
          <w:color w:val="auto"/>
        </w:rPr>
        <w:t>Thomas V. Inglesby</w:t>
      </w:r>
    </w:p>
    <w:p>
      <w:pPr>
        <w:spacing w:after="0" w:line="14" w:lineRule="exact"/>
        <w:rPr>
          <w:sz w:val="24"/>
          <w:szCs w:val="24"/>
          <w:color w:val="auto"/>
        </w:rPr>
      </w:pPr>
    </w:p>
    <w:p>
      <w:pPr>
        <w:jc w:val="center"/>
        <w:ind w:left="4580"/>
        <w:spacing w:after="0"/>
        <w:rPr>
          <w:sz w:val="20"/>
          <w:szCs w:val="20"/>
          <w:color w:val="auto"/>
        </w:rPr>
      </w:pPr>
      <w:r>
        <w:rPr>
          <w:rFonts w:ascii="Times New Roman" w:cs="Times New Roman" w:eastAsia="Times New Roman" w:hAnsi="Times New Roman"/>
          <w:sz w:val="10"/>
          <w:szCs w:val="10"/>
          <w:b w:val="1"/>
          <w:bCs w:val="1"/>
          <w:color w:val="auto"/>
        </w:rPr>
        <w:t>GSC Investment LLC</w:t>
      </w:r>
    </w:p>
    <w:p>
      <w:pPr>
        <w:jc w:val="center"/>
        <w:ind w:left="4580"/>
        <w:spacing w:after="0" w:line="185" w:lineRule="auto"/>
        <w:rPr>
          <w:sz w:val="20"/>
          <w:szCs w:val="20"/>
          <w:color w:val="auto"/>
        </w:rPr>
      </w:pPr>
      <w:r>
        <w:rPr>
          <w:rFonts w:ascii="Times New Roman" w:cs="Times New Roman" w:eastAsia="Times New Roman" w:hAnsi="Times New Roman"/>
          <w:sz w:val="10"/>
          <w:szCs w:val="10"/>
          <w:b w:val="1"/>
          <w:bCs w:val="1"/>
          <w:color w:val="auto"/>
        </w:rPr>
        <w:t>12 East 49</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0"/>
          <w:szCs w:val="10"/>
          <w:b w:val="1"/>
          <w:bCs w:val="1"/>
          <w:color w:val="auto"/>
        </w:rPr>
        <w:t xml:space="preserve"> Street, Suite 3200</w:t>
      </w:r>
    </w:p>
    <w:p>
      <w:pPr>
        <w:spacing w:after="0" w:line="1" w:lineRule="exact"/>
        <w:rPr>
          <w:sz w:val="24"/>
          <w:szCs w:val="24"/>
          <w:color w:val="auto"/>
        </w:rPr>
      </w:pPr>
    </w:p>
    <w:p>
      <w:pPr>
        <w:jc w:val="center"/>
        <w:ind w:left="4580"/>
        <w:spacing w:after="0"/>
        <w:rPr>
          <w:sz w:val="20"/>
          <w:szCs w:val="20"/>
          <w:color w:val="auto"/>
        </w:rPr>
      </w:pPr>
      <w:r>
        <w:rPr>
          <w:rFonts w:ascii="Times New Roman" w:cs="Times New Roman" w:eastAsia="Times New Roman" w:hAnsi="Times New Roman"/>
          <w:sz w:val="10"/>
          <w:szCs w:val="10"/>
          <w:b w:val="1"/>
          <w:bCs w:val="1"/>
          <w:color w:val="auto"/>
        </w:rPr>
        <w:t>New York, New York 10017</w:t>
      </w:r>
    </w:p>
    <w:p>
      <w:pPr>
        <w:jc w:val="center"/>
        <w:ind w:left="4580"/>
        <w:spacing w:after="0"/>
        <w:rPr>
          <w:sz w:val="20"/>
          <w:szCs w:val="20"/>
          <w:color w:val="auto"/>
        </w:rPr>
      </w:pPr>
      <w:r>
        <w:rPr>
          <w:rFonts w:ascii="Times New Roman" w:cs="Times New Roman" w:eastAsia="Times New Roman" w:hAnsi="Times New Roman"/>
          <w:sz w:val="10"/>
          <w:szCs w:val="10"/>
          <w:color w:val="auto"/>
        </w:rPr>
        <w:t>(Name and Address of Agent for Service)</w:t>
      </w:r>
    </w:p>
    <w:p>
      <w:pPr>
        <w:spacing w:after="0" w:line="17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0"/>
          <w:szCs w:val="10"/>
          <w:b w:val="1"/>
          <w:bCs w:val="1"/>
          <w:color w:val="auto"/>
        </w:rPr>
        <w:t>Copies to:</w:t>
      </w:r>
    </w:p>
    <w:p>
      <w:pPr>
        <w:spacing w:after="0" w:line="18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Winthrop B. Conrad, Jr.</w:t>
      </w:r>
    </w:p>
    <w:p>
      <w:pPr>
        <w:spacing w:after="0" w:line="1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Danforth Townley</w:t>
      </w:r>
    </w:p>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Davis Polk &amp; Wardwell</w:t>
      </w:r>
    </w:p>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450 Lexington Avenue</w:t>
      </w:r>
    </w:p>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New York, New York 10017</w:t>
      </w:r>
    </w:p>
    <w:p>
      <w:pPr>
        <w:ind w:left="3100" w:hanging="263"/>
        <w:spacing w:after="0"/>
        <w:tabs>
          <w:tab w:leader="none" w:pos="3100" w:val="left"/>
        </w:tabs>
        <w:numPr>
          <w:ilvl w:val="1"/>
          <w:numId w:val="3"/>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450-4890</w:t>
      </w:r>
    </w:p>
    <w:p>
      <w:pPr>
        <w:ind w:left="2980" w:hanging="260"/>
        <w:spacing w:after="0"/>
        <w:tabs>
          <w:tab w:leader="none" w:pos="2980" w:val="left"/>
        </w:tabs>
        <w:numPr>
          <w:ilvl w:val="0"/>
          <w:numId w:val="4"/>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450-3890 (fax)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52705</wp:posOffset>
            </wp:positionV>
            <wp:extent cx="14687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8755" cy="6350"/>
                    </a:xfrm>
                    <a:prstGeom prst="rect">
                      <a:avLst/>
                    </a:prstGeom>
                    <a:noFill/>
                  </pic:spPr>
                </pic:pic>
              </a:graphicData>
            </a:graphic>
          </wp:anchor>
        </w:drawing>
      </w:r>
    </w:p>
    <w:p>
      <w:pPr>
        <w:spacing w:after="0" w:line="28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As soon as practicable after the effective date of this Registration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0"/>
          <w:szCs w:val="10"/>
          <w:b w:val="1"/>
          <w:bCs w:val="1"/>
          <w:color w:val="auto"/>
        </w:rPr>
        <w:t>Jay L. Bernstein, Esq. and Richard I. Horowitz, Esq.</w:t>
      </w:r>
    </w:p>
    <w:p>
      <w:pPr>
        <w:spacing w:after="0" w:line="1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0"/>
          <w:szCs w:val="10"/>
          <w:b w:val="1"/>
          <w:bCs w:val="1"/>
          <w:color w:val="auto"/>
        </w:rPr>
        <w:t>Clifford Chance US LLP</w:t>
      </w:r>
    </w:p>
    <w:p>
      <w:pPr>
        <w:jc w:val="center"/>
        <w:ind w:right="2000"/>
        <w:spacing w:after="0" w:line="185" w:lineRule="auto"/>
        <w:rPr>
          <w:sz w:val="20"/>
          <w:szCs w:val="20"/>
          <w:color w:val="auto"/>
        </w:rPr>
      </w:pPr>
      <w:r>
        <w:rPr>
          <w:rFonts w:ascii="Times New Roman" w:cs="Times New Roman" w:eastAsia="Times New Roman" w:hAnsi="Times New Roman"/>
          <w:sz w:val="10"/>
          <w:szCs w:val="10"/>
          <w:b w:val="1"/>
          <w:bCs w:val="1"/>
          <w:color w:val="auto"/>
        </w:rPr>
        <w:t>31 West 52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0"/>
          <w:szCs w:val="10"/>
          <w:b w:val="1"/>
          <w:bCs w:val="1"/>
          <w:color w:val="auto"/>
        </w:rPr>
        <w:t xml:space="preserve"> Street</w:t>
      </w:r>
    </w:p>
    <w:p>
      <w:pPr>
        <w:spacing w:after="0" w:line="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0"/>
          <w:szCs w:val="10"/>
          <w:b w:val="1"/>
          <w:bCs w:val="1"/>
          <w:color w:val="auto"/>
        </w:rPr>
        <w:t>New York, New York 10019</w:t>
      </w:r>
    </w:p>
    <w:p>
      <w:pPr>
        <w:ind w:left="1120" w:hanging="248"/>
        <w:spacing w:after="0"/>
        <w:tabs>
          <w:tab w:leader="none" w:pos="1120" w:val="left"/>
        </w:tabs>
        <w:numPr>
          <w:ilvl w:val="1"/>
          <w:numId w:val="5"/>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878-8000</w:t>
      </w:r>
    </w:p>
    <w:p>
      <w:pPr>
        <w:ind w:left="1000" w:hanging="245"/>
        <w:spacing w:after="0"/>
        <w:tabs>
          <w:tab w:leader="none" w:pos="1000" w:val="left"/>
        </w:tabs>
        <w:numPr>
          <w:ilvl w:val="0"/>
          <w:numId w:val="6"/>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878-8375 (fax)</w:t>
      </w:r>
    </w:p>
    <w:p>
      <w:pPr>
        <w:spacing w:after="0" w:line="615" w:lineRule="exact"/>
        <w:rPr>
          <w:sz w:val="24"/>
          <w:szCs w:val="24"/>
          <w:color w:val="auto"/>
        </w:rPr>
      </w:pPr>
    </w:p>
    <w:p>
      <w:pPr>
        <w:sectPr>
          <w:pgSz w:w="11900" w:h="16838" w:orient="portrait"/>
          <w:cols w:equalWidth="0" w:num="2">
            <w:col w:w="6900" w:space="220"/>
            <w:col w:w="4400"/>
          </w:cols>
          <w:pgMar w:left="220" w:top="381" w:right="159" w:bottom="1440" w:gutter="0" w:footer="0" w:header="0"/>
          <w:type w:val="continuous"/>
        </w:sectPr>
      </w:pPr>
    </w:p>
    <w:p>
      <w:pPr>
        <w:spacing w:after="0" w:line="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color w:val="auto"/>
        </w:rPr>
        <w:t xml:space="preserve">If any of the securities being registered on this Form will be offered on a delayed or continuous basis in reliance on Rule 415 under the Securities Act of 1933, other than securities offered only in connection with dividend reinvestment plans, please check the following box </w:t>
      </w:r>
      <w:r>
        <w:rPr>
          <w:rFonts w:ascii="Times New Roman" w:cs="Times New Roman" w:eastAsia="Times New Roman" w:hAnsi="Times New Roman"/>
          <w:sz w:val="13"/>
          <w:szCs w:val="13"/>
          <w:color w:val="auto"/>
        </w:rPr>
        <w:t>o</w:t>
      </w:r>
    </w:p>
    <w:p>
      <w:pPr>
        <w:spacing w:after="0" w:line="5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color w:val="auto"/>
        </w:rPr>
        <w:t>It is proposed that this filing will become effective (check appropriate box):</w:t>
      </w:r>
    </w:p>
    <w:p>
      <w:pPr>
        <w:spacing w:after="0" w:line="94" w:lineRule="exact"/>
        <w:rPr>
          <w:sz w:val="24"/>
          <w:szCs w:val="24"/>
          <w:color w:val="auto"/>
        </w:rPr>
      </w:pPr>
    </w:p>
    <w:p>
      <w:pPr>
        <w:ind w:left="20" w:right="8840" w:firstLine="238"/>
        <w:spacing w:after="0" w:line="274" w:lineRule="auto"/>
        <w:tabs>
          <w:tab w:leader="none" w:pos="5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0"/>
          <w:szCs w:val="10"/>
          <w:color w:val="auto"/>
        </w:rPr>
        <w:t>When declared effective pursuant to Section 8(c). If appropriate, check the following box:</w:t>
      </w:r>
    </w:p>
    <w:p>
      <w:pPr>
        <w:spacing w:after="0" w:line="27" w:lineRule="exact"/>
        <w:rPr>
          <w:rFonts w:ascii="Times New Roman" w:cs="Times New Roman" w:eastAsia="Times New Roman" w:hAnsi="Times New Roman"/>
          <w:sz w:val="14"/>
          <w:szCs w:val="14"/>
          <w:color w:val="auto"/>
        </w:rPr>
      </w:pPr>
    </w:p>
    <w:p>
      <w:pPr>
        <w:ind w:left="600" w:hanging="342"/>
        <w:spacing w:after="0"/>
        <w:tabs>
          <w:tab w:leader="none" w:pos="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0"/>
          <w:szCs w:val="10"/>
          <w:color w:val="auto"/>
        </w:rPr>
        <w:t>This amendment designates a new effective date for a previously filed registration statement.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187"/>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w:t>
            </w:r>
          </w:p>
        </w:tc>
        <w:tc>
          <w:tcPr>
            <w:tcW w:w="6860" w:type="dxa"/>
            <w:vAlign w:val="bottom"/>
            <w:gridSpan w:val="4"/>
          </w:tcPr>
          <w:p>
            <w:pPr>
              <w:ind w:left="140"/>
              <w:spacing w:after="0"/>
              <w:rPr>
                <w:sz w:val="20"/>
                <w:szCs w:val="20"/>
                <w:color w:val="auto"/>
              </w:rPr>
            </w:pPr>
            <w:r>
              <w:rPr>
                <w:rFonts w:ascii="Times New Roman" w:cs="Times New Roman" w:eastAsia="Times New Roman" w:hAnsi="Times New Roman"/>
                <w:sz w:val="10"/>
                <w:szCs w:val="10"/>
                <w:color w:val="auto"/>
              </w:rPr>
              <w:t>This Form is filed to register additional securities for an offering pursuant to Rule 462(b) under the Securities Act and the Securities Act registration number of</w:t>
            </w:r>
          </w:p>
        </w:tc>
        <w:tc>
          <w:tcPr>
            <w:tcW w:w="358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the earlier effective registration statement for the same offering is</w:t>
            </w:r>
          </w:p>
        </w:tc>
        <w:tc>
          <w:tcPr>
            <w:tcW w:w="560" w:type="dxa"/>
            <w:vAlign w:val="bottom"/>
          </w:tcPr>
          <w:p>
            <w:pPr>
              <w:spacing w:after="0"/>
              <w:rPr>
                <w:sz w:val="16"/>
                <w:szCs w:val="16"/>
                <w:color w:val="auto"/>
              </w:rPr>
            </w:pPr>
          </w:p>
        </w:tc>
      </w:tr>
      <w:tr>
        <w:trPr>
          <w:trHeight w:val="137"/>
        </w:trPr>
        <w:tc>
          <w:tcPr>
            <w:tcW w:w="460" w:type="dxa"/>
            <w:vAlign w:val="bottom"/>
          </w:tcPr>
          <w:p>
            <w:pPr>
              <w:spacing w:after="0"/>
              <w:rPr>
                <w:sz w:val="11"/>
                <w:szCs w:val="11"/>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_______________________________</w:t>
            </w:r>
          </w:p>
        </w:tc>
        <w:tc>
          <w:tcPr>
            <w:tcW w:w="8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94"/>
        </w:trPr>
        <w:tc>
          <w:tcPr>
            <w:tcW w:w="4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80"/>
        </w:trPr>
        <w:tc>
          <w:tcPr>
            <w:tcW w:w="46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740" w:type="dxa"/>
            <w:vAlign w:val="bottom"/>
            <w:tcBorders>
              <w:bottom w:val="single" w:sz="8" w:color="auto"/>
            </w:tcBorders>
            <w:gridSpan w:val="2"/>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r>
      <w:tr>
        <w:trPr>
          <w:trHeight w:val="118"/>
        </w:trPr>
        <w:tc>
          <w:tcPr>
            <w:tcW w:w="460" w:type="dxa"/>
            <w:vAlign w:val="bottom"/>
            <w:tcBorders>
              <w:left w:val="single" w:sz="8" w:color="auto"/>
            </w:tcBorders>
          </w:tcPr>
          <w:p>
            <w:pPr>
              <w:spacing w:after="0"/>
              <w:rPr>
                <w:sz w:val="10"/>
                <w:szCs w:val="10"/>
                <w:color w:val="auto"/>
              </w:rPr>
            </w:pPr>
          </w:p>
        </w:tc>
        <w:tc>
          <w:tcPr>
            <w:tcW w:w="326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740" w:type="dxa"/>
            <w:vAlign w:val="bottom"/>
            <w:tcBorders>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0"/>
                <w:szCs w:val="10"/>
                <w:b w:val="1"/>
                <w:bCs w:val="1"/>
                <w:color w:val="auto"/>
              </w:rPr>
              <w:t>Proposed Maximum</w:t>
            </w:r>
          </w:p>
        </w:tc>
        <w:tc>
          <w:tcPr>
            <w:tcW w:w="358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Amount of</w:t>
            </w:r>
          </w:p>
        </w:tc>
        <w:tc>
          <w:tcPr>
            <w:tcW w:w="560" w:type="dxa"/>
            <w:vAlign w:val="bottom"/>
          </w:tcPr>
          <w:p>
            <w:pPr>
              <w:spacing w:after="0"/>
              <w:rPr>
                <w:sz w:val="10"/>
                <w:szCs w:val="10"/>
                <w:color w:val="auto"/>
              </w:rPr>
            </w:pPr>
          </w:p>
        </w:tc>
      </w:tr>
      <w:tr>
        <w:trPr>
          <w:trHeight w:val="115"/>
        </w:trPr>
        <w:tc>
          <w:tcPr>
            <w:tcW w:w="460" w:type="dxa"/>
            <w:vAlign w:val="bottom"/>
            <w:tcBorders>
              <w:left w:val="single" w:sz="8" w:color="auto"/>
            </w:tcBorders>
          </w:tcPr>
          <w:p>
            <w:pPr>
              <w:spacing w:after="0"/>
              <w:rPr>
                <w:sz w:val="10"/>
                <w:szCs w:val="10"/>
                <w:color w:val="auto"/>
              </w:rPr>
            </w:pPr>
          </w:p>
        </w:tc>
        <w:tc>
          <w:tcPr>
            <w:tcW w:w="3260" w:type="dxa"/>
            <w:vAlign w:val="bottom"/>
            <w:tcBorders>
              <w:right w:val="single" w:sz="8" w:color="auto"/>
            </w:tcBorders>
          </w:tcPr>
          <w:p>
            <w:pPr>
              <w:jc w:val="center"/>
              <w:ind w:right="408"/>
              <w:spacing w:after="0"/>
              <w:rPr>
                <w:sz w:val="20"/>
                <w:szCs w:val="20"/>
                <w:color w:val="auto"/>
              </w:rPr>
            </w:pPr>
            <w:r>
              <w:rPr>
                <w:rFonts w:ascii="Times New Roman" w:cs="Times New Roman" w:eastAsia="Times New Roman" w:hAnsi="Times New Roman"/>
                <w:sz w:val="10"/>
                <w:szCs w:val="10"/>
                <w:b w:val="1"/>
                <w:bCs w:val="1"/>
                <w:color w:val="auto"/>
              </w:rPr>
              <w:t>Title of Each Class of</w:t>
            </w:r>
          </w:p>
        </w:tc>
        <w:tc>
          <w:tcPr>
            <w:tcW w:w="860" w:type="dxa"/>
            <w:vAlign w:val="bottom"/>
          </w:tcPr>
          <w:p>
            <w:pPr>
              <w:spacing w:after="0"/>
              <w:rPr>
                <w:sz w:val="10"/>
                <w:szCs w:val="10"/>
                <w:color w:val="auto"/>
              </w:rPr>
            </w:pPr>
          </w:p>
        </w:tc>
        <w:tc>
          <w:tcPr>
            <w:tcW w:w="274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0"/>
                <w:szCs w:val="10"/>
                <w:b w:val="1"/>
                <w:bCs w:val="1"/>
                <w:color w:val="auto"/>
              </w:rPr>
              <w:t>Aggregate Offering</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Registration</w:t>
            </w:r>
          </w:p>
        </w:tc>
        <w:tc>
          <w:tcPr>
            <w:tcW w:w="560" w:type="dxa"/>
            <w:vAlign w:val="bottom"/>
          </w:tcPr>
          <w:p>
            <w:pPr>
              <w:spacing w:after="0"/>
              <w:rPr>
                <w:sz w:val="10"/>
                <w:szCs w:val="10"/>
                <w:color w:val="auto"/>
              </w:rPr>
            </w:pPr>
          </w:p>
        </w:tc>
      </w:tr>
      <w:tr>
        <w:trPr>
          <w:trHeight w:val="176"/>
        </w:trPr>
        <w:tc>
          <w:tcPr>
            <w:tcW w:w="460" w:type="dxa"/>
            <w:vAlign w:val="bottom"/>
            <w:tcBorders>
              <w:left w:val="single" w:sz="8" w:color="auto"/>
              <w:bottom w:val="single" w:sz="8" w:color="auto"/>
            </w:tcBorders>
          </w:tcPr>
          <w:p>
            <w:pPr>
              <w:spacing w:after="0"/>
              <w:rPr>
                <w:sz w:val="15"/>
                <w:szCs w:val="15"/>
                <w:color w:val="auto"/>
              </w:rPr>
            </w:pPr>
          </w:p>
        </w:tc>
        <w:tc>
          <w:tcPr>
            <w:tcW w:w="3260" w:type="dxa"/>
            <w:vAlign w:val="bottom"/>
            <w:tcBorders>
              <w:bottom w:val="single" w:sz="8" w:color="auto"/>
              <w:right w:val="single" w:sz="8" w:color="auto"/>
            </w:tcBorders>
          </w:tcPr>
          <w:p>
            <w:pPr>
              <w:jc w:val="center"/>
              <w:ind w:right="388"/>
              <w:spacing w:after="0"/>
              <w:rPr>
                <w:sz w:val="20"/>
                <w:szCs w:val="20"/>
                <w:color w:val="auto"/>
              </w:rPr>
            </w:pPr>
            <w:r>
              <w:rPr>
                <w:rFonts w:ascii="Times New Roman" w:cs="Times New Roman" w:eastAsia="Times New Roman" w:hAnsi="Times New Roman"/>
                <w:sz w:val="10"/>
                <w:szCs w:val="10"/>
                <w:b w:val="1"/>
                <w:bCs w:val="1"/>
                <w:color w:val="auto"/>
              </w:rPr>
              <w:t>Securities to be Registered</w:t>
            </w:r>
          </w:p>
        </w:tc>
        <w:tc>
          <w:tcPr>
            <w:tcW w:w="860" w:type="dxa"/>
            <w:vAlign w:val="bottom"/>
            <w:tcBorders>
              <w:bottom w:val="single" w:sz="8" w:color="auto"/>
            </w:tcBorders>
          </w:tcPr>
          <w:p>
            <w:pPr>
              <w:spacing w:after="0"/>
              <w:rPr>
                <w:sz w:val="15"/>
                <w:szCs w:val="15"/>
                <w:color w:val="auto"/>
              </w:rPr>
            </w:pPr>
          </w:p>
        </w:tc>
        <w:tc>
          <w:tcPr>
            <w:tcW w:w="274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0"/>
                <w:szCs w:val="10"/>
                <w:b w:val="1"/>
                <w:bCs w:val="1"/>
                <w:color w:val="auto"/>
              </w:rPr>
              <w:t>Price(1)</w:t>
            </w:r>
          </w:p>
        </w:tc>
        <w:tc>
          <w:tcPr>
            <w:tcW w:w="358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Fee(2)</w:t>
            </w:r>
          </w:p>
        </w:tc>
        <w:tc>
          <w:tcPr>
            <w:tcW w:w="560" w:type="dxa"/>
            <w:vAlign w:val="bottom"/>
          </w:tcPr>
          <w:p>
            <w:pPr>
              <w:spacing w:after="0"/>
              <w:rPr>
                <w:sz w:val="15"/>
                <w:szCs w:val="15"/>
                <w:color w:val="auto"/>
              </w:rPr>
            </w:pPr>
          </w:p>
        </w:tc>
      </w:tr>
      <w:tr>
        <w:trPr>
          <w:trHeight w:val="158"/>
        </w:trPr>
        <w:tc>
          <w:tcPr>
            <w:tcW w:w="37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color w:val="auto"/>
              </w:rPr>
              <w:t>Common Stock, $0.0001 par value per share</w:t>
            </w:r>
          </w:p>
        </w:tc>
        <w:tc>
          <w:tcPr>
            <w:tcW w:w="8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0"/>
                <w:szCs w:val="10"/>
                <w:color w:val="auto"/>
              </w:rPr>
              <w:t>$150,000,000</w:t>
            </w:r>
          </w:p>
        </w:tc>
        <w:tc>
          <w:tcPr>
            <w:tcW w:w="420" w:type="dxa"/>
            <w:vAlign w:val="bottom"/>
            <w:tcBorders>
              <w:bottom w:val="single" w:sz="8" w:color="auto"/>
              <w:right w:val="single" w:sz="8" w:color="auto"/>
            </w:tcBorders>
          </w:tcPr>
          <w:p>
            <w:pPr>
              <w:spacing w:after="0"/>
              <w:rPr>
                <w:sz w:val="13"/>
                <w:szCs w:val="13"/>
                <w:color w:val="auto"/>
              </w:rPr>
            </w:pPr>
          </w:p>
        </w:tc>
        <w:tc>
          <w:tcPr>
            <w:tcW w:w="3580" w:type="dxa"/>
            <w:vAlign w:val="bottom"/>
            <w:tcBorders>
              <w:bottom w:val="single" w:sz="8" w:color="auto"/>
              <w:right w:val="single" w:sz="8" w:color="auto"/>
            </w:tcBorders>
          </w:tcPr>
          <w:p>
            <w:pPr>
              <w:jc w:val="right"/>
              <w:ind w:right="1588"/>
              <w:spacing w:after="0"/>
              <w:rPr>
                <w:sz w:val="20"/>
                <w:szCs w:val="20"/>
                <w:color w:val="auto"/>
              </w:rPr>
            </w:pPr>
            <w:r>
              <w:rPr>
                <w:rFonts w:ascii="Times New Roman" w:cs="Times New Roman" w:eastAsia="Times New Roman" w:hAnsi="Times New Roman"/>
                <w:sz w:val="10"/>
                <w:szCs w:val="10"/>
                <w:color w:val="auto"/>
              </w:rPr>
              <w:t>$16,050</w:t>
            </w:r>
          </w:p>
        </w:tc>
        <w:tc>
          <w:tcPr>
            <w:tcW w:w="560" w:type="dxa"/>
            <w:vAlign w:val="bottom"/>
          </w:tcPr>
          <w:p>
            <w:pPr>
              <w:spacing w:after="0"/>
              <w:rPr>
                <w:sz w:val="13"/>
                <w:szCs w:val="13"/>
                <w:color w:val="auto"/>
              </w:rPr>
            </w:pPr>
          </w:p>
        </w:tc>
      </w:tr>
      <w:tr>
        <w:trPr>
          <w:trHeight w:val="660"/>
        </w:trPr>
        <w:tc>
          <w:tcPr>
            <w:tcW w:w="46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20"/>
          </w:cols>
          <w:pgMar w:left="220" w:top="381" w:right="159" w:bottom="1440" w:gutter="0" w:footer="0" w:header="0"/>
          <w:type w:val="continuous"/>
        </w:sectPr>
      </w:pPr>
    </w:p>
    <w:bookmarkStart w:id="1" w:name="page2"/>
    <w:bookmarkEnd w:id="1"/>
    <w:p>
      <w:pPr>
        <w:ind w:left="580" w:hanging="576"/>
        <w:spacing w:after="0"/>
        <w:tabs>
          <w:tab w:leader="none" w:pos="58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 be merged into GSC Investment Corp. as described in the Explanatory Note on the next page.</w:t>
      </w:r>
    </w:p>
    <w:p>
      <w:pPr>
        <w:spacing w:after="0" w:line="188" w:lineRule="exact"/>
        <w:rPr>
          <w:rFonts w:ascii="Times New Roman" w:cs="Times New Roman" w:eastAsia="Times New Roman" w:hAnsi="Times New Roman"/>
          <w:sz w:val="10"/>
          <w:szCs w:val="10"/>
          <w:color w:val="auto"/>
        </w:rPr>
      </w:pPr>
    </w:p>
    <w:p>
      <w:pPr>
        <w:ind w:left="580" w:hanging="576"/>
        <w:spacing w:after="0"/>
        <w:tabs>
          <w:tab w:leader="none" w:pos="58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pursuant to Rule 457(o) based on an estimate of the proposed maximum aggregate offering price.</w:t>
      </w:r>
    </w:p>
    <w:p>
      <w:pPr>
        <w:spacing w:after="0" w:line="186" w:lineRule="exact"/>
        <w:rPr>
          <w:sz w:val="20"/>
          <w:szCs w:val="20"/>
          <w:color w:val="auto"/>
        </w:rPr>
      </w:pPr>
    </w:p>
    <w:p>
      <w:pPr>
        <w:ind w:firstLine="209"/>
        <w:spacing w:after="0" w:line="25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83450"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3450" cy="32385"/>
                    </a:xfrm>
                    <a:prstGeom prst="rect">
                      <a:avLst/>
                    </a:prstGeom>
                    <a:noFill/>
                  </pic:spPr>
                </pic:pic>
              </a:graphicData>
            </a:graphic>
          </wp:anchor>
        </w:drawing>
      </w:r>
    </w:p>
    <w:p>
      <w:pPr>
        <w:sectPr>
          <w:pgSz w:w="11900" w:h="16838" w:orient="portrait"/>
          <w:cols w:equalWidth="0" w:num="1">
            <w:col w:w="11460"/>
          </w:cols>
          <w:pgMar w:left="220" w:top="505" w:right="21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9"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This registration statement on Form N-2 is being filed by GSC Investment LLC, a Maryland limited liability company. Prior to the closing of the offering described in the prospectus, GSC Investment LLC will merge with and into GSC Investment Corp., a Maryland corporation. Therefore, investors in this offering will only receive, and the prospectus only describes the offering of, shares of common stock of GSC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388620</wp:posOffset>
            </wp:positionV>
            <wp:extent cx="72834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40"/>
          </w:cols>
          <w:pgMar w:left="220" w:top="670" w:right="339" w:bottom="1440" w:gutter="0" w:footer="0" w:header="0"/>
        </w:sectPr>
      </w:pPr>
    </w:p>
    <w:bookmarkStart w:id="3" w:name="page4"/>
    <w:bookmarkEnd w:id="3"/>
    <w:p>
      <w:pPr>
        <w:spacing w:after="0" w:line="267" w:lineRule="auto"/>
        <w:rPr>
          <w:sz w:val="20"/>
          <w:szCs w:val="20"/>
          <w:color w:val="auto"/>
        </w:rPr>
      </w:pPr>
      <w:r>
        <w:rPr>
          <w:rFonts w:ascii="Arial" w:cs="Arial" w:eastAsia="Arial" w:hAnsi="Arial"/>
          <w:sz w:val="14"/>
          <w:szCs w:val="14"/>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FF0000"/>
        </w:rPr>
        <w:t>SUBJECT TO COMPLETION, DATED _______, 2007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 R O S P E C T U 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[LOGO]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Shares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GSC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 w:lineRule="exact"/>
        <w:rPr>
          <w:sz w:val="20"/>
          <w:szCs w:val="20"/>
          <w:color w:val="auto"/>
        </w:rPr>
      </w:pPr>
    </w:p>
    <w:p>
      <w:pPr>
        <w:ind w:left="5620" w:hanging="523"/>
        <w:spacing w:after="0"/>
        <w:tabs>
          <w:tab w:leader="none" w:pos="5620"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173990</wp:posOffset>
            </wp:positionV>
            <wp:extent cx="14687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87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firstLine="209"/>
        <w:spacing w:after="0" w:line="254" w:lineRule="auto"/>
        <w:rPr>
          <w:sz w:val="20"/>
          <w:szCs w:val="20"/>
          <w:color w:val="auto"/>
        </w:rPr>
      </w:pPr>
      <w:r>
        <w:rPr>
          <w:rFonts w:ascii="Times New Roman" w:cs="Times New Roman" w:eastAsia="Times New Roman" w:hAnsi="Times New Roman"/>
          <w:sz w:val="14"/>
          <w:szCs w:val="14"/>
          <w:color w:val="auto"/>
        </w:rPr>
        <w:t>GSC Investment Corp. (the “Company”) is a newly-organized Maryland corporation (the “Company”) that will operate as a closed-end management investment company. We have elected to be treated as a business development company (“BDC”) under the Investment Company Act of 1940, as amended (the “1940 Act”), and we will elect to be taxable as a regulated investment company (“RIC”) for U.S. federal income tax purposes. Our investment objectives are to generate both current income and capital appreciation through debt and, to a lesser extent, equity investments, by primarily investing in private middle market companies. We will use the proceeds of this offering, together with borrowings under the Company Credit Facility, to acquire a portfolio of approximately $216 million in aggregate principal amount of debt investments that consist of first lien and second lien loans, senior secured bonds and unsecured bonds.</w:t>
      </w:r>
    </w:p>
    <w:p>
      <w:pPr>
        <w:spacing w:after="0" w:line="174" w:lineRule="exact"/>
        <w:rPr>
          <w:sz w:val="20"/>
          <w:szCs w:val="20"/>
          <w:color w:val="auto"/>
        </w:rPr>
      </w:pPr>
    </w:p>
    <w:p>
      <w:pPr>
        <w:ind w:right="100" w:firstLine="209"/>
        <w:spacing w:after="0" w:line="270" w:lineRule="auto"/>
        <w:rPr>
          <w:sz w:val="20"/>
          <w:szCs w:val="20"/>
          <w:color w:val="auto"/>
        </w:rPr>
      </w:pPr>
      <w:r>
        <w:rPr>
          <w:rFonts w:ascii="Times New Roman" w:cs="Times New Roman" w:eastAsia="Times New Roman" w:hAnsi="Times New Roman"/>
          <w:sz w:val="14"/>
          <w:szCs w:val="14"/>
          <w:color w:val="auto"/>
        </w:rPr>
        <w:t>We are externally managed and advised by GSCP (NJ), L.P., an SEC-registered investment adviser that, together with certain affiliates, manages investment funds with approximately $14.7 billion of assets under management as of June 30, 2006. GSCP (NJ), L.P., together with certain affiliates, does business as GSC Group.</w:t>
      </w:r>
    </w:p>
    <w:p>
      <w:pPr>
        <w:spacing w:after="0" w:line="161"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We and Citigroup Global Markets, Inc. and J.P. Morgan Securities Inc. (the “underwriters”) reserve the right to withdraw, cancel or modify this offering and reject orders for our common stock in whole or in part.</w:t>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color w:val="auto"/>
        </w:rPr>
        <w:t>Our common stock has no history of public trading. Common stock of closed-end investment companies, including BDCs, frequently trades at a discount to their net asset value. If our common</w:t>
      </w:r>
    </w:p>
    <w:p>
      <w:pPr>
        <w:spacing w:after="0" w:line="41" w:lineRule="exact"/>
        <w:rPr>
          <w:sz w:val="20"/>
          <w:szCs w:val="20"/>
          <w:color w:val="auto"/>
        </w:rPr>
      </w:pPr>
    </w:p>
    <w:p>
      <w:pPr>
        <w:spacing w:after="0"/>
        <w:tabs>
          <w:tab w:leader="none" w:pos="9000" w:val="left"/>
          <w:tab w:leader="none" w:pos="9500" w:val="left"/>
        </w:tabs>
        <w:rPr>
          <w:sz w:val="20"/>
          <w:szCs w:val="20"/>
          <w:color w:val="auto"/>
        </w:rPr>
      </w:pPr>
      <w:r>
        <w:rPr>
          <w:rFonts w:ascii="Times New Roman" w:cs="Times New Roman" w:eastAsia="Times New Roman" w:hAnsi="Times New Roman"/>
          <w:sz w:val="14"/>
          <w:szCs w:val="14"/>
          <w:b w:val="1"/>
          <w:bCs w:val="1"/>
          <w:color w:val="auto"/>
        </w:rPr>
        <w:t xml:space="preserve">stock trades at a discount, it may increase the risk of loss for purchasers of this offering. </w:t>
      </w:r>
      <w:r>
        <w:rPr>
          <w:rFonts w:ascii="Times New Roman" w:cs="Times New Roman" w:eastAsia="Times New Roman" w:hAnsi="Times New Roman"/>
          <w:sz w:val="14"/>
          <w:szCs w:val="14"/>
          <w:color w:val="auto"/>
        </w:rPr>
        <w:t>We currently expect the initial public offering price to be between $</w:t>
      </w:r>
      <w:r>
        <w:rPr>
          <w:sz w:val="20"/>
          <w:szCs w:val="20"/>
          <w:color w:val="auto"/>
        </w:rPr>
        <w:tab/>
      </w:r>
      <w:r>
        <w:rPr>
          <w:rFonts w:ascii="Times New Roman" w:cs="Times New Roman" w:eastAsia="Times New Roman" w:hAnsi="Times New Roman"/>
          <w:sz w:val="14"/>
          <w:szCs w:val="14"/>
          <w:color w:val="auto"/>
        </w:rPr>
        <w:t>and $</w:t>
      </w:r>
      <w:r>
        <w:rPr>
          <w:sz w:val="20"/>
          <w:szCs w:val="20"/>
          <w:color w:val="auto"/>
        </w:rPr>
        <w:tab/>
      </w:r>
      <w:r>
        <w:rPr>
          <w:rFonts w:ascii="Times New Roman" w:cs="Times New Roman" w:eastAsia="Times New Roman" w:hAnsi="Times New Roman"/>
          <w:sz w:val="12"/>
          <w:szCs w:val="12"/>
          <w:color w:val="auto"/>
        </w:rPr>
        <w:t>per share. We have applied to have</w:t>
      </w:r>
    </w:p>
    <w:p>
      <w:pPr>
        <w:spacing w:after="0" w:line="6"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4"/>
          <w:szCs w:val="14"/>
          <w:color w:val="auto"/>
        </w:rPr>
        <w:t>our common stock included for quotation on the NASDAQ Global Market under the symbol “</w:t>
      </w:r>
      <w:r>
        <w:rPr>
          <w:sz w:val="20"/>
          <w:szCs w:val="20"/>
          <w:color w:val="auto"/>
        </w:rPr>
        <w:tab/>
      </w:r>
      <w:r>
        <w:rPr>
          <w:rFonts w:ascii="Times New Roman" w:cs="Times New Roman" w:eastAsia="Times New Roman" w:hAnsi="Times New Roman"/>
          <w:sz w:val="14"/>
          <w:szCs w:val="14"/>
          <w:color w:val="auto"/>
        </w:rPr>
        <w:t>.”</w:t>
      </w:r>
    </w:p>
    <w:p>
      <w:pPr>
        <w:spacing w:after="0" w:line="187" w:lineRule="exact"/>
        <w:rPr>
          <w:sz w:val="20"/>
          <w:szCs w:val="20"/>
          <w:color w:val="auto"/>
        </w:rPr>
      </w:pPr>
    </w:p>
    <w:p>
      <w:pPr>
        <w:ind w:firstLine="209"/>
        <w:spacing w:after="0" w:line="298" w:lineRule="auto"/>
        <w:rPr>
          <w:sz w:val="20"/>
          <w:szCs w:val="20"/>
          <w:color w:val="auto"/>
        </w:rPr>
      </w:pPr>
      <w:r>
        <w:rPr>
          <w:rFonts w:ascii="Times New Roman" w:cs="Times New Roman" w:eastAsia="Times New Roman" w:hAnsi="Times New Roman"/>
          <w:sz w:val="12"/>
          <w:szCs w:val="12"/>
          <w:color w:val="auto"/>
        </w:rPr>
        <w:t>GSC Group and/or its affiliates have contributed to us all of their rights and interests in GSC Partners CDO Fund III, Limited (“CDO Fund III”) in exchange for common shares of GSC Investment LLC (our predecessor entity). These common shares will be converted into shares of our common stock following our reorganization to a Maryland corporation prior to the completion of this offering. Based on the value</w:t>
      </w:r>
    </w:p>
    <w:tbl>
      <w:tblPr>
        <w:tblLayout w:type="fixed"/>
        <w:tblInd w:w="0" w:type="dxa"/>
        <w:tblCellMar>
          <w:top w:w="0" w:type="dxa"/>
          <w:left w:w="0" w:type="dxa"/>
          <w:bottom w:w="0" w:type="dxa"/>
          <w:right w:w="0" w:type="dxa"/>
        </w:tblCellMar>
      </w:tblPr>
      <w:tr>
        <w:trPr>
          <w:trHeight w:val="160"/>
        </w:trPr>
        <w:tc>
          <w:tcPr>
            <w:tcW w:w="20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of the interests of CDO Fund III at</w:t>
            </w:r>
          </w:p>
        </w:tc>
        <w:tc>
          <w:tcPr>
            <w:tcW w:w="266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color w:val="auto"/>
              </w:rPr>
              <w:t>, GSC Group’s contribution was valued at $</w:t>
            </w:r>
          </w:p>
        </w:tc>
        <w:tc>
          <w:tcPr>
            <w:tcW w:w="192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color w:val="auto"/>
              </w:rPr>
              <w:t>. Assuming gross proceeds of $</w:t>
            </w:r>
          </w:p>
        </w:tc>
        <w:tc>
          <w:tcPr>
            <w:tcW w:w="180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color w:val="auto"/>
                <w:w w:val="96"/>
              </w:rPr>
              <w:t>and a public offering price of $</w:t>
            </w:r>
          </w:p>
        </w:tc>
        <w:tc>
          <w:tcPr>
            <w:tcW w:w="2580" w:type="dxa"/>
            <w:vAlign w:val="bottom"/>
            <w:gridSpan w:val="5"/>
          </w:tcPr>
          <w:p>
            <w:pPr>
              <w:ind w:left="200"/>
              <w:spacing w:after="0" w:line="160" w:lineRule="exact"/>
              <w:rPr>
                <w:sz w:val="20"/>
                <w:szCs w:val="20"/>
                <w:color w:val="auto"/>
              </w:rPr>
            </w:pPr>
            <w:r>
              <w:rPr>
                <w:rFonts w:ascii="Times New Roman" w:cs="Times New Roman" w:eastAsia="Times New Roman" w:hAnsi="Times New Roman"/>
                <w:sz w:val="14"/>
                <w:szCs w:val="14"/>
                <w:color w:val="auto"/>
                <w:w w:val="96"/>
              </w:rPr>
              <w:t>per share, affiliates of GSC Group will hold</w:t>
            </w:r>
          </w:p>
        </w:tc>
      </w:tr>
      <w:tr>
        <w:trPr>
          <w:trHeight w:val="175"/>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approximately</w:t>
            </w:r>
          </w:p>
        </w:tc>
        <w:tc>
          <w:tcPr>
            <w:tcW w:w="8400" w:type="dxa"/>
            <w:vAlign w:val="bottom"/>
            <w:gridSpan w:val="5"/>
          </w:tcPr>
          <w:p>
            <w:pPr>
              <w:jc w:val="right"/>
              <w:ind w:right="622"/>
              <w:spacing w:after="0"/>
              <w:rPr>
                <w:sz w:val="20"/>
                <w:szCs w:val="20"/>
                <w:color w:val="auto"/>
              </w:rPr>
            </w:pPr>
            <w:r>
              <w:rPr>
                <w:rFonts w:ascii="Times New Roman" w:cs="Times New Roman" w:eastAsia="Times New Roman" w:hAnsi="Times New Roman"/>
                <w:sz w:val="14"/>
                <w:szCs w:val="14"/>
                <w:color w:val="auto"/>
                <w:w w:val="96"/>
              </w:rPr>
              <w:t>% of our common stock outstanding upon completion of this offering (assuming the underwriters do not exercise their over-allotment option).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6"/>
        </w:trPr>
        <w:tc>
          <w:tcPr>
            <w:tcW w:w="160" w:type="dxa"/>
            <w:vAlign w:val="bottom"/>
          </w:tcPr>
          <w:p>
            <w:pPr>
              <w:spacing w:after="0"/>
              <w:rPr>
                <w:sz w:val="24"/>
                <w:szCs w:val="24"/>
                <w:color w:val="auto"/>
              </w:rPr>
            </w:pPr>
          </w:p>
        </w:tc>
        <w:tc>
          <w:tcPr>
            <w:tcW w:w="65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Investing in our common stock involves risks. See “Risk Factors” beginning on page 21.</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9"/>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Total (1)</w:t>
            </w:r>
          </w:p>
        </w:tc>
      </w:tr>
      <w:tr>
        <w:trPr>
          <w:trHeight w:val="73"/>
        </w:trPr>
        <w:tc>
          <w:tcPr>
            <w:tcW w:w="1160" w:type="dxa"/>
            <w:vAlign w:val="bottom"/>
            <w:gridSpan w:val="2"/>
          </w:tcPr>
          <w:p>
            <w:pPr>
              <w:spacing w:after="0"/>
              <w:rPr>
                <w:sz w:val="6"/>
                <w:szCs w:val="6"/>
                <w:color w:val="auto"/>
              </w:rPr>
            </w:pPr>
          </w:p>
        </w:tc>
        <w:tc>
          <w:tcPr>
            <w:tcW w:w="9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r>
      <w:tr>
        <w:trPr>
          <w:trHeight w:val="2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5"/>
              </w:rPr>
              <w:t>Public Offering Price</w:t>
            </w:r>
          </w:p>
        </w:tc>
        <w:tc>
          <w:tcPr>
            <w:tcW w:w="9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00" w:type="dxa"/>
            <w:vAlign w:val="bottom"/>
          </w:tcPr>
          <w:p>
            <w:pPr>
              <w:jc w:val="right"/>
              <w:ind w:right="98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88"/>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Underwriting Discount</w:t>
            </w:r>
          </w:p>
        </w:tc>
        <w:tc>
          <w:tcPr>
            <w:tcW w:w="2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00" w:type="dxa"/>
            <w:vAlign w:val="bottom"/>
          </w:tcPr>
          <w:p>
            <w:pPr>
              <w:jc w:val="right"/>
              <w:ind w:right="98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r>
      <w:tr>
        <w:trPr>
          <w:trHeight w:val="188"/>
        </w:trPr>
        <w:tc>
          <w:tcPr>
            <w:tcW w:w="4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Proceeds to the Company (before expenses) (2)</w:t>
            </w:r>
          </w:p>
        </w:tc>
        <w:tc>
          <w:tcPr>
            <w:tcW w:w="1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00" w:type="dxa"/>
            <w:vAlign w:val="bottom"/>
          </w:tcPr>
          <w:p>
            <w:pPr>
              <w:jc w:val="right"/>
              <w:ind w:right="98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r>
      <w:tr>
        <w:trPr>
          <w:trHeight w:val="294"/>
        </w:trPr>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10880" w:type="dxa"/>
            <w:vAlign w:val="bottom"/>
            <w:gridSpan w:val="10"/>
          </w:tcPr>
          <w:p>
            <w:pPr>
              <w:ind w:left="380"/>
              <w:spacing w:after="0"/>
              <w:rPr>
                <w:sz w:val="20"/>
                <w:szCs w:val="20"/>
                <w:color w:val="auto"/>
              </w:rPr>
            </w:pPr>
            <w:r>
              <w:rPr>
                <w:rFonts w:ascii="Times New Roman" w:cs="Times New Roman" w:eastAsia="Times New Roman" w:hAnsi="Times New Roman"/>
                <w:sz w:val="10"/>
                <w:szCs w:val="10"/>
                <w:color w:val="auto"/>
              </w:rPr>
              <w:t>We have granted the underwriters an option to purchase up to    additional shares of our common stock to cover over-allotments. The amount listed under underwriting discount above represents the actual aggregate underwriting discount to be</w:t>
            </w:r>
          </w:p>
        </w:tc>
      </w:tr>
      <w:tr>
        <w:trPr>
          <w:trHeight w:val="127"/>
        </w:trPr>
        <w:tc>
          <w:tcPr>
            <w:tcW w:w="160" w:type="dxa"/>
            <w:vAlign w:val="bottom"/>
          </w:tcPr>
          <w:p>
            <w:pPr>
              <w:spacing w:after="0"/>
              <w:rPr>
                <w:sz w:val="11"/>
                <w:szCs w:val="11"/>
                <w:color w:val="auto"/>
              </w:rPr>
            </w:pP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paid by us.</w:t>
            </w:r>
          </w:p>
        </w:tc>
        <w:tc>
          <w:tcPr>
            <w:tcW w:w="9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ind w:left="540" w:hanging="536"/>
        <w:spacing w:after="0"/>
        <w:tabs>
          <w:tab w:leader="none" w:pos="54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estimate that we will incur approximately $ in expenses in connection with this offering.</w:t>
      </w:r>
    </w:p>
    <w:p>
      <w:pPr>
        <w:spacing w:after="0" w:line="174" w:lineRule="exact"/>
        <w:rPr>
          <w:sz w:val="20"/>
          <w:szCs w:val="20"/>
          <w:color w:val="auto"/>
        </w:rPr>
      </w:pPr>
    </w:p>
    <w:p>
      <w:pPr>
        <w:ind w:right="40" w:firstLine="209"/>
        <w:spacing w:after="0" w:line="255" w:lineRule="auto"/>
        <w:rPr>
          <w:sz w:val="20"/>
          <w:szCs w:val="20"/>
          <w:color w:val="auto"/>
        </w:rPr>
      </w:pPr>
      <w:r>
        <w:rPr>
          <w:rFonts w:ascii="Times New Roman" w:cs="Times New Roman" w:eastAsia="Times New Roman" w:hAnsi="Times New Roman"/>
          <w:sz w:val="14"/>
          <w:szCs w:val="14"/>
          <w:b w:val="1"/>
          <w:bCs w:val="1"/>
          <w:color w:val="auto"/>
        </w:rPr>
        <w:t>This prospectus contains important information about us that you should know before investing in our common stock. Please read it before making an investment decision and keep it for future reference. After completion of this offering, we will be required to file annual, quarterly and current reports, proxy statements and other information about us with the Securities and Exchange Commission. This information will be available free of charge by writing to GSC Group, Investor Services, 300 Campus Drive, Suite 110, Florham Park, New Jersey 07932 or by telephone by calling collect at 973-437-1000 (Investor Services). We do not currently maintain a website. You may obtain information about us from the Securities and Exchange Commission’s website (http://www.sec.gov).</w:t>
      </w:r>
    </w:p>
    <w:p>
      <w:pPr>
        <w:spacing w:after="0" w:line="3" w:lineRule="exact"/>
        <w:rPr>
          <w:sz w:val="20"/>
          <w:szCs w:val="20"/>
          <w:color w:val="auto"/>
        </w:rPr>
      </w:pPr>
    </w:p>
    <w:p>
      <w:pPr>
        <w:ind w:firstLine="209"/>
        <w:spacing w:after="0" w:line="26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tbl>
      <w:tblPr>
        <w:tblLayout w:type="fixed"/>
        <w:tblInd w:w="220" w:type="dxa"/>
        <w:tblCellMar>
          <w:top w:w="0" w:type="dxa"/>
          <w:left w:w="0" w:type="dxa"/>
          <w:bottom w:w="0" w:type="dxa"/>
          <w:right w:w="0" w:type="dxa"/>
        </w:tblCellMar>
      </w:tblPr>
      <w:tr>
        <w:trPr>
          <w:trHeight w:val="179"/>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underwriters expect to deliver the stock to purchasers on or about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107315</wp:posOffset>
            </wp:positionV>
            <wp:extent cx="14687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8755" cy="635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Citigroup</w:t>
            </w:r>
          </w:p>
        </w:tc>
        <w:tc>
          <w:tcPr>
            <w:tcW w:w="8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JPMorgan</w:t>
            </w:r>
          </w:p>
        </w:tc>
      </w:tr>
      <w:tr>
        <w:trPr>
          <w:trHeight w:val="329"/>
        </w:trPr>
        <w:tc>
          <w:tcPr>
            <w:tcW w:w="3180" w:type="dxa"/>
            <w:vAlign w:val="bottom"/>
          </w:tcPr>
          <w:p>
            <w:pPr>
              <w:spacing w:after="0"/>
              <w:rPr>
                <w:sz w:val="24"/>
                <w:szCs w:val="24"/>
                <w:color w:val="auto"/>
              </w:rPr>
            </w:pPr>
          </w:p>
        </w:tc>
        <w:tc>
          <w:tcPr>
            <w:tcW w:w="8280" w:type="dxa"/>
            <w:vAlign w:val="bottom"/>
          </w:tcPr>
          <w:p>
            <w:pPr>
              <w:jc w:val="right"/>
              <w:ind w:right="5479"/>
              <w:spacing w:after="0"/>
              <w:rPr>
                <w:sz w:val="20"/>
                <w:szCs w:val="20"/>
                <w:color w:val="auto"/>
              </w:rPr>
            </w:pPr>
            <w:r>
              <w:rPr>
                <w:rFonts w:ascii="Times New Roman" w:cs="Times New Roman" w:eastAsia="Times New Roman" w:hAnsi="Times New Roman"/>
                <w:sz w:val="14"/>
                <w:szCs w:val="14"/>
                <w:color w:val="auto"/>
              </w:rPr>
              <w:t>, 2007</w:t>
            </w:r>
          </w:p>
        </w:tc>
      </w:tr>
      <w:tr>
        <w:trPr>
          <w:trHeight w:val="646"/>
        </w:trPr>
        <w:tc>
          <w:tcPr>
            <w:tcW w:w="318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460"/>
          </w:cols>
          <w:pgMar w:left="220" w:top="482" w:right="219" w:bottom="1440" w:gutter="0" w:footer="0" w:header="0"/>
        </w:sectPr>
      </w:pPr>
    </w:p>
    <w:bookmarkStart w:id="4" w:name="page5"/>
    <w:bookmarkEnd w:id="4"/>
    <w:p>
      <w:pPr>
        <w:ind w:right="100" w:firstLine="209"/>
        <w:spacing w:after="0" w:line="362" w:lineRule="auto"/>
        <w:rPr>
          <w:sz w:val="20"/>
          <w:szCs w:val="20"/>
          <w:color w:val="auto"/>
        </w:rPr>
      </w:pPr>
      <w:r>
        <w:rPr>
          <w:rFonts w:ascii="Times New Roman" w:cs="Times New Roman" w:eastAsia="Times New Roman" w:hAnsi="Times New Roman"/>
          <w:sz w:val="12"/>
          <w:szCs w:val="12"/>
          <w:b w:val="1"/>
          <w:bCs w:val="1"/>
          <w:color w:val="auto"/>
        </w:rPr>
        <w:t>You should rely only on the information contained in this prospectus. We have not authorized anyone to provide you with different information. We are not making an offer of these securities in any state where the offer is not permitted. You should not assume that the information contained in this prospectus is accurate as of any date other than the date on the front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116205</wp:posOffset>
            </wp:positionV>
            <wp:extent cx="11099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9980"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7440" w:type="dxa"/>
            <w:vAlign w:val="bottom"/>
            <w:gridSpan w:val="2"/>
          </w:tcPr>
          <w:p>
            <w:pPr>
              <w:jc w:val="right"/>
              <w:ind w:right="4932"/>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536"/>
        </w:trPr>
        <w:tc>
          <w:tcPr>
            <w:tcW w:w="4020" w:type="dxa"/>
            <w:vAlign w:val="bottom"/>
          </w:tcPr>
          <w:p>
            <w:pPr>
              <w:spacing w:after="0"/>
              <w:rPr>
                <w:sz w:val="24"/>
                <w:szCs w:val="24"/>
                <w:color w:val="auto"/>
              </w:rPr>
            </w:pP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8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Forward-Looking Statements</w:t>
            </w:r>
          </w:p>
        </w:tc>
        <w:tc>
          <w:tcPr>
            <w:tcW w:w="718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Prospectus Summary</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The Offering</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Fees and Expenses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Use of Proceeds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Dividend Reinvestment Plan</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Capitalization</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Discussion of Management’s Expected Operating Plans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Obligations and Indebtedness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Business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Management</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Certain Relationships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Control Persons and Principal Stockholders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Securities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Determination of Net Asset Value</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Material U.S. Federal Income Tax Considerations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Description of Our Common Stock</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Regulation</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Transfer and Dividend Paying Agent and Registrar</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Brokerage Allocation and Other Practices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Shares Eligible For Future Sale</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Underwriting</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Legal Matters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Independent Registered Public Accountants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Available Information</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293370</wp:posOffset>
            </wp:positionV>
            <wp:extent cx="110998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99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tabs>
          <w:tab w:leader="none" w:pos="1180" w:val="left"/>
        </w:tabs>
        <w:rPr>
          <w:sz w:val="20"/>
          <w:szCs w:val="20"/>
          <w:color w:val="auto"/>
        </w:rPr>
      </w:pPr>
      <w:r>
        <w:rPr>
          <w:rFonts w:ascii="Times New Roman" w:cs="Times New Roman" w:eastAsia="Times New Roman" w:hAnsi="Times New Roman"/>
          <w:sz w:val="12"/>
          <w:szCs w:val="12"/>
          <w:color w:val="auto"/>
        </w:rPr>
        <w:t>Until</w:t>
      </w:r>
      <w:r>
        <w:rPr>
          <w:sz w:val="20"/>
          <w:szCs w:val="20"/>
          <w:color w:val="auto"/>
        </w:rPr>
        <w:tab/>
      </w:r>
      <w:r>
        <w:rPr>
          <w:rFonts w:ascii="Times New Roman" w:cs="Times New Roman" w:eastAsia="Times New Roman" w:hAnsi="Times New Roman"/>
          <w:sz w:val="12"/>
          <w:szCs w:val="12"/>
          <w:color w:val="auto"/>
        </w:rPr>
        <w:t>, 2006 (25 days after the date of this prospectus), all dealers that buy, sell or trade our common stock, whether or not participating in this offering, may be required to deliver a prospectus.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is in addition to the dealers’ obligation to deliver a prospectus when acting as underwriters and with respect to their unsold allotments or subscriptions.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1" w:right="21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99" w:lineRule="exact"/>
        <w:rPr>
          <w:sz w:val="20"/>
          <w:szCs w:val="20"/>
          <w:color w:val="auto"/>
        </w:rPr>
      </w:pPr>
    </w:p>
    <w:p>
      <w:pPr>
        <w:ind w:right="40" w:firstLine="209"/>
        <w:spacing w:after="0" w:line="256" w:lineRule="auto"/>
        <w:rPr>
          <w:sz w:val="20"/>
          <w:szCs w:val="20"/>
          <w:color w:val="auto"/>
        </w:rPr>
      </w:pPr>
      <w:r>
        <w:rPr>
          <w:rFonts w:ascii="Times New Roman" w:cs="Times New Roman" w:eastAsia="Times New Roman" w:hAnsi="Times New Roman"/>
          <w:sz w:val="14"/>
          <w:szCs w:val="14"/>
          <w:color w:val="auto"/>
        </w:rPr>
        <w:t>Some of the statements under “Prospectus Summary,” “Risk Factors,” “Distributions,” “Discussion of Management’s Expected Operating Plans,” “Business” and elsewhere in this prospectus constitute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“project,” “should,” “will” and “would” or the negative of these terms or other comparable terminology.</w:t>
      </w:r>
    </w:p>
    <w:p>
      <w:pPr>
        <w:spacing w:after="0" w:line="171"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forward-looking statements contained in this prospectus involve risks and uncertainties, including the risks listed under “Risk Factors” herein as well as the statements as to:</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lack of operating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ability to effectively deploy the proceeds raised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changes in economic conditions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right="200"/>
        <w:spacing w:after="0" w:line="302" w:lineRule="auto"/>
        <w:rPr>
          <w:sz w:val="20"/>
          <w:szCs w:val="20"/>
          <w:color w:val="auto"/>
        </w:rPr>
      </w:pPr>
      <w:r>
        <w:rPr>
          <w:rFonts w:ascii="Times New Roman" w:cs="Times New Roman" w:eastAsia="Times New Roman" w:hAnsi="Times New Roman"/>
          <w:sz w:val="14"/>
          <w:szCs w:val="14"/>
          <w:color w:val="auto"/>
        </w:rPr>
        <w:t>our dependence on GSCP (NJ), L.P., our investment adviser, and ability to find a suitable replacement if our investment adviser were to terminate its investment advisory and management agreement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existence of conflicts of interest in our relationship with GSCP (NJ), L.P. and/or its affiliates, which could result in decisions that are not in the best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limitations imposed on our business by our intended registration under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changes in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general volatility of the securities markets and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availability of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changes in our industry, interest rates or the general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degree and nature of our competition;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changes in governmental regulations, tax laws and tax rates and other similar matters which may affect us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0" w:right="2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97" w:lineRule="exact"/>
        <w:rPr>
          <w:sz w:val="20"/>
          <w:szCs w:val="20"/>
          <w:color w:val="auto"/>
        </w:rPr>
      </w:pPr>
    </w:p>
    <w:p>
      <w:pPr>
        <w:ind w:right="200" w:firstLine="209"/>
        <w:spacing w:after="0" w:line="308" w:lineRule="auto"/>
        <w:rPr>
          <w:sz w:val="20"/>
          <w:szCs w:val="20"/>
          <w:color w:val="auto"/>
        </w:rPr>
      </w:pPr>
      <w:r>
        <w:rPr>
          <w:rFonts w:ascii="Times New Roman" w:cs="Times New Roman" w:eastAsia="Times New Roman" w:hAnsi="Times New Roman"/>
          <w:sz w:val="12"/>
          <w:szCs w:val="12"/>
          <w:i w:val="1"/>
          <w:iCs w:val="1"/>
          <w:color w:val="auto"/>
        </w:rPr>
        <w:t>This summary highlights some of the information in this prospectus. It is not complete and does not contain all of the information that you should consider. You should read carefully the more detailed information in this prospectus, especially information set forth under “Risk Factors” and the other information included in this prospectus. Except where the context suggests otherwise, the terms the “Company,” “we,” “us” and “our” refer to GSC Investment Corp., a Maryland corporation; “GSC Group” refers collectively to GSCP (NJ), L.P., GSCP LLC, GSCP (NJ) Holdings, L.P. and GSC Group Limited, which do business as GSC Group, formerly known as GSC Partners, and are substantially owned by its management and employees; and our “investment adviser” and our “administrator” refer to GSCP (NJ), L.P. The information presented in this prospectus assumes, unless the context otherwise indicates, that the over-allotment option of the underwriters is not exercised.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99" w:lineRule="exact"/>
        <w:rPr>
          <w:sz w:val="20"/>
          <w:szCs w:val="20"/>
          <w:color w:val="auto"/>
        </w:rPr>
      </w:pPr>
    </w:p>
    <w:p>
      <w:pPr>
        <w:ind w:right="20" w:firstLine="209"/>
        <w:spacing w:after="0" w:line="254" w:lineRule="auto"/>
        <w:rPr>
          <w:sz w:val="20"/>
          <w:szCs w:val="20"/>
          <w:color w:val="auto"/>
        </w:rPr>
      </w:pPr>
      <w:r>
        <w:rPr>
          <w:rFonts w:ascii="Times New Roman" w:cs="Times New Roman" w:eastAsia="Times New Roman" w:hAnsi="Times New Roman"/>
          <w:sz w:val="14"/>
          <w:szCs w:val="14"/>
          <w:color w:val="auto"/>
        </w:rPr>
        <w:t>GSC Investment Corp. is a newly-organized Maryland corporation that will operate as a closed-end management investment company that has elected to be treated as a business development company (“BDC”) under the Investment Company Act of 1940 (the “1940 Act”). Our investment objectives are to generate both current income and capital appreciation through debt and, to a lesser extent, equity investments, by primarily investing in first and second lien loans and mezzanine debt of private middle market companies. Our operations will be externally managed and advised by our investment adviser, GSCP (NJ), L.P., pursuant to an investment management agreement. We intend to elect to be treated for U.S. federal income tax purposes as a regulated investment company (“RIC”) under Subchapter M of the Code.</w:t>
      </w:r>
    </w:p>
    <w:p>
      <w:pPr>
        <w:spacing w:after="0" w:line="174" w:lineRule="exact"/>
        <w:rPr>
          <w:sz w:val="20"/>
          <w:szCs w:val="20"/>
          <w:color w:val="auto"/>
        </w:rPr>
      </w:pPr>
    </w:p>
    <w:p>
      <w:pPr>
        <w:ind w:firstLine="209"/>
        <w:spacing w:after="0" w:line="293" w:lineRule="auto"/>
        <w:rPr>
          <w:sz w:val="20"/>
          <w:szCs w:val="20"/>
          <w:color w:val="auto"/>
        </w:rPr>
      </w:pPr>
      <w:r>
        <w:rPr>
          <w:rFonts w:ascii="Times New Roman" w:cs="Times New Roman" w:eastAsia="Times New Roman" w:hAnsi="Times New Roman"/>
          <w:sz w:val="12"/>
          <w:szCs w:val="12"/>
          <w:color w:val="auto"/>
        </w:rPr>
        <w:t>We have entered into a portfolio acquisition agreement with GSC Partners CDO Fund III, Limited, a Cayman Islands exempted company (“CDO Fund III”), pursuant to which we have agreed to purchase for cash a portfolio of approximately $216 million of debt investments that consist of first lien and second lien loans, senior secured bonds and unsecured bonds originated by GSC Group (the “Portfolio”). We intend to use the net proceeds of this offering and borrowings under our senior secured revolving Credit Facility (the “Company Credit Facility”) to complete this acquisition promptly following the closing of this offering. We also intend to make additional investments that are consistent with our investment strategy. Over time we anticipate that the amount of senior secured and unsecured bonds will decrease as a percentage of our total assets as we add mezzanine debt and new first and second lien loan assets to the portfolio. See “—Liquidity” and “Business—Prospective investments—The Portfolio.” In addition, GSC Group and/or its affiliates has contributed to us all of their interests in CDO Fund III in exchange for common shares of GSC Investment LLC (our predecessor entity). These common shares will be converted into shares of our common stock following our reorganization to a Maryland corporation prior to the completion of this offering (the “Contribution”). Based on the value of CDO Fund III at June 30, 2006, GSC</w:t>
      </w:r>
    </w:p>
    <w:p>
      <w:pPr>
        <w:spacing w:after="0" w:line="1"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4"/>
          <w:szCs w:val="14"/>
          <w:color w:val="auto"/>
        </w:rPr>
        <w:t>Group’s contribution of these interests would be valued at . See “Contribution.” As a result of the Restructuring, we expect to receive distributions of incentive fee income and to generate capital appreciation from our investment in CDO Fund III.</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summary</w:t>
      </w:r>
    </w:p>
    <w:p>
      <w:pPr>
        <w:spacing w:after="0" w:line="199" w:lineRule="exact"/>
        <w:rPr>
          <w:sz w:val="20"/>
          <w:szCs w:val="20"/>
          <w:color w:val="auto"/>
        </w:rPr>
      </w:pPr>
    </w:p>
    <w:p>
      <w:pPr>
        <w:ind w:right="160" w:firstLine="209"/>
        <w:spacing w:after="0" w:line="312" w:lineRule="auto"/>
        <w:rPr>
          <w:sz w:val="20"/>
          <w:szCs w:val="20"/>
          <w:color w:val="auto"/>
        </w:rPr>
      </w:pPr>
      <w:r>
        <w:rPr>
          <w:rFonts w:ascii="Times New Roman" w:cs="Times New Roman" w:eastAsia="Times New Roman" w:hAnsi="Times New Roman"/>
          <w:sz w:val="12"/>
          <w:szCs w:val="12"/>
          <w:color w:val="auto"/>
        </w:rPr>
        <w:t>We anticipate that our portfolio will be comprised primarily of investments in first and second lien loans and mezzanine debt, which will be sourced through a network of relationships with commercial finance companies and commercial and investment banks, as well as through our relationships with financial sponsors. The capital that we provide is generally used to fund buyouts, acquisitions, growth, recapitalizations, note purchases and other types of financing. First and second lien loans are generally senior debt instruments that rank ahead of subordinated debt of the portfolio company. These loans also have the benefit of security interests on the assets of the portfolio company, which may rank ahead of, or be junior to, other security interests. Mezzanine debt is subordinated to senior loans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0" w:right="259" w:bottom="1440" w:gutter="0" w:footer="0" w:header="0"/>
        </w:sectPr>
      </w:pPr>
    </w:p>
    <w:bookmarkStart w:id="7" w:name="page8"/>
    <w:bookmarkEnd w:id="7"/>
    <w:p>
      <w:pPr>
        <w:ind w:right="180"/>
        <w:spacing w:after="0" w:line="323" w:lineRule="auto"/>
        <w:rPr>
          <w:sz w:val="20"/>
          <w:szCs w:val="20"/>
          <w:color w:val="auto"/>
        </w:rPr>
      </w:pPr>
      <w:r>
        <w:rPr>
          <w:rFonts w:ascii="Times New Roman" w:cs="Times New Roman" w:eastAsia="Times New Roman" w:hAnsi="Times New Roman"/>
          <w:sz w:val="12"/>
          <w:szCs w:val="12"/>
          <w:color w:val="auto"/>
        </w:rPr>
        <w:t>and is generally unsecured. In some cases, we may also receive warrants or options in connection with our debt investments. We also anticipate, to a lesser extent, making equity investments in private middle market companies. Investments in warrants, options or other equity investments may be made in conjunction with loans we make to these companies. In this prospectus, we generally use the term “middle market” to refer to companies with annual EBITDA between $5 million and $50 million. EBITDA represents earnings before net interest expense, income taxes, depreciation and amortization.</w:t>
      </w:r>
    </w:p>
    <w:p>
      <w:pPr>
        <w:spacing w:after="0" w:line="134" w:lineRule="exact"/>
        <w:rPr>
          <w:sz w:val="20"/>
          <w:szCs w:val="20"/>
          <w:color w:val="auto"/>
        </w:rPr>
      </w:pPr>
    </w:p>
    <w:p>
      <w:pPr>
        <w:ind w:right="160" w:firstLine="209"/>
        <w:spacing w:after="0" w:line="256" w:lineRule="auto"/>
        <w:rPr>
          <w:sz w:val="20"/>
          <w:szCs w:val="20"/>
          <w:color w:val="auto"/>
        </w:rPr>
      </w:pPr>
      <w:r>
        <w:rPr>
          <w:rFonts w:ascii="Times New Roman" w:cs="Times New Roman" w:eastAsia="Times New Roman" w:hAnsi="Times New Roman"/>
          <w:sz w:val="14"/>
          <w:szCs w:val="14"/>
          <w:color w:val="auto"/>
        </w:rPr>
        <w:t>We expect that the first and second lien loans will generally have stated terms of three to ten years and that the mezzanine debt will generally have stated terms of up to ten years, but that the expected average life of such first and second lien loans and mezzanine debt will generally be between three and seven years. However, there is no limit on the maturity or duration of any security in our portfolio. The debt that we invest in will typically not be rated by any rating agency, but we believe that if such investments were rated, they would be below investment grade (rated lower than “Baa3” by Moody’s or lower than “BBB-” by Standard &amp; Poor’s). We may invest without limit in debt that has not been rated.</w:t>
      </w:r>
    </w:p>
    <w:p>
      <w:pPr>
        <w:spacing w:after="0" w:line="171" w:lineRule="exact"/>
        <w:rPr>
          <w:sz w:val="20"/>
          <w:szCs w:val="20"/>
          <w:color w:val="auto"/>
        </w:rPr>
      </w:pPr>
    </w:p>
    <w:p>
      <w:pPr>
        <w:ind w:firstLine="209"/>
        <w:spacing w:after="0" w:line="307" w:lineRule="auto"/>
        <w:rPr>
          <w:sz w:val="20"/>
          <w:szCs w:val="20"/>
          <w:color w:val="auto"/>
        </w:rPr>
      </w:pPr>
      <w:r>
        <w:rPr>
          <w:rFonts w:ascii="Times New Roman" w:cs="Times New Roman" w:eastAsia="Times New Roman" w:hAnsi="Times New Roman"/>
          <w:sz w:val="12"/>
          <w:szCs w:val="12"/>
          <w:color w:val="auto"/>
        </w:rPr>
        <w:t>While our primary focus will be to generate both current income and capital appreciation through investments in debt and, to a lesser extent, equity securities of private middle market companies, we intend to invest up to 30% of our assets in opportunistic investments identified by our investment adviser in order to seek to enhance returns to stockholders. Opportunistic investments may include investments in high-yield bonds, debt and equity securities in collateralized debt obligation (“CDO”) vehicles, distressed debt and debt and equity securities of public companies. As part of this 30%, we may also invest in debt of private middle market companies located outside of the United States. Given our primary investment focus on first and second lien loans and mezzanine debt, we believe our opportunistic investments will allow us to supplement our core investments with other investments that are within GSC Group’s expertise that we believe offer attractive yields and/or the potential for capital appreciation.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investment adviser</w:t>
      </w:r>
    </w:p>
    <w:p>
      <w:pPr>
        <w:spacing w:after="0" w:line="199" w:lineRule="exact"/>
        <w:rPr>
          <w:sz w:val="20"/>
          <w:szCs w:val="20"/>
          <w:color w:val="auto"/>
        </w:rPr>
      </w:pPr>
    </w:p>
    <w:p>
      <w:pPr>
        <w:ind w:right="20" w:firstLine="209"/>
        <w:spacing w:after="0" w:line="323" w:lineRule="auto"/>
        <w:rPr>
          <w:sz w:val="20"/>
          <w:szCs w:val="20"/>
          <w:color w:val="auto"/>
        </w:rPr>
      </w:pPr>
      <w:r>
        <w:rPr>
          <w:rFonts w:ascii="Times New Roman" w:cs="Times New Roman" w:eastAsia="Times New Roman" w:hAnsi="Times New Roman"/>
          <w:sz w:val="12"/>
          <w:szCs w:val="12"/>
          <w:color w:val="auto"/>
        </w:rPr>
        <w:t>We will be externally managed and advised by our investment adviser, GSCP (NJ), L.P., an SEC-registered investment adviser. Under our investment advisory and management agreement, we have agreed to pay our investment adviser an annual base management fee based on our total assets, as defined under the 1940 Act (other than cash and cash equivalents but including assets purchased with borrowed funds), and an incentive fee based on our performance. See “Management—Investment advisory and management agreement.” Our investment adviser, together with certain affiliates, does business as GSC Group.</w:t>
      </w:r>
    </w:p>
    <w:p>
      <w:pPr>
        <w:spacing w:after="0" w:line="134" w:lineRule="exact"/>
        <w:rPr>
          <w:sz w:val="20"/>
          <w:szCs w:val="20"/>
          <w:color w:val="auto"/>
        </w:rPr>
      </w:pPr>
    </w:p>
    <w:p>
      <w:pPr>
        <w:ind w:right="120" w:firstLine="209"/>
        <w:spacing w:after="0" w:line="302" w:lineRule="auto"/>
        <w:rPr>
          <w:sz w:val="20"/>
          <w:szCs w:val="20"/>
          <w:color w:val="auto"/>
        </w:rPr>
      </w:pPr>
      <w:r>
        <w:rPr>
          <w:rFonts w:ascii="Times New Roman" w:cs="Times New Roman" w:eastAsia="Times New Roman" w:hAnsi="Times New Roman"/>
          <w:sz w:val="12"/>
          <w:szCs w:val="12"/>
          <w:color w:val="auto"/>
        </w:rPr>
        <w:t>Our investment adviser is responsible for administering our business activities and day-to-day operations and will use the resources of GSC Group to support our operations. GSC Group has well-respected and established portfolio management resources and operational expertise across all of our targeted asset classes and a mature infrastructure supporting those resources. We believe that our investment adviser will be able to leverage GSC Group’s current investment platform, resources and existing relationships with financial institutions, financial sponsors, hedge funds and other investment firms to provide us with attractive investments. In addition to deal flow, we expect that the GSC Group investment platform will assist our investment adviser in analyzing and monitoring investments. In particular, these resources provide us with a wide variety of investment opportunities and access to information that assists us in making investment decisions across our targeted asset classes, which we believe provide us with a competitive advantage. GSC Group has substantial experience in investing in first and second lien loans, high-yield bonds and mezzanine debt. In addition to having access to approximately 70 investment professionals employed by GSC Group, we will also have access to over 100 GSC Group administrative professionals who will provide assistance in accounting, legal compliance and investor relations.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GSC Group</w:t>
      </w:r>
    </w:p>
    <w:p>
      <w:pPr>
        <w:spacing w:after="0" w:line="199" w:lineRule="exact"/>
        <w:rPr>
          <w:sz w:val="20"/>
          <w:szCs w:val="20"/>
          <w:color w:val="auto"/>
        </w:rPr>
      </w:pPr>
    </w:p>
    <w:p>
      <w:pPr>
        <w:ind w:right="360" w:firstLine="209"/>
        <w:spacing w:after="0" w:line="270" w:lineRule="auto"/>
        <w:rPr>
          <w:sz w:val="20"/>
          <w:szCs w:val="20"/>
          <w:color w:val="auto"/>
        </w:rPr>
      </w:pPr>
      <w:r>
        <w:rPr>
          <w:rFonts w:ascii="Times New Roman" w:cs="Times New Roman" w:eastAsia="Times New Roman" w:hAnsi="Times New Roman"/>
          <w:sz w:val="14"/>
          <w:szCs w:val="14"/>
          <w:color w:val="auto"/>
        </w:rPr>
        <w:t>GSCP (NJ), L.P. is an SEC-registered investment adviser with approximately $14.7 billion of assets under management as of June 30, 2006. GSC Group specializes in credit-driven investing including corporate credit, distressed investing and real estate. GSC Group is privately owned and has over 170 employees with headquarters in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New Jersey, and offices in New York, London and Los Angeles. The Firm completed an internal reorganization on October 1, 2006 which included changing its name from GSC Partners to GSC Group.</w:t>
      </w:r>
    </w:p>
    <w:p>
      <w:pPr>
        <w:spacing w:after="0" w:line="195" w:lineRule="exact"/>
        <w:rPr>
          <w:sz w:val="20"/>
          <w:szCs w:val="20"/>
          <w:color w:val="auto"/>
        </w:rPr>
      </w:pPr>
    </w:p>
    <w:p>
      <w:pPr>
        <w:ind w:right="160" w:firstLine="209"/>
        <w:spacing w:after="0" w:line="260" w:lineRule="auto"/>
        <w:rPr>
          <w:sz w:val="20"/>
          <w:szCs w:val="20"/>
          <w:color w:val="auto"/>
        </w:rPr>
      </w:pPr>
      <w:r>
        <w:rPr>
          <w:rFonts w:ascii="Times New Roman" w:cs="Times New Roman" w:eastAsia="Times New Roman" w:hAnsi="Times New Roman"/>
          <w:sz w:val="14"/>
          <w:szCs w:val="14"/>
          <w:color w:val="auto"/>
        </w:rPr>
        <w:t>GSC Group was founded in 1999 by Alfred C. Eckert III, its Chairman and Chief Executive Officer. Its senior officers and advisers are in many cases long-time colleagues who have worked together extensively at other institutions, including Goldman, Sachs &amp; Co., Greenwich Street Capital Partners and The Blackstone Group. Through the combined experience of these individuals, GSC Group identifies sectors of the credit markets that it believes to be attractive. GSC Group generally invests its own capital alongside the capital of its clients.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GSC Group is comprised of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Corporate Credit Group</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Corporate Credit</w:t>
      </w:r>
    </w:p>
    <w:p>
      <w:pPr>
        <w:spacing w:after="0" w:line="199" w:lineRule="exact"/>
        <w:rPr>
          <w:sz w:val="20"/>
          <w:szCs w:val="20"/>
          <w:color w:val="auto"/>
        </w:rPr>
      </w:pPr>
    </w:p>
    <w:p>
      <w:pPr>
        <w:ind w:right="60" w:firstLine="209"/>
        <w:spacing w:after="0" w:line="270" w:lineRule="auto"/>
        <w:rPr>
          <w:sz w:val="20"/>
          <w:szCs w:val="20"/>
          <w:color w:val="auto"/>
        </w:rPr>
      </w:pPr>
      <w:r>
        <w:rPr>
          <w:rFonts w:ascii="Times New Roman" w:cs="Times New Roman" w:eastAsia="Times New Roman" w:hAnsi="Times New Roman"/>
          <w:sz w:val="14"/>
          <w:szCs w:val="14"/>
          <w:color w:val="auto"/>
        </w:rPr>
        <w:t>The corporate credit group is comprised of 17 investment professionals who manage leveraged loans, high yield bonds, mezzanine debt, and derivative products. This group has grown from $715 million of assets under management in 2000 to $5.7 billion of assets under management, including $1.8 billion of middle market loans, as of June 30, 2006.</w:t>
      </w:r>
    </w:p>
    <w:p>
      <w:pPr>
        <w:spacing w:after="0" w:line="161" w:lineRule="exact"/>
        <w:rPr>
          <w:sz w:val="20"/>
          <w:szCs w:val="20"/>
          <w:color w:val="auto"/>
        </w:rPr>
      </w:pPr>
    </w:p>
    <w:p>
      <w:pPr>
        <w:ind w:right="20" w:firstLine="209"/>
        <w:spacing w:after="0" w:line="260" w:lineRule="auto"/>
        <w:rPr>
          <w:sz w:val="20"/>
          <w:szCs w:val="20"/>
          <w:color w:val="auto"/>
        </w:rPr>
      </w:pPr>
      <w:r>
        <w:rPr>
          <w:rFonts w:ascii="Times New Roman" w:cs="Times New Roman" w:eastAsia="Times New Roman" w:hAnsi="Times New Roman"/>
          <w:sz w:val="14"/>
          <w:szCs w:val="14"/>
          <w:color w:val="auto"/>
        </w:rPr>
        <w:t>The corporate credit group currently manages its assets within collateralized debt obligation funds (CDO funds). These CDOs invest primarily in middle market loans, broadly syndicated U.S. and European loans, high-yield bonds and U.S. mezzanine debt. GSC Group manages these assets within CDO funds to take advantage of the difference between the investment grade borrowing costs of the CDO funds and the higher yielding returns on the underlying investments in corporate debt securities.</w:t>
      </w:r>
    </w:p>
    <w:p>
      <w:pPr>
        <w:spacing w:after="0" w:line="168" w:lineRule="exact"/>
        <w:rPr>
          <w:sz w:val="20"/>
          <w:szCs w:val="20"/>
          <w:color w:val="auto"/>
        </w:rPr>
      </w:pPr>
    </w:p>
    <w:p>
      <w:pPr>
        <w:jc w:val="both"/>
        <w:ind w:right="500" w:firstLine="209"/>
        <w:spacing w:after="0" w:line="260" w:lineRule="auto"/>
        <w:rPr>
          <w:sz w:val="20"/>
          <w:szCs w:val="20"/>
          <w:color w:val="auto"/>
        </w:rPr>
      </w:pPr>
      <w:r>
        <w:rPr>
          <w:rFonts w:ascii="Times New Roman" w:cs="Times New Roman" w:eastAsia="Times New Roman" w:hAnsi="Times New Roman"/>
          <w:sz w:val="14"/>
          <w:szCs w:val="14"/>
          <w:color w:val="auto"/>
        </w:rPr>
        <w:t>GSC Group’s selective investment process is characterized by detailed business and financial analysis with an emphasis on investing in securities which are attractively priced, hold relatively senior positions in the issuer’s capital structure, and have low leverage through the purchased debt tranche. GSC Group seeks to invest in securities issued by industry leaders with sustainable market shares in attractive sectors.</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Since 2003, the corporate credit group has invested in over $5.0 billion of loans and $1.6 billion of high-yield bonds.</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Mezzanine Lending</w:t>
      </w:r>
    </w:p>
    <w:p>
      <w:pPr>
        <w:spacing w:after="0" w:line="19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GSC Group’s mezzanine group provides mezzanine lending in the form of subordinated debt and preferred equity to support financial sponsors, corporations and others seeking to finance leveraged buyouts, strategic acquisitions, growth strategies or recapitalizations in Western Europe. This group, which includes 12 investment professionals, manages two funds with over $1.3 billion of assets as of June 30, 2006. GSC European Mezzanine Fund I, which closed in July 2000, has made 45 investments across 14 jurisdictions, 17 industries and 26 sponsors. GSC European Mezzanine Fund II had its first close in April 2005 and had its final close in April 2006. This fund has made six investments as of June 30, 2006.</w:t>
      </w:r>
    </w:p>
    <w:p>
      <w:pPr>
        <w:spacing w:after="0" w:line="171" w:lineRule="exact"/>
        <w:rPr>
          <w:sz w:val="20"/>
          <w:szCs w:val="20"/>
          <w:color w:val="auto"/>
        </w:rPr>
      </w:pPr>
    </w:p>
    <w:p>
      <w:pPr>
        <w:ind w:right="280" w:firstLine="209"/>
        <w:spacing w:after="0" w:line="270" w:lineRule="auto"/>
        <w:rPr>
          <w:sz w:val="20"/>
          <w:szCs w:val="20"/>
          <w:color w:val="auto"/>
        </w:rPr>
      </w:pPr>
      <w:r>
        <w:rPr>
          <w:rFonts w:ascii="Times New Roman" w:cs="Times New Roman" w:eastAsia="Times New Roman" w:hAnsi="Times New Roman"/>
          <w:sz w:val="14"/>
          <w:szCs w:val="14"/>
          <w:color w:val="auto"/>
        </w:rPr>
        <w:t>Due to the significant increase in capital committed to private equity, the resulting growth of sponsored buyouts in Western Europe, and the lack of a fully developed high-yield bond market, mezzanine funds have become an attractive source of capital for corporate acquisitions and restructurings in Western Europe.</w:t>
      </w:r>
    </w:p>
    <w:p>
      <w:pPr>
        <w:spacing w:after="0" w:line="136" w:lineRule="exact"/>
        <w:rPr>
          <w:sz w:val="20"/>
          <w:szCs w:val="20"/>
          <w:color w:val="auto"/>
        </w:rPr>
      </w:pPr>
    </w:p>
    <w:p>
      <w:pPr>
        <w:jc w:val="center"/>
        <w:ind w:right="9860"/>
        <w:spacing w:after="0"/>
        <w:rPr>
          <w:sz w:val="20"/>
          <w:szCs w:val="20"/>
          <w:color w:val="auto"/>
        </w:rPr>
      </w:pPr>
      <w:r>
        <w:rPr>
          <w:rFonts w:ascii="Times New Roman" w:cs="Times New Roman" w:eastAsia="Times New Roman" w:hAnsi="Times New Roman"/>
          <w:sz w:val="12"/>
          <w:szCs w:val="12"/>
          <w:b w:val="1"/>
          <w:bCs w:val="1"/>
          <w:u w:val="single" w:color="auto"/>
          <w:color w:val="auto"/>
        </w:rPr>
        <w:t>Distressed Investing Group</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Control Distressed Debt</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GSC Group’s distressed investing group is comprised of 20 investment professionals who manage three control distressed debt funds and a credit strategies hedge fund.</w:t>
      </w:r>
    </w:p>
    <w:p>
      <w:pPr>
        <w:spacing w:after="0" w:line="195" w:lineRule="exact"/>
        <w:rPr>
          <w:sz w:val="20"/>
          <w:szCs w:val="20"/>
          <w:color w:val="auto"/>
        </w:rPr>
      </w:pPr>
    </w:p>
    <w:p>
      <w:pPr>
        <w:ind w:right="40" w:firstLine="209"/>
        <w:spacing w:after="0" w:line="256" w:lineRule="auto"/>
        <w:rPr>
          <w:sz w:val="20"/>
          <w:szCs w:val="20"/>
          <w:color w:val="auto"/>
        </w:rPr>
      </w:pPr>
      <w:r>
        <w:rPr>
          <w:rFonts w:ascii="Times New Roman" w:cs="Times New Roman" w:eastAsia="Times New Roman" w:hAnsi="Times New Roman"/>
          <w:sz w:val="14"/>
          <w:szCs w:val="14"/>
          <w:color w:val="auto"/>
        </w:rPr>
        <w:t>GSC Group’s control distressed debt investment strategy targets companies which GSC Group believes are operationally sound, but are overburdened with high levels of debt. This group is comprised of 17 investment professionals and manages approximately $1.0 billion of assets as of June 30, 2006. GSC Group seeks to restore the companies’ balance sheets to health through bankruptcy or consensual financial restructuring. The acquired debt securities often are converted into new “restructured” equity at a cost basis that GSC Group believes represents attractive acquisition valuations. Post restructuring, GSC Group seeks to further enhance value through direct investment and strategic and financial value optimization initiatives.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1030" w:right="239" w:bottom="1440" w:gutter="0" w:footer="0" w:header="0"/>
        </w:sectPr>
      </w:pPr>
    </w:p>
    <w:bookmarkStart w:id="9" w:name="page10"/>
    <w:bookmarkEnd w:id="9"/>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Credit Strategies Hedge Fund</w:t>
      </w:r>
    </w:p>
    <w:p>
      <w:pPr>
        <w:spacing w:after="0" w:line="199" w:lineRule="exact"/>
        <w:rPr>
          <w:sz w:val="20"/>
          <w:szCs w:val="20"/>
          <w:color w:val="auto"/>
        </w:rPr>
      </w:pPr>
    </w:p>
    <w:p>
      <w:pPr>
        <w:ind w:right="520" w:firstLine="209"/>
        <w:spacing w:after="0" w:line="270" w:lineRule="auto"/>
        <w:rPr>
          <w:sz w:val="20"/>
          <w:szCs w:val="20"/>
          <w:color w:val="auto"/>
        </w:rPr>
      </w:pPr>
      <w:r>
        <w:rPr>
          <w:rFonts w:ascii="Times New Roman" w:cs="Times New Roman" w:eastAsia="Times New Roman" w:hAnsi="Times New Roman"/>
          <w:sz w:val="14"/>
          <w:szCs w:val="14"/>
          <w:color w:val="auto"/>
        </w:rPr>
        <w:t>GSC Group’s credit strategies hedge fund invests in distressed, stressed, capital arbitrage, industry arbitrage, and quality assets. The fund utilizes GSC Group’s investment platform to capitalize on opportunities within and beyond GSC Group’s investment mandates. The fund manages approximately $80 million as of September 30, 2006.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Real Estate Group</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GSC Group’s real estate group consists of the structured finance group and GSC Group’s real estate investment trust (REIT).</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Structured Finance Group</w:t>
      </w:r>
    </w:p>
    <w:p>
      <w:pPr>
        <w:spacing w:after="0" w:line="199" w:lineRule="exact"/>
        <w:rPr>
          <w:sz w:val="20"/>
          <w:szCs w:val="20"/>
          <w:color w:val="auto"/>
        </w:rPr>
      </w:pPr>
    </w:p>
    <w:p>
      <w:pPr>
        <w:ind w:right="200" w:firstLine="209"/>
        <w:spacing w:after="0" w:line="256" w:lineRule="auto"/>
        <w:rPr>
          <w:sz w:val="20"/>
          <w:szCs w:val="20"/>
          <w:color w:val="auto"/>
        </w:rPr>
      </w:pPr>
      <w:r>
        <w:rPr>
          <w:rFonts w:ascii="Times New Roman" w:cs="Times New Roman" w:eastAsia="Times New Roman" w:hAnsi="Times New Roman"/>
          <w:sz w:val="14"/>
          <w:szCs w:val="14"/>
          <w:color w:val="auto"/>
        </w:rPr>
        <w:t>GSC Group’s structured finance group invests in a full range of asset-backed securities (“ABS”), commercial mortgage-backed securities (“CMBS”) and mortgage-backed securities (“MBS”), offering funds, CDOs and separate accounts tailored to the risk preferences of its investors. This group, which includes 11 investment professionals, manages approximately $6.7 billion of assets as of June 30, 2006. GSC Group believes its competitive advantage is derived from its credit selection capability, through due diligence and extensive knowledge of CDO structures. GSC Group’s hedged strategies focus on investments in CDO equity, using carefully targeted short positions to reduce undesirable risk exposures.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Real Estate Investment Trust (REIT)</w:t>
      </w:r>
    </w:p>
    <w:p>
      <w:pPr>
        <w:spacing w:after="0" w:line="199" w:lineRule="exact"/>
        <w:rPr>
          <w:sz w:val="20"/>
          <w:szCs w:val="20"/>
          <w:color w:val="auto"/>
        </w:rPr>
      </w:pPr>
    </w:p>
    <w:p>
      <w:pPr>
        <w:ind w:right="200" w:firstLine="209"/>
        <w:spacing w:after="0" w:line="270" w:lineRule="auto"/>
        <w:rPr>
          <w:sz w:val="20"/>
          <w:szCs w:val="20"/>
          <w:color w:val="auto"/>
        </w:rPr>
      </w:pPr>
      <w:r>
        <w:rPr>
          <w:rFonts w:ascii="Times New Roman" w:cs="Times New Roman" w:eastAsia="Times New Roman" w:hAnsi="Times New Roman"/>
          <w:sz w:val="14"/>
          <w:szCs w:val="14"/>
          <w:color w:val="auto"/>
        </w:rPr>
        <w:t>GSC Group sponsors an externally managed REIT called GSC Capital Corp. GSC Capital Corp. invests a substantial majority of its portfolio in real estate related investments. Other investments include bank loans, ABS and leverage finance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relationship with our investment adviser and GSC Group</w:t>
      </w:r>
    </w:p>
    <w:p>
      <w:pPr>
        <w:spacing w:after="0" w:line="199"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We intend to utilize the personnel, infrastructure, relationships and experience of GSC Group and our investment adviser to enhance the growth of our business. We currently have no employees and each of our executive officers is also an officer of GSC Group. As part of the Contribution, following completion of this offering GSC Group will own shares of our common stock, which it will have received in exchange for its contribution to us of all of its interests in CDO Fund III. See “Contribution.”</w:t>
      </w:r>
    </w:p>
    <w:p>
      <w:pPr>
        <w:spacing w:after="0" w:line="168" w:lineRule="exact"/>
        <w:rPr>
          <w:sz w:val="20"/>
          <w:szCs w:val="20"/>
          <w:color w:val="auto"/>
        </w:rPr>
      </w:pPr>
    </w:p>
    <w:p>
      <w:pPr>
        <w:ind w:right="40" w:firstLine="209"/>
        <w:spacing w:after="0" w:line="254" w:lineRule="auto"/>
        <w:rPr>
          <w:sz w:val="20"/>
          <w:szCs w:val="20"/>
          <w:color w:val="auto"/>
        </w:rPr>
      </w:pPr>
      <w:r>
        <w:rPr>
          <w:rFonts w:ascii="Times New Roman" w:cs="Times New Roman" w:eastAsia="Times New Roman" w:hAnsi="Times New Roman"/>
          <w:sz w:val="14"/>
          <w:szCs w:val="14"/>
          <w:color w:val="auto"/>
        </w:rPr>
        <w:t>We have entered into an investment advisory and management agreement with our investment adviser. The initial term of the investment advisory and management agreement will be for two years, with automatic, one-year renewals, subject to approval by our board of directors, a majority of whom are not “interested” directors as defined in the 1940 Act, and/or our stockholders. Pursuant to the investment advisory and management agreement, our investment adviser implements our business strategy on a day-to-day basis and performs certain services for us, under the direction of our board of directors. Our investment adviser is responsible for, among other duties, performing all of our day-to-day functions, determining investment criteria, sourcing, analyzing and executing investments, asset sales, financings and performing asset management duties.</w:t>
      </w:r>
    </w:p>
    <w:p>
      <w:pPr>
        <w:spacing w:after="0" w:line="174"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Pursuant to our investment advisory and management agreement, our investment adviser has formed an investment committee to advise and consult with our investment adviser’s senior management team with respect to our investment policies, investment portfolio holdings, financing and leveraging strategies and investment guidelines. We believe that the cumulative experience of our investment committee members across a variety of fixed income asset classes will benefit us. Our investment committee will consist of members of GSC Group’s senior investment staff, including Thomas V. Inglesby, our Chief Executive Officer, Richard M. Hayden, our Chairman, Robert F. Cummings, Jr., Thomas J. Libassi and Daniel I. Castro, Jr. All of the members of this committee are senior officers in various divisions of GSC Group. Mr. Inglesby is Senior Managing Director of GSC Group. Mr. Hayden is Vice Chairman of GSC Group, head of the corporate credit group and a member of the GSC Group management committee. Mr. Cummings is Senior Managing Director of GSC Group, Chairman of the risk and conflicts committee, Chairman of the valuation committee and a member of the GSC Group management committee. Mr. Libassi is Senior Managing Director of GSC Group’s control distressed debt business unit. Mr. Castro is Managing Director of GSC Group’s structured finance group and Chief Investment Officer of GSC Capital Corp. Our investment committee will approve all investments in excess of $5 million made by the Company by unanimous consent. Along with the corporate credit group’s investment staff, our investment committee will actively monitor investments in the Portfolio. Sale recommendations made by the corporate credit group’s investment staff must be approved by three out of five investment committee members.</w:t>
      </w:r>
    </w:p>
    <w:p>
      <w:pPr>
        <w:spacing w:after="0" w:line="173" w:lineRule="exact"/>
        <w:rPr>
          <w:sz w:val="20"/>
          <w:szCs w:val="20"/>
          <w:color w:val="auto"/>
        </w:rPr>
      </w:pPr>
    </w:p>
    <w:p>
      <w:pPr>
        <w:ind w:right="60" w:firstLine="209"/>
        <w:spacing w:after="0" w:line="256" w:lineRule="auto"/>
        <w:rPr>
          <w:sz w:val="20"/>
          <w:szCs w:val="20"/>
          <w:color w:val="auto"/>
        </w:rPr>
      </w:pPr>
      <w:r>
        <w:rPr>
          <w:rFonts w:ascii="Times New Roman" w:cs="Times New Roman" w:eastAsia="Times New Roman" w:hAnsi="Times New Roman"/>
          <w:sz w:val="14"/>
          <w:szCs w:val="14"/>
          <w:color w:val="auto"/>
        </w:rPr>
        <w:t>Pursuant to a separate administration agreement, our investment adviser, who also serves as our administrator, will furnish us with office facilities, equipment and clerical, bookkeeping and record keeping services. Under the administration agreement, our administrator will also perform, or oversee the performance of, our required administrative services, which include, among other things, being responsible for the financial records which we are required to maintain, preparing reports for our stockholders and reports required to be filed with the SEC. In addition, our administrator will assist us in determining and publishing our net asset value, oversee the preparation</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00"/>
          </w:cols>
          <w:pgMar w:left="220" w:top="691" w:right="27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4"/>
          <w:szCs w:val="14"/>
          <w:color w:val="auto"/>
        </w:rPr>
        <w:t>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our administrator’s overhead in performing its obligations under the administration agreement, including rent and our allocable portion of the cost of our officers and their respective staffs relating to the performance of services under this agreement (including travel expenses). Our allocable portion will be based on the proportion that our total assets bears to the total assets administered or managed by our administrator. Under the administration agreement, our administrator will also provide managerial assistance, on our behalf, to those portfolio companies who accept our offer of assistance.</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Our investment adviser will utilize the same, disciplined investment philosophy as that of GSC Group’s corporate credit group. GSC Group’s approach will seek to minimize risk by focusing on:</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issuers that have a history of generating stable earnings and strong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industry leaders with sustainable market shares in attractive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issuers with reasonable price-to-cash flow multiples;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capital structures that provide appropriate terms and reasonable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issuers that have well constructed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management teams that are experienced and that hold meaningful equity ownership in the businesses that they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industries in which GSC Group’s investment professionals historically have had deep investment experience and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macro competitive dynamics in the industry within which each company competes;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adhering to diversification with regard to position sizes, industry groups and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believe the environment for investing in private middle market companies is attractive for the following reasons:</w:t>
      </w:r>
    </w:p>
    <w:p>
      <w:pPr>
        <w:spacing w:after="0" w:line="195" w:lineRule="exact"/>
        <w:rPr>
          <w:sz w:val="20"/>
          <w:szCs w:val="20"/>
          <w:color w:val="auto"/>
        </w:rPr>
      </w:pPr>
    </w:p>
    <w:p>
      <w:pPr>
        <w:ind w:left="420" w:right="380"/>
        <w:spacing w:after="0" w:line="302" w:lineRule="auto"/>
        <w:rPr>
          <w:sz w:val="20"/>
          <w:szCs w:val="20"/>
          <w:color w:val="auto"/>
        </w:rPr>
      </w:pPr>
      <w:r>
        <w:rPr>
          <w:rFonts w:ascii="Times New Roman" w:cs="Times New Roman" w:eastAsia="Times New Roman" w:hAnsi="Times New Roman"/>
          <w:sz w:val="14"/>
          <w:szCs w:val="14"/>
          <w:color w:val="auto"/>
        </w:rPr>
        <w:t>middle market debt securities are attractive compared to more broadly syndicated debt securities because middle market debt securities generally have more conservative capital structures, tighter financial covenants, better security packages and higher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160"/>
        <w:spacing w:after="0" w:line="302" w:lineRule="auto"/>
        <w:rPr>
          <w:sz w:val="20"/>
          <w:szCs w:val="20"/>
          <w:color w:val="auto"/>
        </w:rPr>
      </w:pPr>
      <w:r>
        <w:rPr>
          <w:rFonts w:ascii="Times New Roman" w:cs="Times New Roman" w:eastAsia="Times New Roman" w:hAnsi="Times New Roman"/>
          <w:sz w:val="14"/>
          <w:szCs w:val="14"/>
          <w:color w:val="auto"/>
        </w:rPr>
        <w:t>established relationships create a high barrier to entry in the middle market financing business. Specifically, private middle market companies and their financial sponsors prefer to access capital from and maintain close and longstanding relationships with a small group of well known capital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140"/>
        <w:spacing w:after="0" w:line="302" w:lineRule="auto"/>
        <w:rPr>
          <w:sz w:val="20"/>
          <w:szCs w:val="20"/>
          <w:color w:val="auto"/>
        </w:rPr>
      </w:pPr>
      <w:r>
        <w:rPr>
          <w:rFonts w:ascii="Times New Roman" w:cs="Times New Roman" w:eastAsia="Times New Roman" w:hAnsi="Times New Roman"/>
          <w:sz w:val="14"/>
          <w:szCs w:val="14"/>
          <w:color w:val="auto"/>
        </w:rPr>
        <w:t>many private middle market companies prefer to execute transactions with private capital providers, rather than execute high-yield bond transactions in the public markets, which may necessitate SEC compliance and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60"/>
        <w:spacing w:after="0" w:line="302" w:lineRule="auto"/>
        <w:rPr>
          <w:sz w:val="20"/>
          <w:szCs w:val="20"/>
          <w:color w:val="auto"/>
        </w:rPr>
      </w:pPr>
      <w:r>
        <w:rPr>
          <w:rFonts w:ascii="Times New Roman" w:cs="Times New Roman" w:eastAsia="Times New Roman" w:hAnsi="Times New Roman"/>
          <w:sz w:val="14"/>
          <w:szCs w:val="14"/>
          <w:color w:val="auto"/>
        </w:rPr>
        <w:t>the middle market debt segment is a highly fragmented portion of the leveraged finance market. We believe that many of the largest capital providers in the broader leveraged finance market choose not to participate in middle market lending because of a preference for larger, more liquid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4" w:right="259" w:bottom="1440" w:gutter="0" w:footer="0" w:header="0"/>
        </w:sectPr>
      </w:pPr>
    </w:p>
    <w:bookmarkStart w:id="11" w:name="page12"/>
    <w:bookmarkEnd w:id="11"/>
    <w:p>
      <w:pPr>
        <w:ind w:left="420" w:right="40"/>
        <w:spacing w:after="0" w:line="302" w:lineRule="auto"/>
        <w:rPr>
          <w:sz w:val="20"/>
          <w:szCs w:val="20"/>
          <w:color w:val="auto"/>
        </w:rPr>
      </w:pPr>
      <w:r>
        <w:rPr>
          <w:rFonts w:ascii="Times New Roman" w:cs="Times New Roman" w:eastAsia="Times New Roman" w:hAnsi="Times New Roman"/>
          <w:sz w:val="14"/>
          <w:szCs w:val="14"/>
          <w:color w:val="auto"/>
        </w:rPr>
        <w:t>we expect continued strong leverage buyout activity from private equity firms who currently hold large pools of uninvested capital earmarked for acquisitions of private middle market companies. These private equity firms will continue to seek to leverage their investments by combining their equity capital with senior secured loans and mezzanine debt from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advantages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believe that we have the following competitive advantages over other capital providers to private middle market companies:</w:t>
      </w:r>
    </w:p>
    <w:p>
      <w:pPr>
        <w:spacing w:after="0" w:line="191" w:lineRule="exact"/>
        <w:rPr>
          <w:sz w:val="20"/>
          <w:szCs w:val="20"/>
          <w:color w:val="auto"/>
        </w:rPr>
      </w:pPr>
    </w:p>
    <w:p>
      <w:pPr>
        <w:ind w:left="400" w:hanging="187"/>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GSC Group’s investment platform</w:t>
      </w:r>
    </w:p>
    <w:p>
      <w:pPr>
        <w:spacing w:after="0" w:line="199" w:lineRule="exact"/>
        <w:rPr>
          <w:sz w:val="20"/>
          <w:szCs w:val="20"/>
          <w:color w:val="auto"/>
        </w:rPr>
      </w:pPr>
    </w:p>
    <w:p>
      <w:pPr>
        <w:ind w:right="160" w:firstLine="209"/>
        <w:spacing w:after="0" w:line="270" w:lineRule="auto"/>
        <w:rPr>
          <w:sz w:val="20"/>
          <w:szCs w:val="20"/>
          <w:color w:val="auto"/>
        </w:rPr>
      </w:pPr>
      <w:r>
        <w:rPr>
          <w:rFonts w:ascii="Times New Roman" w:cs="Times New Roman" w:eastAsia="Times New Roman" w:hAnsi="Times New Roman"/>
          <w:sz w:val="14"/>
          <w:szCs w:val="14"/>
          <w:color w:val="auto"/>
        </w:rPr>
        <w:t>GSC Group has a long history of strong performance across a broad range of asset classes and sectors. The senior investment professionals of GSC Group have extensive experience investing in leveraged loans, high-yield bonds, mezzanine debt and private equity. GSC Group manages approximately $14.7 billion of assets, including $1.8 billion in middle market loans as of June 30, 2006.</w:t>
      </w:r>
    </w:p>
    <w:p>
      <w:pPr>
        <w:spacing w:after="0" w:line="157" w:lineRule="exact"/>
        <w:rPr>
          <w:sz w:val="20"/>
          <w:szCs w:val="20"/>
          <w:color w:val="auto"/>
        </w:rPr>
      </w:pPr>
    </w:p>
    <w:p>
      <w:pPr>
        <w:ind w:left="400" w:hanging="187"/>
        <w:spacing w:after="0"/>
        <w:tabs>
          <w:tab w:leader="none" w:pos="4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Rapid deployment of offering proceeds</w:t>
      </w:r>
    </w:p>
    <w:p>
      <w:pPr>
        <w:spacing w:after="0" w:line="199" w:lineRule="exact"/>
        <w:rPr>
          <w:sz w:val="20"/>
          <w:szCs w:val="20"/>
          <w:color w:val="auto"/>
        </w:rPr>
      </w:pPr>
    </w:p>
    <w:p>
      <w:pPr>
        <w:jc w:val="both"/>
        <w:ind w:firstLine="209"/>
        <w:spacing w:after="0" w:line="260" w:lineRule="auto"/>
        <w:rPr>
          <w:sz w:val="20"/>
          <w:szCs w:val="20"/>
          <w:color w:val="auto"/>
        </w:rPr>
      </w:pPr>
      <w:r>
        <w:rPr>
          <w:rFonts w:ascii="Times New Roman" w:cs="Times New Roman" w:eastAsia="Times New Roman" w:hAnsi="Times New Roman"/>
          <w:sz w:val="14"/>
          <w:szCs w:val="14"/>
          <w:color w:val="auto"/>
        </w:rPr>
        <w:t>Shortly after the consummation of this offering, we intend to use the net proceeds to partially fund the purchase of the Portfolio, which consists of approximately $216 million of debt investments that consist of first lien and second lien loans, senior secured bonds and unsecured bonds. We believe that this rapid deployment of offering proceeds into these assets will provide potential for higher initial returns than cash or cash equivalents and distinguishes us from some of our potential competitors.</w:t>
      </w:r>
    </w:p>
    <w:p>
      <w:pPr>
        <w:spacing w:after="0" w:line="164" w:lineRule="exact"/>
        <w:rPr>
          <w:sz w:val="20"/>
          <w:szCs w:val="20"/>
          <w:color w:val="auto"/>
        </w:rPr>
      </w:pPr>
    </w:p>
    <w:p>
      <w:pPr>
        <w:ind w:left="400" w:hanging="187"/>
        <w:spacing w:after="0"/>
        <w:tabs>
          <w:tab w:leader="none" w:pos="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Experience sourcing and managing middle market loans</w:t>
      </w:r>
    </w:p>
    <w:p>
      <w:pPr>
        <w:spacing w:after="0" w:line="199" w:lineRule="exact"/>
        <w:rPr>
          <w:sz w:val="20"/>
          <w:szCs w:val="20"/>
          <w:color w:val="auto"/>
        </w:rPr>
      </w:pPr>
    </w:p>
    <w:p>
      <w:pPr>
        <w:ind w:right="180" w:firstLine="209"/>
        <w:spacing w:after="0" w:line="254" w:lineRule="auto"/>
        <w:rPr>
          <w:sz w:val="20"/>
          <w:szCs w:val="20"/>
          <w:color w:val="auto"/>
        </w:rPr>
      </w:pPr>
      <w:r>
        <w:rPr>
          <w:rFonts w:ascii="Times New Roman" w:cs="Times New Roman" w:eastAsia="Times New Roman" w:hAnsi="Times New Roman"/>
          <w:sz w:val="14"/>
          <w:szCs w:val="14"/>
          <w:color w:val="auto"/>
        </w:rPr>
        <w:t>GSC Group has historically focused on investments in private middle market companies and we expect to benefit from this experience. Our investment adviser will use GSC Group’s extensive network of relationships with intermediaries focused on private middle market companies to attract well-positioned prospective portfolio company investments. Since 2003, the GSC Group corporate credit group has reviewed over 780 new middle market loan opportunities, approximately 300 of which were second lien loans. Of the loans reviewed, 232 were purchased, including 46 second lien loans. In addition, our investment adviser will work closely with the control distressed debt and European mezzanine groups, which oversee a portfolio of investments in over 45 companies, maintain an extensive network of relationships and possess valuable insights into industry trends.</w:t>
      </w:r>
    </w:p>
    <w:p>
      <w:pPr>
        <w:spacing w:after="0" w:line="170" w:lineRule="exact"/>
        <w:rPr>
          <w:sz w:val="20"/>
          <w:szCs w:val="20"/>
          <w:color w:val="auto"/>
        </w:rPr>
      </w:pPr>
    </w:p>
    <w:p>
      <w:pPr>
        <w:ind w:left="400" w:hanging="187"/>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Experienced management and investment committee</w:t>
      </w:r>
    </w:p>
    <w:p>
      <w:pPr>
        <w:spacing w:after="0" w:line="199" w:lineRule="exact"/>
        <w:rPr>
          <w:sz w:val="20"/>
          <w:szCs w:val="20"/>
          <w:color w:val="auto"/>
        </w:rPr>
      </w:pPr>
    </w:p>
    <w:p>
      <w:pPr>
        <w:ind w:right="120" w:firstLine="209"/>
        <w:spacing w:after="0" w:line="253" w:lineRule="auto"/>
        <w:rPr>
          <w:sz w:val="20"/>
          <w:szCs w:val="20"/>
          <w:color w:val="auto"/>
        </w:rPr>
      </w:pPr>
      <w:r>
        <w:rPr>
          <w:rFonts w:ascii="Times New Roman" w:cs="Times New Roman" w:eastAsia="Times New Roman" w:hAnsi="Times New Roman"/>
          <w:sz w:val="14"/>
          <w:szCs w:val="14"/>
          <w:color w:val="auto"/>
        </w:rPr>
        <w:t>Thomas V. Inglesby, our Chief Executive Officer and Senior Managing Director of GSC Group, has over 19 years of middle market investing experience having managed leveraged loan, high-yield bond, mezzanine debt, distressed debt and private equity portfolios. In addition to Mr. Inglesby, our investment committee consists of Richard M. Hayden, Thomas J. Libassi and Daniel I. Castro, Jr. Mr. Hayden is Vice Chairman of GSC Group, head of the corporate credit group and a member of the GSC Group management committee. Mr. Hayden was previously with Goldman, Sachs &amp; Co. from 1969 until 1999 and was elected a Partner in 1980. Robert Cummings is Senior Managing Director of GSC Group, Chairman of the risk and conflicts committee, Chairman of the valuation committee and a member of the GSC Group management committee. Mr. Cummings was previously with Goldman, Sachs &amp; Co. from 1973 to 1998. Mr. Libassi is Senior Managing Director of GSC Group in the control distressed debt group and has 22 years of experience managing high-yield and distressed debt portfolios. Mr. Castro is Managing Director of GSC Group in the structured finance group. Mr. Castro has over 23 years of experience investing in debt products and was, until 2004, on the Institutional Investor All-American Fixed Income Research Team every year since its inception in 1992.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sectPr>
      </w:pPr>
    </w:p>
    <w:bookmarkStart w:id="12" w:name="page13"/>
    <w:bookmarkEnd w:id="12"/>
    <w:p>
      <w:pPr>
        <w:ind w:left="400" w:hanging="187"/>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Diversified credit-oriented investment strategy</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Through the use of GSC Group’s credit-based investment approach which relies on detailed business and financial analysis, we will seek to minimize principal loss while maximizing risk-adjusted returns.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our affiliation with GSC Group offers an attractive opportunity to invest in middle market first and second lien loans and mezzanine debt.</w:t>
      </w:r>
    </w:p>
    <w:p>
      <w:pPr>
        <w:spacing w:after="0" w:line="183" w:lineRule="exact"/>
        <w:rPr>
          <w:sz w:val="20"/>
          <w:szCs w:val="20"/>
          <w:color w:val="auto"/>
        </w:rPr>
      </w:pPr>
    </w:p>
    <w:p>
      <w:pPr>
        <w:ind w:left="400" w:hanging="187"/>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Utilizing our broad transaction sourcing network and relationships with middle market lenders</w:t>
      </w:r>
    </w:p>
    <w:p>
      <w:pPr>
        <w:spacing w:after="0" w:line="199" w:lineRule="exact"/>
        <w:rPr>
          <w:sz w:val="20"/>
          <w:szCs w:val="20"/>
          <w:color w:val="auto"/>
        </w:rPr>
      </w:pPr>
    </w:p>
    <w:p>
      <w:pPr>
        <w:ind w:right="260" w:firstLine="209"/>
        <w:spacing w:after="0" w:line="256" w:lineRule="auto"/>
        <w:rPr>
          <w:sz w:val="20"/>
          <w:szCs w:val="20"/>
          <w:color w:val="auto"/>
        </w:rPr>
      </w:pPr>
      <w:r>
        <w:rPr>
          <w:rFonts w:ascii="Times New Roman" w:cs="Times New Roman" w:eastAsia="Times New Roman" w:hAnsi="Times New Roman"/>
          <w:sz w:val="14"/>
          <w:szCs w:val="14"/>
          <w:color w:val="auto"/>
        </w:rPr>
        <w:t>We intend to capitalize on the diverse deal-sourcing opportunities that we believe GSC Group brings to us as a result of its investment experience in our targeted asset classes, track record and extensive network of contacts in the financial community, including financial sponsors, merger &amp; acquisition advisory firms, investment banks, capital markets desks, lenders and other financial intermediaries and sponsors. In addition, through its other activities, GSC Group is regularly in contact with portfolio company management teams that can help provide additional insights on a wide variety of companies and industries.</w:t>
      </w:r>
    </w:p>
    <w:p>
      <w:pPr>
        <w:spacing w:after="0" w:line="171"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In particular, GSC Group has developed its middle market franchise via extensive relationships with middle market loan originators. These relationships have been developed over the past 15 years at multiple levels of management within GSC Group and have resulted in GSC Group’s ability to generate a significant amount of middle market opportunities, including first and second lien loans and mezzanine debt securities. We believe that these relationships will continue to provide GSC Group with access to middle market debt securities.</w:t>
      </w:r>
    </w:p>
    <w:p>
      <w:pPr>
        <w:spacing w:after="0" w:line="164" w:lineRule="exact"/>
        <w:rPr>
          <w:sz w:val="20"/>
          <w:szCs w:val="20"/>
          <w:color w:val="auto"/>
        </w:rPr>
      </w:pPr>
    </w:p>
    <w:p>
      <w:pPr>
        <w:ind w:left="400" w:hanging="187"/>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Extensive industry focus</w:t>
      </w:r>
    </w:p>
    <w:p>
      <w:pPr>
        <w:spacing w:after="0" w:line="199" w:lineRule="exact"/>
        <w:rPr>
          <w:sz w:val="20"/>
          <w:szCs w:val="20"/>
          <w:color w:val="auto"/>
        </w:rPr>
      </w:pPr>
    </w:p>
    <w:p>
      <w:pPr>
        <w:ind w:right="120" w:firstLine="209"/>
        <w:spacing w:after="0" w:line="323" w:lineRule="auto"/>
        <w:rPr>
          <w:sz w:val="20"/>
          <w:szCs w:val="20"/>
          <w:color w:val="auto"/>
        </w:rPr>
      </w:pPr>
      <w:r>
        <w:rPr>
          <w:rFonts w:ascii="Times New Roman" w:cs="Times New Roman" w:eastAsia="Times New Roman" w:hAnsi="Times New Roman"/>
          <w:sz w:val="12"/>
          <w:szCs w:val="12"/>
          <w:color w:val="auto"/>
        </w:rPr>
        <w:t>Since its founding in 1999, GSC Group has invested in over 950 companies and over this time has developed long-term relationships with management teams and management consultants. We expect that the experience of GSC Group’s investment professionals in investing across the aerospace, automotive, broadcasting/cable, consumer products, environmental services, technology, telecom and diversified manufacturing industries, throughout various stages of the economic cycle, will provide our investment adviser with access to ongoing market insights and favorable investment opportunities.</w:t>
      </w:r>
    </w:p>
    <w:p>
      <w:pPr>
        <w:spacing w:after="0" w:line="130" w:lineRule="exact"/>
        <w:rPr>
          <w:sz w:val="20"/>
          <w:szCs w:val="20"/>
          <w:color w:val="auto"/>
        </w:rPr>
      </w:pPr>
    </w:p>
    <w:p>
      <w:pPr>
        <w:ind w:left="400" w:hanging="187"/>
        <w:spacing w:after="0"/>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Disciplined investment process</w:t>
      </w:r>
    </w:p>
    <w:p>
      <w:pPr>
        <w:spacing w:after="0" w:line="199" w:lineRule="exact"/>
        <w:rPr>
          <w:sz w:val="20"/>
          <w:szCs w:val="20"/>
          <w:color w:val="auto"/>
        </w:rPr>
      </w:pPr>
    </w:p>
    <w:p>
      <w:pPr>
        <w:ind w:firstLine="209"/>
        <w:spacing w:after="0" w:line="254" w:lineRule="auto"/>
        <w:rPr>
          <w:sz w:val="20"/>
          <w:szCs w:val="20"/>
          <w:color w:val="auto"/>
        </w:rPr>
      </w:pPr>
      <w:r>
        <w:rPr>
          <w:rFonts w:ascii="Times New Roman" w:cs="Times New Roman" w:eastAsia="Times New Roman" w:hAnsi="Times New Roman"/>
          <w:sz w:val="14"/>
          <w:szCs w:val="14"/>
          <w:color w:val="auto"/>
        </w:rPr>
        <w:t>In making its investment decisions, our investment adviser intends to apply GSC Group’s rigorous and consistent investment process. Upon receiving an investment opportunity, GSC Group’s corporate credit group performs an initial screening of the potential investment which includes an analysis of the company, industry, financial sponsor and deal structure. If the investment is suitable for further analysis, GSC Group’s investment staff conducts a more intensive analysis which includes in-depth research on competitive dynamics in the industry, customer and supplier research, cost and growth drivers, cash flow characteristics, management capability, balance sheet strength, covenant analysis’ and a distressed recovery analysis. Our investment approach will emphasize capital preservation and minimization of downside risk.</w:t>
      </w:r>
    </w:p>
    <w:p>
      <w:pPr>
        <w:spacing w:after="0" w:line="170" w:lineRule="exact"/>
        <w:rPr>
          <w:sz w:val="20"/>
          <w:szCs w:val="20"/>
          <w:color w:val="auto"/>
        </w:rPr>
      </w:pPr>
    </w:p>
    <w:p>
      <w:pPr>
        <w:ind w:left="400" w:hanging="187"/>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Flexible transaction structuring</w:t>
      </w:r>
    </w:p>
    <w:p>
      <w:pPr>
        <w:spacing w:after="0" w:line="199" w:lineRule="exact"/>
        <w:rPr>
          <w:sz w:val="20"/>
          <w:szCs w:val="20"/>
          <w:color w:val="auto"/>
        </w:rPr>
      </w:pPr>
    </w:p>
    <w:p>
      <w:pPr>
        <w:jc w:val="both"/>
        <w:ind w:right="100" w:firstLine="209"/>
        <w:spacing w:after="0" w:line="260" w:lineRule="auto"/>
        <w:rPr>
          <w:sz w:val="20"/>
          <w:szCs w:val="20"/>
          <w:color w:val="auto"/>
        </w:rPr>
      </w:pPr>
      <w:r>
        <w:rPr>
          <w:rFonts w:ascii="Times New Roman" w:cs="Times New Roman" w:eastAsia="Times New Roman" w:hAnsi="Times New Roman"/>
          <w:sz w:val="14"/>
          <w:szCs w:val="14"/>
          <w:color w:val="auto"/>
        </w:rPr>
        <w:t>We expect to be flexible in structuring investments, the types of securities in which we invest and the terms associated with such investments. The principals of GSC Group have extensive experience in a wide variety of securities for leveraged companies with a diverse set of terms and conditions. This approach and experience should enable our investment adviser to identify attractive investment opportunities throughout various economic cycles and across a company’s capital structure so that we can make investments consistent with our stated objectives.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Access to GSC Group’s infrastructure</w:t>
      </w:r>
    </w:p>
    <w:p>
      <w:pPr>
        <w:spacing w:after="0" w:line="199" w:lineRule="exact"/>
        <w:rPr>
          <w:sz w:val="20"/>
          <w:szCs w:val="20"/>
          <w:color w:val="auto"/>
        </w:rPr>
      </w:pPr>
    </w:p>
    <w:p>
      <w:pPr>
        <w:ind w:right="560" w:firstLine="209"/>
        <w:spacing w:after="0" w:line="270" w:lineRule="auto"/>
        <w:rPr>
          <w:sz w:val="20"/>
          <w:szCs w:val="20"/>
          <w:color w:val="auto"/>
        </w:rPr>
      </w:pPr>
      <w:r>
        <w:rPr>
          <w:rFonts w:ascii="Times New Roman" w:cs="Times New Roman" w:eastAsia="Times New Roman" w:hAnsi="Times New Roman"/>
          <w:sz w:val="14"/>
          <w:szCs w:val="14"/>
          <w:color w:val="auto"/>
        </w:rPr>
        <w:t>We will have access to GSC Group’s finance and administration function which addresses legal, compliance, and operational matters, and promulgates and administers comprehensive policies and procedures regarding</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91" w:right="259" w:bottom="1440" w:gutter="0" w:footer="0" w:header="0"/>
        </w:sectPr>
      </w:pPr>
    </w:p>
    <w:bookmarkStart w:id="13" w:name="page14"/>
    <w:bookmarkEnd w:id="13"/>
    <w:p>
      <w:pPr>
        <w:ind w:right="40"/>
        <w:spacing w:after="0" w:line="256" w:lineRule="auto"/>
        <w:rPr>
          <w:sz w:val="20"/>
          <w:szCs w:val="20"/>
          <w:color w:val="auto"/>
        </w:rPr>
      </w:pPr>
      <w:r>
        <w:rPr>
          <w:rFonts w:ascii="Times New Roman" w:cs="Times New Roman" w:eastAsia="Times New Roman" w:hAnsi="Times New Roman"/>
          <w:sz w:val="14"/>
          <w:szCs w:val="14"/>
          <w:color w:val="auto"/>
        </w:rPr>
        <w:t>important investment adviser matters, including portfolio management, trading allocation and execution, securities valuation, risk management and information technologies in connection with the performance of our investment adviser’s duties hereunder. We believe that the finance and administrative infrastructure established by GSC Group is an important component of a complex investment vehicle such as a BDC. These systems support, and are integrated with, our portfolio management functions. GSC Group has over 170 employees, including over 70 investment professionals, who will be available to support our operations.</w:t>
      </w:r>
    </w:p>
    <w:p>
      <w:pPr>
        <w:spacing w:after="0" w:line="171" w:lineRule="exact"/>
        <w:rPr>
          <w:sz w:val="20"/>
          <w:szCs w:val="20"/>
          <w:color w:val="auto"/>
        </w:rPr>
      </w:pPr>
    </w:p>
    <w:p>
      <w:pPr>
        <w:ind w:right="140" w:firstLine="209"/>
        <w:spacing w:after="0" w:line="270" w:lineRule="auto"/>
        <w:rPr>
          <w:sz w:val="20"/>
          <w:szCs w:val="20"/>
          <w:color w:val="auto"/>
        </w:rPr>
      </w:pPr>
      <w:r>
        <w:rPr>
          <w:rFonts w:ascii="Times New Roman" w:cs="Times New Roman" w:eastAsia="Times New Roman" w:hAnsi="Times New Roman"/>
          <w:sz w:val="14"/>
          <w:szCs w:val="14"/>
          <w:color w:val="auto"/>
        </w:rPr>
        <w:t>We will also have the benefit of the experience of GSC Group’s senior professionals and members of its advisory board, many of whom have served on public and private company boards and/or served in other senior management roles. We believe that this experience will also be valuable to our investment adviser and to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Initial investment</w:t>
      </w:r>
    </w:p>
    <w:p>
      <w:pPr>
        <w:spacing w:after="0" w:line="199" w:lineRule="exact"/>
        <w:rPr>
          <w:sz w:val="20"/>
          <w:szCs w:val="20"/>
          <w:color w:val="auto"/>
        </w:rPr>
      </w:pPr>
    </w:p>
    <w:p>
      <w:pPr>
        <w:ind w:right="160" w:firstLine="209"/>
        <w:spacing w:after="0" w:line="254" w:lineRule="auto"/>
        <w:rPr>
          <w:sz w:val="20"/>
          <w:szCs w:val="20"/>
          <w:color w:val="auto"/>
        </w:rPr>
      </w:pPr>
      <w:r>
        <w:rPr>
          <w:rFonts w:ascii="Times New Roman" w:cs="Times New Roman" w:eastAsia="Times New Roman" w:hAnsi="Times New Roman"/>
          <w:sz w:val="14"/>
          <w:szCs w:val="14"/>
          <w:color w:val="auto"/>
        </w:rPr>
        <w:t>We have entered into a portfolio acquisition agreement with CDO Fund III that grants us the exclusive right to purchase certain investments for approximately $216 million in cash (subject to certain adjustments), plus accrued interest on the assets in the Portfolio. The Portfolio, which had a weighted average yield of 10.7% as of September 30, 2006, contains, based on outstanding principal amount as of September 30, 2006, 35.0% first lien loans, 23.4% second lien loans, 17.0% secured bonds and 24.8% unsecured bonds. The Portfolio satisfies our investment objectives but we anticipate that over time the amount of senior secured and unsecured bonds will decrease as a percentage of our total assets as we add mezzanine loans and new first and second lien loan assets to the Portfolio. Below is a summary of the Portfolio as of September 30, 2006: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Estimated Fair</w:t>
            </w:r>
          </w:p>
        </w:tc>
        <w:tc>
          <w:tcPr>
            <w:tcW w:w="2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22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Weighted Avg.</w:t>
            </w:r>
          </w:p>
        </w:tc>
      </w:tr>
      <w:tr>
        <w:trPr>
          <w:trHeight w:val="115"/>
        </w:trPr>
        <w:tc>
          <w:tcPr>
            <w:tcW w:w="76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Market Value</w:t>
            </w:r>
          </w:p>
        </w:tc>
        <w:tc>
          <w:tcPr>
            <w:tcW w:w="2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of Total</w:t>
            </w:r>
          </w:p>
        </w:tc>
        <w:tc>
          <w:tcPr>
            <w:tcW w:w="22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Avg. Yield(1)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Maturity</w:t>
            </w:r>
          </w:p>
        </w:tc>
      </w:tr>
      <w:tr>
        <w:trPr>
          <w:trHeight w:val="139"/>
        </w:trPr>
        <w:tc>
          <w:tcPr>
            <w:tcW w:w="76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($000s)</w:t>
            </w:r>
          </w:p>
        </w:tc>
        <w:tc>
          <w:tcPr>
            <w:tcW w:w="860" w:type="dxa"/>
            <w:vAlign w:val="bottom"/>
            <w:gridSpan w:val="2"/>
          </w:tcPr>
          <w:p>
            <w:pPr>
              <w:jc w:val="center"/>
              <w:ind w:left="155"/>
              <w:spacing w:after="0"/>
              <w:rPr>
                <w:sz w:val="20"/>
                <w:szCs w:val="20"/>
                <w:color w:val="auto"/>
              </w:rPr>
            </w:pPr>
            <w:r>
              <w:rPr>
                <w:rFonts w:ascii="Times New Roman" w:cs="Times New Roman" w:eastAsia="Times New Roman" w:hAnsi="Times New Roman"/>
                <w:sz w:val="10"/>
                <w:szCs w:val="10"/>
                <w:b w:val="1"/>
                <w:bCs w:val="1"/>
                <w:color w:val="auto"/>
                <w:w w:val="95"/>
              </w:rPr>
              <w:t>(%)</w:t>
            </w:r>
          </w:p>
        </w:tc>
        <w:tc>
          <w:tcPr>
            <w:tcW w:w="860" w:type="dxa"/>
            <w:vAlign w:val="bottom"/>
            <w:gridSpan w:val="2"/>
          </w:tcPr>
          <w:p>
            <w:pPr>
              <w:jc w:val="center"/>
              <w:ind w:left="135"/>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(Years)</w:t>
            </w:r>
          </w:p>
        </w:tc>
      </w:tr>
      <w:tr>
        <w:trPr>
          <w:trHeight w:val="73"/>
        </w:trPr>
        <w:tc>
          <w:tcPr>
            <w:tcW w:w="762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r>
      <w:tr>
        <w:trPr>
          <w:trHeight w:val="261"/>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First Lien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9.5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5.0</w:t>
            </w:r>
          </w:p>
        </w:tc>
      </w:tr>
      <w:tr>
        <w:trPr>
          <w:trHeight w:val="188"/>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Second Lien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5.1</w:t>
            </w:r>
          </w:p>
        </w:tc>
      </w:tr>
      <w:tr>
        <w:trPr>
          <w:trHeight w:val="188"/>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Bonds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12.6</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2.7</w:t>
            </w:r>
          </w:p>
        </w:tc>
      </w:tr>
      <w:tr>
        <w:trPr>
          <w:trHeight w:val="188"/>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Unsecured Bonds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4.6</w:t>
            </w:r>
          </w:p>
        </w:tc>
      </w:tr>
      <w:tr>
        <w:trPr>
          <w:trHeight w:val="86"/>
        </w:trPr>
        <w:tc>
          <w:tcPr>
            <w:tcW w:w="762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r>
      <w:tr>
        <w:trPr>
          <w:trHeight w:val="261"/>
        </w:trPr>
        <w:tc>
          <w:tcPr>
            <w:tcW w:w="76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10.7</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4.5</w:t>
            </w:r>
          </w:p>
        </w:tc>
      </w:tr>
      <w:tr>
        <w:trPr>
          <w:trHeight w:val="86"/>
        </w:trPr>
        <w:tc>
          <w:tcPr>
            <w:tcW w:w="762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226060</wp:posOffset>
            </wp:positionV>
            <wp:extent cx="110299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80" w:hanging="576"/>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those securities which have a floating interest rate, we have assumed LIBOR equal to 5.2% for the calculation.</w:t>
      </w:r>
    </w:p>
    <w:p>
      <w:pPr>
        <w:spacing w:after="0" w:line="195"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This Portfolio was originated and managed by GSC Group’s corporate credit group. We have engaged an independent valuation firm to provide a fair value determination for the investments in the Portfolio. The current purchase price is based on the fair value of the investments as estimated by such independent valuation firm. The terms of the portfolio acquisition agreement provide for a final valuation of the investments and a corresponding price adjustment prior to the closing of the purchase of the Portfolio. Consents are generally not required with respect to the transfer or assignment of the investments in the Portfolio, except in the case of a limited number of the Portfolio assets, which consents, we expect to receive prior to the purchase of the Portfolio. We intend to use the proceeds of this offering, together with borrowings under the Company Credit Facility, to fund the purchase of the Portfolio as soon as practicable after the closing of this offering. See “Liquidity” and “Obligations and Indebtedness—The Company Credit Facility” and “Business—Prospective investments—The Portfolio.”</w:t>
      </w:r>
    </w:p>
    <w:p>
      <w:pPr>
        <w:spacing w:after="0" w:line="173"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Our ability to purchase the Portfolio is conditioned upon the successful defeasance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retirement) of the secured notes of CDO Fund III, which is expected to occur simultaneously with the closing of this offering. Under the indenture governing the secured notes issued by CDO Fund III, CDO Fund III is required to place on deposit with the indenture trustee, an aggregate of $480 million, which is an amount sufficient to allow the defeasance of the secured notes issued by CDO Fund III under the indenture. CDO Fund III expects to fund the required deposit amount from available cash, together with a separate short-term senior secured Credit Facility (the “CDO Fund III Credit Facility”). CDO Fund III expects to receive a commitment from each of Citibank, N.A., an affiliate of Citigroup Global Markets Inc., and JPMorgan Chase Bank, N.A., an affiliate of J.P. Morgan Securities Inc., to provide the CDO Fund III Credit Facility. Both Citigroup Global Markets Inc. and J.P. Morgan Securities Inc. are underwriters in this offering. CDO Fund III expects that the CDO Fund III Credit Facility will be conditioned on the receipt of a minimum amount of gross proceeds from this offering and other customary conditions to closing. If sufficient funding under this facility is not available for any reason, CDO Fund III will need to arrange alternative financing to fund the required deposit in order to retire the secured notes and thereby allow the Portfolio to be delivered to us under the portfolio acquisition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507" w:right="219" w:bottom="1440" w:gutter="0" w:footer="0" w:header="0"/>
        </w:sectPr>
      </w:pPr>
    </w:p>
    <w:bookmarkStart w:id="14" w:name="page15"/>
    <w:bookmarkEnd w:id="14"/>
    <w:p>
      <w:pPr>
        <w:ind w:right="160" w:firstLine="209"/>
        <w:spacing w:after="0" w:line="260" w:lineRule="auto"/>
        <w:rPr>
          <w:sz w:val="20"/>
          <w:szCs w:val="20"/>
          <w:color w:val="auto"/>
        </w:rPr>
      </w:pPr>
      <w:r>
        <w:rPr>
          <w:rFonts w:ascii="Times New Roman" w:cs="Times New Roman" w:eastAsia="Times New Roman" w:hAnsi="Times New Roman"/>
          <w:sz w:val="14"/>
          <w:szCs w:val="14"/>
          <w:color w:val="auto"/>
        </w:rPr>
        <w:t>The sale of the CDO Fund III assets (including the Portfolio to be purchased by the Company) will result in cash proceeds for the equity investors in CDO Fund III (including the Company). As a result of the Contribution, due to its interests in CDO Fund III contributed by GSC Group and/or its affiliates, the Company also expects to receive an incentive fee of 20% of the profits of such third party equity investors and accrued and unpaid fees due to the investment manager in its role as collateral manager of CDO Fund III. See “Contribution.”</w:t>
      </w:r>
    </w:p>
    <w:p>
      <w:pPr>
        <w:spacing w:after="0" w:line="168" w:lineRule="exact"/>
        <w:rPr>
          <w:sz w:val="20"/>
          <w:szCs w:val="20"/>
          <w:color w:val="auto"/>
        </w:rPr>
      </w:pPr>
    </w:p>
    <w:p>
      <w:pPr>
        <w:ind w:right="40" w:firstLine="209"/>
        <w:spacing w:after="0" w:line="254" w:lineRule="auto"/>
        <w:rPr>
          <w:sz w:val="20"/>
          <w:szCs w:val="20"/>
          <w:color w:val="auto"/>
        </w:rPr>
      </w:pPr>
      <w:r>
        <w:rPr>
          <w:rFonts w:ascii="Times New Roman" w:cs="Times New Roman" w:eastAsia="Times New Roman" w:hAnsi="Times New Roman"/>
          <w:sz w:val="14"/>
          <w:szCs w:val="14"/>
          <w:color w:val="auto"/>
        </w:rPr>
        <w:t>In addition to the acquisition of this Portfolio, we expect to make additional investments in first lien loans, second lien loans and/or mezzanine debt. We currently expect that we will use borrowed funds to make any such additional investments. The consummation of any of these additional investments depends upon the completion of this offering and the closing of the Company Credit Facility and, among other things, satisfactory completion of our due diligence investigation of the prospective portfolio companies, our acceptance of the terms and structures of such investment, the execution and delivery of satisfactory documentation and the receipt of any necessary consents. Any such investments will be made in accordance with our investment policies and procedures. We cannot assure you that we will make any of these investments.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and Regulatory Structure</w:t>
      </w:r>
    </w:p>
    <w:p>
      <w:pPr>
        <w:spacing w:after="0" w:line="199" w:lineRule="exact"/>
        <w:rPr>
          <w:sz w:val="20"/>
          <w:szCs w:val="20"/>
          <w:color w:val="auto"/>
        </w:rPr>
      </w:pPr>
    </w:p>
    <w:p>
      <w:pPr>
        <w:ind w:right="540" w:firstLine="209"/>
        <w:spacing w:after="0" w:line="270" w:lineRule="auto"/>
        <w:rPr>
          <w:sz w:val="20"/>
          <w:szCs w:val="20"/>
          <w:color w:val="auto"/>
        </w:rPr>
      </w:pPr>
      <w:r>
        <w:rPr>
          <w:rFonts w:ascii="Times New Roman" w:cs="Times New Roman" w:eastAsia="Times New Roman" w:hAnsi="Times New Roman"/>
          <w:sz w:val="14"/>
          <w:szCs w:val="14"/>
          <w:color w:val="auto"/>
        </w:rPr>
        <w:t>Our investment activities will be managed by our investment adviser, under the direction of our board of directors, a majority of whom are independent of our Company, our investment adviser, our underwriters and their respective affiliates.</w:t>
      </w:r>
    </w:p>
    <w:p>
      <w:pPr>
        <w:spacing w:after="0" w:line="161" w:lineRule="exact"/>
        <w:rPr>
          <w:sz w:val="20"/>
          <w:szCs w:val="20"/>
          <w:color w:val="auto"/>
        </w:rPr>
      </w:pPr>
    </w:p>
    <w:p>
      <w:pPr>
        <w:ind w:right="40" w:firstLine="209"/>
        <w:spacing w:after="0" w:line="253" w:lineRule="auto"/>
        <w:rPr>
          <w:sz w:val="20"/>
          <w:szCs w:val="20"/>
          <w:color w:val="auto"/>
        </w:rPr>
      </w:pPr>
      <w:r>
        <w:rPr>
          <w:rFonts w:ascii="Times New Roman" w:cs="Times New Roman" w:eastAsia="Times New Roman" w:hAnsi="Times New Roman"/>
          <w:sz w:val="14"/>
          <w:szCs w:val="14"/>
          <w:color w:val="auto"/>
        </w:rPr>
        <w:t>As a BDC, we will be required to comply with certain regulatory requirements. For example, while we are permitted to finance investments using leverage, which may include the issuance of shares of preferred stock, commercial paper or notes and other borrowings, our ability to use leverage will be limited in certain significant respects. See “Regulation.” Any decision to use leverage will depend upon our assessment of the attractiveness of available investment opportunities in relation to the costs and perceived risks of such leverage. The use of leverage to finance investments creates certain risks and conflicts of interest. See “Risk Factors—Risks related to our business—If we incur indebtedness or issue senior securities we will be exposed to additional risks, including the typical risks associated with leverage” and “Risk-Factors — Risks related to our business — We will pay the investment adviser incentive compensation based on our net investment income and realized capital gains, which may create an incentive for the investment adviser to cause us to incur more leverage than is prudent in order to maximize its compensation.”</w:t>
      </w:r>
    </w:p>
    <w:p>
      <w:pPr>
        <w:spacing w:after="0" w:line="175"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Also, as a BDC, we will be generally prohibited from acquiring assets other than “qualifying assets” unless, after giving effect to the acquisition, at least 70% of our total assets are qualifying assets. Qualifying assets generally include securities of “eligible portfolio companies,” cash, cash equivalents, U.S. government securities and high-quality debt instruments maturing in one year or less from the time of investment. An “eligible portfolio company” is defined under the 1940 Act to include a company that does not have a class of outstanding marginable securities. Certain amendments to the definition of a marginable security under the Federal Reserve Board’s margin rules have raised questions as to whether a non-traded company that has outstanding debt securities would qualify as an eligible portfolio company. The Securities and Exchange Commission (the “SEC”) has proposed rules that would define an “eligible portfolio company” as any company that does not have securities listed on a national securities exchange or association. In addition, legislation that has been passed by the U.S. House of Representatives and is currently pending in the U.S. Senate would expand the definition of eligible portfolio companies to include publicly-traded companies with a market capitalization of less than $250 million. If adopted or enacted, the effect of these rules or laws would be to reduce significantly or eliminate confusion surrounding whether a company qualifies as an eligible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sectPr>
      </w:pPr>
    </w:p>
    <w:bookmarkStart w:id="15" w:name="page16"/>
    <w:bookmarkEnd w:id="15"/>
    <w:p>
      <w:pPr>
        <w:ind w:right="100"/>
        <w:spacing w:after="0" w:line="260" w:lineRule="auto"/>
        <w:rPr>
          <w:sz w:val="20"/>
          <w:szCs w:val="20"/>
          <w:color w:val="auto"/>
        </w:rPr>
      </w:pPr>
      <w:r>
        <w:rPr>
          <w:rFonts w:ascii="Times New Roman" w:cs="Times New Roman" w:eastAsia="Times New Roman" w:hAnsi="Times New Roman"/>
          <w:sz w:val="14"/>
          <w:szCs w:val="14"/>
          <w:color w:val="auto"/>
        </w:rPr>
        <w:t>portfolio company. However, we would not need to adjust our investment objective and policies if such proposed rules or laws are not adopted or enacted. We continue to monitor this situation closely and intend to adjust our investment focus as needed to comply with these rules or laws, if adopted or enacted, or of any other future administrative position, judicial decision or legislative action. See “Regulation.” We may invest up to 30% of our portfolio in opportunistic investments that our investment adviser identifies in order to seek to enhance returns to stockholders.</w:t>
      </w:r>
    </w:p>
    <w:p>
      <w:pPr>
        <w:spacing w:after="0" w:line="168" w:lineRule="exact"/>
        <w:rPr>
          <w:sz w:val="20"/>
          <w:szCs w:val="20"/>
          <w:color w:val="auto"/>
        </w:rPr>
      </w:pPr>
    </w:p>
    <w:p>
      <w:pPr>
        <w:ind w:right="340" w:firstLine="209"/>
        <w:spacing w:after="0" w:line="270" w:lineRule="auto"/>
        <w:rPr>
          <w:sz w:val="20"/>
          <w:szCs w:val="20"/>
          <w:color w:val="auto"/>
        </w:rPr>
      </w:pPr>
      <w:r>
        <w:rPr>
          <w:rFonts w:ascii="Times New Roman" w:cs="Times New Roman" w:eastAsia="Times New Roman" w:hAnsi="Times New Roman"/>
          <w:sz w:val="14"/>
          <w:szCs w:val="14"/>
          <w:color w:val="auto"/>
        </w:rPr>
        <w:t>We intend to elect to be treated for U.S. federal income tax purposes as a RIC. In order to be treated as a RIC, we must satisfy, among other things, certain income, asset diversification and distribution requirements. See “Material U.S. Federal Income Tax Considerations.”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Resolution of potential conflicts of interest; equitable allocation of investment opportunities</w:t>
      </w:r>
    </w:p>
    <w:p>
      <w:pPr>
        <w:spacing w:after="0" w:line="199"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Subject to the 1940 Act restrictions on co-investments with affiliates, GSC Group will offer us the right to participate in all investment opportunities that it determines are appropriate for us in view of our investment objectives, policies and strategies and other relevant factors, subject to the exception that, in accordance with GSC Group’s conflict of interest and allocation policies, we might not participate in each individual opportunity but will, on an overall basis, be entitled to equitably participate with GSC Group’s other funds or other clients.</w:t>
      </w:r>
    </w:p>
    <w:p>
      <w:pPr>
        <w:spacing w:after="0" w:line="168" w:lineRule="exact"/>
        <w:rPr>
          <w:sz w:val="20"/>
          <w:szCs w:val="20"/>
          <w:color w:val="auto"/>
        </w:rPr>
      </w:pPr>
    </w:p>
    <w:p>
      <w:pPr>
        <w:ind w:right="60" w:firstLine="209"/>
        <w:spacing w:after="0" w:line="253" w:lineRule="auto"/>
        <w:rPr>
          <w:sz w:val="20"/>
          <w:szCs w:val="20"/>
          <w:color w:val="auto"/>
        </w:rPr>
      </w:pPr>
      <w:r>
        <w:rPr>
          <w:rFonts w:ascii="Times New Roman" w:cs="Times New Roman" w:eastAsia="Times New Roman" w:hAnsi="Times New Roman"/>
          <w:sz w:val="14"/>
          <w:szCs w:val="14"/>
          <w:color w:val="auto"/>
        </w:rPr>
        <w:t>We anticipate that we will be GSC Group’s principal investment vehicle for non-distressed second lien loans and mezzanine debt of U.S. middle market entities. Although existing and future investment vehicles managed or to be managed by GSC Group invest or may invest in mezzanine loans and second lien loans, none of these investment vehicles target non-distressed domestic second lien and mezzanine loans as the core of their portfolios. For example, while funds managed by GSC Group’s control distressed debt group may purchase second lien loans and mezzanine debt of private middle market companies, these funds will typically be interested in these assets in distressed situations, whereas we generally will seek to hold performing debt. Likewise, while funds managed by GSC Group’s structured finance group may purchase second lien loans and mezzanine debt as an aspect of their investment strategies, these funds are largely focused on asset-backed and mortgage-backed loans and debt, not on corporate debt of the type we target. Finally, due to the high amounts of leverage deployed by various CDO funds managed by GSC Group, these funds tend to target first lien loans, while second lien and mezzanine loans are a secondary part of the strategy.</w:t>
      </w:r>
    </w:p>
    <w:p>
      <w:pPr>
        <w:spacing w:after="0" w:line="173" w:lineRule="exact"/>
        <w:rPr>
          <w:sz w:val="20"/>
          <w:szCs w:val="20"/>
          <w:color w:val="auto"/>
        </w:rPr>
      </w:pPr>
    </w:p>
    <w:p>
      <w:pPr>
        <w:ind w:right="80" w:firstLine="209"/>
        <w:spacing w:after="0" w:line="253" w:lineRule="auto"/>
        <w:rPr>
          <w:sz w:val="20"/>
          <w:szCs w:val="20"/>
          <w:color w:val="auto"/>
        </w:rPr>
      </w:pPr>
      <w:r>
        <w:rPr>
          <w:rFonts w:ascii="Times New Roman" w:cs="Times New Roman" w:eastAsia="Times New Roman" w:hAnsi="Times New Roman"/>
          <w:sz w:val="14"/>
          <w:szCs w:val="14"/>
          <w:color w:val="auto"/>
        </w:rPr>
        <w:t>To the extent that we do compete with any of GSC Group’s clients for a particular investment opportunity, our investment adviser will allocate the investment opportunity across the funds for which the investment is appropriate based on its internal conflict of interest and allocation policies consistent with the requirements of the Investment Advisers Act of 1940, as amended (the “Advisers Act”), subject further to the 1940 Act restrictions on co-investments with affiliates and also giving effect to priorities that may be enjoyed by one or more funds based on their investment mandate or guidelines. For example, GSC European Mezzanine Fund II, L.P. has a priority on investments in mezzanine securities, primarily of issuers located in Europe. Subject to the foregoing, GSC Group’s allocation policies are intended to ensure that we may generally share equitably with other GSC Group-managed investment vehicles in investment opportunities, particularly those involving a security with limited supply or involving differing classes of securities of the same issuer, that may be suitable for us and such other investment vehicles.</w:t>
      </w:r>
    </w:p>
    <w:p>
      <w:pPr>
        <w:spacing w:after="0" w:line="175" w:lineRule="exact"/>
        <w:rPr>
          <w:sz w:val="20"/>
          <w:szCs w:val="20"/>
          <w:color w:val="auto"/>
        </w:rPr>
      </w:pPr>
    </w:p>
    <w:p>
      <w:pPr>
        <w:ind w:right="140" w:firstLine="209"/>
        <w:spacing w:after="0" w:line="253" w:lineRule="auto"/>
        <w:rPr>
          <w:sz w:val="20"/>
          <w:szCs w:val="20"/>
          <w:color w:val="auto"/>
        </w:rPr>
      </w:pPr>
      <w:r>
        <w:rPr>
          <w:rFonts w:ascii="Times New Roman" w:cs="Times New Roman" w:eastAsia="Times New Roman" w:hAnsi="Times New Roman"/>
          <w:sz w:val="14"/>
          <w:szCs w:val="14"/>
          <w:color w:val="auto"/>
        </w:rPr>
        <w:t>GSC Group has historically managed investment vehicles with similar or overlapping investment strategies and has a conflict-resolution policy in place that will also address the co-investment restrictions under the 1940 Act. The policy is intended to ensure that we comply with the 1940 Act restrictions on transactions with affiliates. These restrictions will significantly impact our ability to co-invest with other GSC Group’s funds. While the 1940 Act generally prohibits all “joint transactions” between entities that share a common investment adviser, the staff of the SEC has granted no-action relief permitting purchases of a single class of privately-placed securities, provided that the investment adviser negotiates no term other than price and certain other conditions are satisfied. As a result, we only expect to co-invest on a concurrent basis with GSC Group’s funds when each fund will own the same securities of the issuer. If opportunities arise that would otherwise be appropriate for us and for one or more of GSC Group’s other funds to invest in different securities of the same issuer, our investment adviser will need to decide whether we or the other funds will proceed with the investment. See “Regulation—Co-investment.”</w:t>
      </w:r>
    </w:p>
    <w:p>
      <w:pPr>
        <w:spacing w:after="0" w:line="173"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GSC Group’s allocation procedures seek to allocate investment opportunities among the investment vehicles of GSC Group in a manner consistent with its obligations under the Advisers Act. If two or more investment vehicles with similar investment strategies are still in their investment periods, an available investment opportunity will be allocated based on the provisions governing allocations of investment opportunities in the relevant organizational documents.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Liquidity</w:t>
      </w:r>
    </w:p>
    <w:p>
      <w:pPr>
        <w:spacing w:after="0" w:line="199" w:lineRule="exact"/>
        <w:rPr>
          <w:sz w:val="20"/>
          <w:szCs w:val="20"/>
          <w:color w:val="auto"/>
        </w:rPr>
      </w:pPr>
    </w:p>
    <w:p>
      <w:pPr>
        <w:ind w:right="420" w:firstLine="209"/>
        <w:spacing w:after="0" w:line="270" w:lineRule="auto"/>
        <w:rPr>
          <w:sz w:val="20"/>
          <w:szCs w:val="20"/>
          <w:color w:val="auto"/>
        </w:rPr>
      </w:pPr>
      <w:r>
        <w:rPr>
          <w:rFonts w:ascii="Times New Roman" w:cs="Times New Roman" w:eastAsia="Times New Roman" w:hAnsi="Times New Roman"/>
          <w:sz w:val="14"/>
          <w:szCs w:val="14"/>
          <w:color w:val="auto"/>
        </w:rPr>
        <w:t>As a BDC, with certain limited exceptions, we are only allowed to borrow amounts such that our asset coverage, as defined in the 1940 Act, equals at least 200% after such borrowing. The amount of leverage that we employ will depend on our investment adviser’s and our board of directors’ assessment of market conditions and other factors at the time of any proposed borrowing.</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Prior to the closing of this offering, we expect to receive a commitment for the Company Credit Facility, which we expect will be a five-year senior secured revolving credit facility with each of Citibank,</w:t>
      </w:r>
    </w:p>
    <w:p>
      <w:pPr>
        <w:spacing w:after="0" w:line="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N.A., an affiliate of Citigroup Global Markets Inc., and JPMorgan Chase Bank, N.A., an affiliate of J.P. Morgan Securities Inc., in an aggregate amount of up to $ million. Both Citigroup Global Markets Inc. and J.P. Morgan Securities Inc. are underwriters in this offering. We expect the terms to include an undertaking by each of Citibank, N.A. and JPMorgan Chase Bank, N.A. to use its commercially reasonable efforts to syndicate loan commitments together with its $ million loan commitment, in an aggregate amount of up to $ million. We anticipate the closing of the Company Credit Facility will be conditioned on the receipt of a minimum of $ million of the gross proceeds from this offering and other customary conditions. The proceeds from the Company Credit Facility are to be used for our</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general purposes, including the acquisition and funding of the purchase of the Portfolio under the portfolio acquisition agreement, and will be secured by a perfected first priority lien in all of our portfolio investments (subject to certain exceptions) and availability under the Company Credit Facility will be subject to a borrowing base. We expect to raise additional funds, through public and private offerings of our securities and additional borrowings under the Company Credit Facility, which will be used to purchase additional assets. Any additional funds raised through offerings of our securities will further increase our capacity to borrow under the Company Credit Facility in compliance with the asset coverage test noted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99" w:lineRule="exact"/>
        <w:rPr>
          <w:sz w:val="20"/>
          <w:szCs w:val="20"/>
          <w:color w:val="auto"/>
        </w:rPr>
      </w:pPr>
    </w:p>
    <w:p>
      <w:pPr>
        <w:ind w:right="200" w:firstLine="209"/>
        <w:spacing w:after="0" w:line="270" w:lineRule="auto"/>
        <w:rPr>
          <w:sz w:val="20"/>
          <w:szCs w:val="20"/>
          <w:color w:val="auto"/>
        </w:rPr>
      </w:pPr>
      <w:r>
        <w:rPr>
          <w:rFonts w:ascii="Times New Roman" w:cs="Times New Roman" w:eastAsia="Times New Roman" w:hAnsi="Times New Roman"/>
          <w:sz w:val="14"/>
          <w:szCs w:val="14"/>
          <w:color w:val="auto"/>
        </w:rPr>
        <w:t>Investing in this offering involves risks. The following is a summary of certain risks that you should carefully consider before investing in our common stock. In addition, see “Risk Factors” beginning on page 21 for a more detailed discussion of these risk factors.</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are a newly-incorporated Maryland corporation with no operating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may not be able to replicate GSC Group’s historical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may compete with investment vehicles of GSC Group for access to GSC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are dependent upon our investment adviser’s key personnel for our future success and upon their access to GSC Group investment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color w:val="auto"/>
        </w:rPr>
        <w:t>Our financial condition and results of operation will depend on our ability to manage future growth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ability to grow will depend on our ability to raise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If we incur indebtedness or issue senior securities we will be exposed to additional risks, including the typical risks associated with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right="40"/>
        <w:spacing w:after="0" w:line="302" w:lineRule="auto"/>
        <w:rPr>
          <w:sz w:val="20"/>
          <w:szCs w:val="20"/>
          <w:color w:val="auto"/>
        </w:rPr>
      </w:pPr>
      <w:r>
        <w:rPr>
          <w:rFonts w:ascii="Times New Roman" w:cs="Times New Roman" w:eastAsia="Times New Roman" w:hAnsi="Times New Roman"/>
          <w:sz w:val="14"/>
          <w:szCs w:val="14"/>
          <w:color w:val="auto"/>
        </w:rPr>
        <w:t>We will pay the investment adviser a base management fee based on our total assets, which may create an incentive for the investment adviser to cause us to incur more leverage than is prudent in order to maximize its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-229870</wp:posOffset>
            </wp:positionV>
            <wp:extent cx="58420" cy="58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300" w:right="60"/>
        <w:spacing w:after="0" w:line="302" w:lineRule="auto"/>
        <w:rPr>
          <w:sz w:val="20"/>
          <w:szCs w:val="20"/>
          <w:color w:val="auto"/>
        </w:rPr>
      </w:pPr>
      <w:r>
        <w:rPr>
          <w:rFonts w:ascii="Times New Roman" w:cs="Times New Roman" w:eastAsia="Times New Roman" w:hAnsi="Times New Roman"/>
          <w:sz w:val="14"/>
          <w:szCs w:val="14"/>
          <w:color w:val="auto"/>
        </w:rPr>
        <w:t>We will pay the investment adviser incentive compensation based on our net investment income and realized capital gains, which may create an incentive for the investment adviser to cause us to incur more leverage than is prudent in order to maximize its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-229870</wp:posOffset>
            </wp:positionV>
            <wp:extent cx="58420" cy="5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We will be exposed to risks associated with changes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Many of our portfolio investments will be recorded at fair value as determined in good faith by our board of directors. As a result, there will be uncertainty as to the value of our portfolio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-60325</wp:posOffset>
            </wp:positionV>
            <wp:extent cx="58420" cy="58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lack of liquidity in our investments may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We may experience fluctuations in our quarterly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There are conflicts of interest in our relationship with our investment adviser and/or GSC Group, which could result in decisions that are not in the best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line="302" w:lineRule="auto"/>
        <w:rPr>
          <w:sz w:val="20"/>
          <w:szCs w:val="20"/>
          <w:color w:val="auto"/>
        </w:rPr>
      </w:pPr>
      <w:r>
        <w:rPr>
          <w:rFonts w:ascii="Times New Roman" w:cs="Times New Roman" w:eastAsia="Times New Roman" w:hAnsi="Times New Roman"/>
          <w:sz w:val="14"/>
          <w:szCs w:val="14"/>
          <w:color w:val="auto"/>
        </w:rPr>
        <w:t>Our investment adviser’s liability will be limited under the investment advisory and management agreement, and we will indemnify our investment adviser against certain liabilities, which may lead our investment adviser to act in a riskier manner on our behalf than it would when acting for its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-229870</wp:posOffset>
            </wp:positionV>
            <wp:extent cx="58420" cy="58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We may be obligated to pay our investment adviser incentive compensation even if we incur a net loss regardless of the market value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line="302" w:lineRule="auto"/>
        <w:rPr>
          <w:sz w:val="20"/>
          <w:szCs w:val="20"/>
          <w:color w:val="auto"/>
        </w:rPr>
      </w:pPr>
      <w:r>
        <w:rPr>
          <w:rFonts w:ascii="Times New Roman" w:cs="Times New Roman" w:eastAsia="Times New Roman" w:hAnsi="Times New Roman"/>
          <w:sz w:val="14"/>
          <w:szCs w:val="14"/>
          <w:color w:val="auto"/>
        </w:rPr>
        <w:t>Changes in laws or regulations governing our operations, or changes in the interpretation thereof, and any failure by us to comply with laws or regulations governing our operations may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-229870</wp:posOffset>
            </wp:positionV>
            <wp:extent cx="58420" cy="584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We operate in a highly competitive market for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operation as a BDC</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investment adviser and the members of its investment committee have no experience managing a BDC.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 failure on our part to maintain our qualification as a BDC would significantly reduce our operating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We will be subject to corporate-level income tax if we fail to qualify as a 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There is a risk that you may not receive distributions or that our distributions may not grow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405765</wp:posOffset>
            </wp:positionV>
            <wp:extent cx="72834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280"/>
          </w:cols>
          <w:pgMar w:left="340" w:top="695" w:right="279"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color w:val="auto"/>
        </w:rPr>
        <w:t>As a BDC, we may have difficulty paying our required distributions if we recognize income before or without receiving cash in respect of such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Regulations governing our operation as a BDC affect our ability to, and the way in which we, raise additional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If our primary investments are deemed not to be qualifying assets, we could fail to qualify as a BDC or be precluded from investing according to our current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ability to enter into transactions with our affiliates will be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common stock may trade at a discount to our net asset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investments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investments may be risky,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Economic recessions or downturns could impair our portfolio companies and harm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There may be circumstances where our debt investments could be subordinated to claims of other creditors or we could be subject to lender liability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right="180"/>
        <w:spacing w:after="0" w:line="302" w:lineRule="auto"/>
        <w:rPr>
          <w:sz w:val="20"/>
          <w:szCs w:val="20"/>
          <w:color w:val="auto"/>
        </w:rPr>
      </w:pPr>
      <w:r>
        <w:rPr>
          <w:rFonts w:ascii="Times New Roman" w:cs="Times New Roman" w:eastAsia="Times New Roman" w:hAnsi="Times New Roman"/>
          <w:sz w:val="14"/>
          <w:szCs w:val="14"/>
          <w:color w:val="auto"/>
        </w:rPr>
        <w:t>An investment strategy focused primarily on privately-held companies presents certain challenges, including the lack of available information about these companies and a greater vulnerability to economic downturns.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-229870</wp:posOffset>
            </wp:positionV>
            <wp:extent cx="58420" cy="584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portfolio companies may incur debt or issue equity securities that rank equally with, or senior to, our investments in such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Investments in equity securities involve a substantial degree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incentive fee may induce our investment adviser to make certain investments, including speculative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investments in foreign debt may involve significant risks in addition to the risks inherent in U.S.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We may expose ourselves to risks if we engage in hedging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lack of liquidity in our investments may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Other than the agreement relating to the purchase of the Portfolio, we have not entered into any binding agreements with respect to any portfolio company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line="302" w:lineRule="auto"/>
        <w:rPr>
          <w:sz w:val="20"/>
          <w:szCs w:val="20"/>
          <w:color w:val="auto"/>
        </w:rPr>
      </w:pPr>
      <w:r>
        <w:rPr>
          <w:rFonts w:ascii="Times New Roman" w:cs="Times New Roman" w:eastAsia="Times New Roman" w:hAnsi="Times New Roman"/>
          <w:sz w:val="14"/>
          <w:szCs w:val="14"/>
          <w:color w:val="auto"/>
        </w:rPr>
        <w:t>When we are a debt or minority equity investor in a portfolio company, we may not be in a position to control the entity, and its management may make decisions that could decrease the value of 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-229870</wp:posOffset>
            </wp:positionV>
            <wp:extent cx="58420" cy="584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Our board of directors may change our operating policies and strategies without prior notice or stockholder approval, the effects of which may be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this offering</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An active trading market for our common stock may not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Investing in our common stock may involve an above average degree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-74930</wp:posOffset>
            </wp:positionV>
            <wp:extent cx="58420" cy="58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405765</wp:posOffset>
            </wp:positionV>
            <wp:extent cx="72834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080"/>
          </w:cols>
          <w:pgMar w:left="340" w:top="695" w:right="47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4"/>
          <w:szCs w:val="14"/>
          <w:color w:val="auto"/>
        </w:rPr>
        <w:t>We may allocate the net proceeds from this offering in ways with which you may not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may sell additional shares of common stock in the future, which may dilute existing stockholders’ interests in us or cause the market price of our common stock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-60325</wp:posOffset>
            </wp:positionV>
            <wp:extent cx="58420" cy="58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market price of our common stock may fluctuate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Provisions of our governing documents and the Maryland General Corporation Law could deter takeover attempts and have an adverse impact on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-60325</wp:posOffset>
            </wp:positionV>
            <wp:extent cx="58420" cy="58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Our corporate offices are located at 12 East 49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4"/>
          <w:szCs w:val="14"/>
          <w:color w:val="auto"/>
        </w:rPr>
        <w:t xml:space="preserve"> Street, Suite 3200, New York, New York 10017. Our telephone number is (212) 884-6200.</w:t>
      </w:r>
    </w:p>
    <w:p>
      <w:pPr>
        <w:spacing w:after="0" w:line="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0239"/>
          </w:cols>
          <w:pgMar w:left="220" w:top="695" w:right="1440" w:bottom="1440" w:gutter="0" w:footer="0" w:header="0"/>
        </w:sectPr>
      </w:pPr>
    </w:p>
    <w:bookmarkStart w:id="20" w:name="page21"/>
    <w:bookmarkEnd w:id="20"/>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offered by us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 stock outstanding after this offering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 of Proceeds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Listing</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Trading at a Discount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Distributions</w:t>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9" w:lineRule="exact"/>
        <w:rPr>
          <w:sz w:val="20"/>
          <w:szCs w:val="20"/>
          <w:color w:val="auto"/>
        </w:rPr>
      </w:pPr>
    </w:p>
    <w:p>
      <w:pPr>
        <w:ind w:left="200"/>
        <w:spacing w:after="0"/>
        <w:tabs>
          <w:tab w:leader="none" w:pos="4280" w:val="left"/>
        </w:tabs>
        <w:rPr>
          <w:sz w:val="20"/>
          <w:szCs w:val="20"/>
          <w:color w:val="auto"/>
        </w:rPr>
      </w:pPr>
      <w:r>
        <w:rPr>
          <w:rFonts w:ascii="Times New Roman" w:cs="Times New Roman" w:eastAsia="Times New Roman" w:hAnsi="Times New Roman"/>
          <w:sz w:val="14"/>
          <w:szCs w:val="14"/>
          <w:color w:val="auto"/>
        </w:rPr>
        <w:t>shares of our common stock, $0.0001 par value per share (excluding</w:t>
      </w:r>
      <w:r>
        <w:rPr>
          <w:sz w:val="20"/>
          <w:szCs w:val="20"/>
          <w:color w:val="auto"/>
        </w:rPr>
        <w:tab/>
      </w:r>
      <w:r>
        <w:rPr>
          <w:rFonts w:ascii="Times New Roman" w:cs="Times New Roman" w:eastAsia="Times New Roman" w:hAnsi="Times New Roman"/>
          <w:sz w:val="12"/>
          <w:szCs w:val="12"/>
          <w:color w:val="auto"/>
        </w:rPr>
        <w:t>shares issuable pursuant to the option to purchase</w:t>
      </w:r>
    </w:p>
    <w:p>
      <w:pPr>
        <w:spacing w:after="0" w:line="14"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14"/>
          <w:szCs w:val="14"/>
          <w:color w:val="auto"/>
        </w:rPr>
        <w:t>additional shares granted to the underwriters at $</w:t>
      </w:r>
      <w:r>
        <w:rPr>
          <w:sz w:val="20"/>
          <w:szCs w:val="20"/>
          <w:color w:val="auto"/>
        </w:rPr>
        <w:tab/>
      </w:r>
      <w:r>
        <w:rPr>
          <w:rFonts w:ascii="Times New Roman" w:cs="Times New Roman" w:eastAsia="Times New Roman" w:hAnsi="Times New Roman"/>
          <w:sz w:val="12"/>
          <w:szCs w:val="12"/>
          <w:color w:val="auto"/>
        </w:rPr>
        <w:t>per share through a group of underwriters led by Citigroup Global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Markets Inc. and J.P. Morgan Securities Inc.).</w:t>
      </w:r>
    </w:p>
    <w:p>
      <w:pPr>
        <w:spacing w:after="0" w:line="208" w:lineRule="exact"/>
        <w:rPr>
          <w:sz w:val="20"/>
          <w:szCs w:val="20"/>
          <w:color w:val="auto"/>
        </w:rPr>
      </w:pPr>
    </w:p>
    <w:p>
      <w:pPr>
        <w:ind w:firstLine="170"/>
        <w:spacing w:after="0" w:line="270" w:lineRule="auto"/>
        <w:rPr>
          <w:sz w:val="20"/>
          <w:szCs w:val="20"/>
          <w:color w:val="auto"/>
        </w:rPr>
      </w:pPr>
      <w:r>
        <w:rPr>
          <w:rFonts w:ascii="Times New Roman" w:cs="Times New Roman" w:eastAsia="Times New Roman" w:hAnsi="Times New Roman"/>
          <w:sz w:val="14"/>
          <w:szCs w:val="14"/>
          <w:color w:val="auto"/>
        </w:rPr>
        <w:t>shares (excluding shares of our common stock issuable pursuant to the option to purchase additional shares granted to the underwriters).</w:t>
      </w:r>
    </w:p>
    <w:p>
      <w:pPr>
        <w:spacing w:after="0" w:line="16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expect to use all of the net proceeds from this offering, together with borrowings under the Company Credit Facility, to fund the initial investments described under “Business—Prospective investments—The Portfolio”. See “Use of Proceeds.”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common stock has no history of public trading. We have applied for listing of our common stock on the NASDAQ Global</w:t>
      </w:r>
    </w:p>
    <w:p>
      <w:pPr>
        <w:spacing w:after="0" w:line="37"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4"/>
          <w:szCs w:val="14"/>
          <w:color w:val="auto"/>
        </w:rPr>
        <w:t>Market under the symbol “</w:t>
      </w:r>
      <w:r>
        <w:rPr>
          <w:sz w:val="20"/>
          <w:szCs w:val="20"/>
          <w:color w:val="auto"/>
        </w:rPr>
        <w:tab/>
      </w:r>
      <w:r>
        <w:rPr>
          <w:rFonts w:ascii="Times New Roman" w:cs="Times New Roman" w:eastAsia="Times New Roman" w:hAnsi="Times New Roman"/>
          <w:sz w:val="12"/>
          <w:szCs w:val="12"/>
          <w:color w:val="auto"/>
        </w:rPr>
        <w:t>”, subject to official notice of issuance.</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4"/>
          <w:szCs w:val="14"/>
          <w:color w:val="auto"/>
        </w:rPr>
        <w:t>Common stock of closed-end investment companies, including BDCs, frequently trades at discounts to net asset value and our common stock may also be discounted in the market. This characteristic of closed-end investment companies is separate and distinct from the risk that our net asset value per share may decline. We cannot predict whether our common stock will trade above, at or below our net asset value.</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intend to elect to qualify as a RIC for U.S. federal income tax purposes. As a RIC, we generally will not be subject to U.S. federal income tax on our net taxable income that is distributed to stockholders. To qualify as a RIC we must derive at least 90% of our annual gross income from certain sources, meet certain asset diversification requirements and distribute to stockholders at least 90% of our net taxable income (which includes, among other items, interest, dividends, the excess of any net short-term capital gains over net long-term capital losses and other taxable income other than net capital gains). See “Material U.S. Federal Income Tax Considerations.”</w:t>
      </w:r>
    </w:p>
    <w:p>
      <w:pPr>
        <w:spacing w:after="0" w:line="17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4"/>
          <w:szCs w:val="14"/>
          <w:color w:val="auto"/>
        </w:rPr>
        <w:t>We intend to make quarterly distributions to our stockholders out of assets legally available for distribution. Our quarterly distributions, if any, will be determined by our board of directors, but in order to maintain our qualification as a RIC, we must distribute at least 90% of our net taxable income each year.</w:t>
      </w:r>
    </w:p>
    <w:p>
      <w:pPr>
        <w:spacing w:after="0" w:line="3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-2425700</wp:posOffset>
            </wp:positionH>
            <wp:positionV relativeFrom="paragraph">
              <wp:posOffset>405765</wp:posOffset>
            </wp:positionV>
            <wp:extent cx="72834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2">
            <w:col w:w="3100" w:space="720"/>
            <w:col w:w="7000"/>
          </w:cols>
          <w:pgMar w:left="220" w:top="670" w:right="859" w:bottom="1440" w:gutter="0" w:footer="0" w:header="0"/>
        </w:sectPr>
      </w:pPr>
    </w:p>
    <w:bookmarkStart w:id="21" w:name="page22"/>
    <w:bookmarkEnd w:id="21"/>
    <w:p>
      <w:pPr>
        <w:spacing w:after="0"/>
        <w:tabs>
          <w:tab w:leader="none" w:pos="3800" w:val="left"/>
        </w:tabs>
        <w:rPr>
          <w:sz w:val="20"/>
          <w:szCs w:val="20"/>
          <w:color w:val="auto"/>
        </w:rPr>
      </w:pPr>
      <w:r>
        <w:rPr>
          <w:rFonts w:ascii="Times New Roman" w:cs="Times New Roman" w:eastAsia="Times New Roman" w:hAnsi="Times New Roman"/>
          <w:sz w:val="14"/>
          <w:szCs w:val="14"/>
          <w:color w:val="auto"/>
        </w:rPr>
        <w:t>Anti-takeover provisions</w:t>
      </w:r>
      <w:r>
        <w:rPr>
          <w:sz w:val="20"/>
          <w:szCs w:val="20"/>
          <w:color w:val="auto"/>
        </w:rPr>
        <w:tab/>
      </w:r>
      <w:r>
        <w:rPr>
          <w:rFonts w:ascii="Times New Roman" w:cs="Times New Roman" w:eastAsia="Times New Roman" w:hAnsi="Times New Roman"/>
          <w:sz w:val="12"/>
          <w:szCs w:val="12"/>
          <w:color w:val="auto"/>
        </w:rPr>
        <w:t>Our board of directors will be divided into three classes of directors serving staggered three-year terms. This structure is intended</w:t>
      </w:r>
    </w:p>
    <w:p>
      <w:pPr>
        <w:spacing w:after="0" w:line="14" w:lineRule="exact"/>
        <w:rPr>
          <w:sz w:val="20"/>
          <w:szCs w:val="20"/>
          <w:color w:val="auto"/>
        </w:rPr>
      </w:pPr>
    </w:p>
    <w:p>
      <w:pPr>
        <w:ind w:left="3820" w:right="680"/>
        <w:spacing w:after="0" w:line="252" w:lineRule="auto"/>
        <w:rPr>
          <w:sz w:val="20"/>
          <w:szCs w:val="20"/>
          <w:color w:val="auto"/>
        </w:rPr>
      </w:pPr>
      <w:r>
        <w:rPr>
          <w:rFonts w:ascii="Times New Roman" w:cs="Times New Roman" w:eastAsia="Times New Roman" w:hAnsi="Times New Roman"/>
          <w:sz w:val="14"/>
          <w:szCs w:val="14"/>
          <w:color w:val="auto"/>
        </w:rPr>
        <w:t>to provide us with a greater likelihood of continuity of management, which may be necessary for us to realize the full value of our investments. A staggered board of directors also may serve to deter hostile takeovers or proxy contests, as may certain other measures that will be adopted by us. See “Description of Our Common Stock—Provisions of our governing documents and the Maryland General Corporation Law.”</w:t>
      </w:r>
    </w:p>
    <w:p>
      <w:pPr>
        <w:spacing w:after="0" w:line="174"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4"/>
          <w:szCs w:val="14"/>
          <w:color w:val="auto"/>
        </w:rPr>
        <w:t>Leverage</w:t>
      </w:r>
      <w:r>
        <w:rPr>
          <w:sz w:val="20"/>
          <w:szCs w:val="20"/>
          <w:color w:val="auto"/>
        </w:rPr>
        <w:tab/>
      </w:r>
      <w:r>
        <w:rPr>
          <w:rFonts w:ascii="Times New Roman" w:cs="Times New Roman" w:eastAsia="Times New Roman" w:hAnsi="Times New Roman"/>
          <w:sz w:val="14"/>
          <w:szCs w:val="14"/>
          <w:color w:val="auto"/>
        </w:rPr>
        <w:t>We expect to borrow funds to make additional investments. We expect to use this practice, which is known as “leverage,” to</w:t>
      </w:r>
    </w:p>
    <w:p>
      <w:pPr>
        <w:spacing w:after="0" w:line="14" w:lineRule="exact"/>
        <w:rPr>
          <w:sz w:val="20"/>
          <w:szCs w:val="20"/>
          <w:color w:val="auto"/>
        </w:rPr>
      </w:pPr>
    </w:p>
    <w:p>
      <w:pPr>
        <w:ind w:left="3820" w:right="720"/>
        <w:spacing w:after="0" w:line="251" w:lineRule="auto"/>
        <w:rPr>
          <w:sz w:val="20"/>
          <w:szCs w:val="20"/>
          <w:color w:val="auto"/>
        </w:rPr>
      </w:pPr>
      <w:r>
        <w:rPr>
          <w:rFonts w:ascii="Times New Roman" w:cs="Times New Roman" w:eastAsia="Times New Roman" w:hAnsi="Times New Roman"/>
          <w:sz w:val="14"/>
          <w:szCs w:val="14"/>
          <w:color w:val="auto"/>
        </w:rPr>
        <w:t>attempt to increase returns to our stockholders, but it involves significant risks. See “Risk Factors,” “Obligations and Indebtedness” and “Regulation—Indebtedness and senior securities.” As a BDC, under the 1940 Act, with certain limited exceptions, we will only be allowed to borrow amounts such that our asset coverage (calculated on a consolidated basis), as defined in the 1940 Act, equals at least 200% after such borrowing. The amount of leverage that we employ will depend on our investment adviser’s and our board of directors’ assessment of market conditions and other factors at the time of any proposed borrowing.</w:t>
      </w:r>
    </w:p>
    <w:p>
      <w:pPr>
        <w:spacing w:after="0" w:line="17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4"/>
          <w:szCs w:val="14"/>
          <w:color w:val="auto"/>
        </w:rPr>
        <w:t>Management arrangements</w:t>
      </w:r>
      <w:r>
        <w:rPr>
          <w:sz w:val="20"/>
          <w:szCs w:val="20"/>
          <w:color w:val="auto"/>
        </w:rPr>
        <w:tab/>
      </w:r>
      <w:r>
        <w:rPr>
          <w:rFonts w:ascii="Times New Roman" w:cs="Times New Roman" w:eastAsia="Times New Roman" w:hAnsi="Times New Roman"/>
          <w:sz w:val="12"/>
          <w:szCs w:val="12"/>
          <w:color w:val="auto"/>
        </w:rPr>
        <w:t>GSCP (NJ), L.P. will serve as our investment adviser and our administrator. For a description of GSCP (NJ), L.P., GSC Group</w:t>
      </w:r>
    </w:p>
    <w:p>
      <w:pPr>
        <w:spacing w:after="0" w:line="14" w:lineRule="exact"/>
        <w:rPr>
          <w:sz w:val="20"/>
          <w:szCs w:val="20"/>
          <w:color w:val="auto"/>
        </w:rPr>
      </w:pPr>
    </w:p>
    <w:p>
      <w:pPr>
        <w:ind w:left="3820" w:right="680"/>
        <w:spacing w:after="0" w:line="259" w:lineRule="auto"/>
        <w:rPr>
          <w:sz w:val="20"/>
          <w:szCs w:val="20"/>
          <w:color w:val="auto"/>
        </w:rPr>
      </w:pPr>
      <w:r>
        <w:rPr>
          <w:rFonts w:ascii="Times New Roman" w:cs="Times New Roman" w:eastAsia="Times New Roman" w:hAnsi="Times New Roman"/>
          <w:sz w:val="14"/>
          <w:szCs w:val="14"/>
          <w:color w:val="auto"/>
        </w:rPr>
        <w:t>and our contractual arrangements with these companies, see “Management—Investment advisory and management agreement,” and “Management— Administration agreement.”</w:t>
      </w:r>
    </w:p>
    <w:p>
      <w:pPr>
        <w:sectPr>
          <w:pgSz w:w="11900" w:h="16838" w:orient="portrait"/>
          <w:cols w:equalWidth="0" w:num="1">
            <w:col w:w="11460"/>
          </w:cols>
          <w:pgMar w:left="220" w:top="507" w:right="21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Custodian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Transfer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Dividend Reinvestment Plan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Bank National Association, 401 S. Tryson Street,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4"/>
          <w:szCs w:val="14"/>
          <w:color w:val="auto"/>
        </w:rPr>
        <w:t xml:space="preserve"> Floor, Charlotte, NC 28288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American Stock Transfer &amp; Trust Company.</w:t>
      </w:r>
    </w:p>
    <w:p>
      <w:pPr>
        <w:spacing w:after="0" w:line="174"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14"/>
          <w:szCs w:val="14"/>
          <w:color w:val="auto"/>
        </w:rPr>
        <w:t>We have adopted a dividend reinvestment plan through which cash dividends are automatically reinvested in additional shares of our common stock, unless a stockholder opts out of the plan and elects to receive cash. Those stockholders whose shares are held by a broker or other financial intermediary may receive distributions in cash by notifying their broker or other financial intermediary of their election. See “Dividend Reinvestment Plan.”</w:t>
      </w:r>
    </w:p>
    <w:p>
      <w:pPr>
        <w:spacing w:after="0" w:line="171" w:lineRule="exact"/>
        <w:rPr>
          <w:sz w:val="20"/>
          <w:szCs w:val="20"/>
          <w:color w:val="auto"/>
        </w:rPr>
      </w:pPr>
    </w:p>
    <w:p>
      <w:pPr>
        <w:sectPr>
          <w:pgSz w:w="11900" w:h="16838" w:orient="portrait"/>
          <w:cols w:equalWidth="0" w:num="2">
            <w:col w:w="3100" w:space="720"/>
            <w:col w:w="7640"/>
          </w:cols>
          <w:pgMar w:left="220" w:top="507" w:right="21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92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Investing in our common stock involves certain risks relating to our structure and our investment objective that you should</w:t>
            </w:r>
          </w:p>
        </w:tc>
      </w:tr>
      <w:tr>
        <w:trPr>
          <w:trHeight w:val="167"/>
        </w:trPr>
        <w:tc>
          <w:tcPr>
            <w:tcW w:w="2260" w:type="dxa"/>
            <w:vAlign w:val="bottom"/>
          </w:tcPr>
          <w:p>
            <w:pPr>
              <w:spacing w:after="0"/>
              <w:rPr>
                <w:sz w:val="14"/>
                <w:szCs w:val="14"/>
                <w:color w:val="auto"/>
              </w:rPr>
            </w:pPr>
          </w:p>
        </w:tc>
        <w:tc>
          <w:tcPr>
            <w:tcW w:w="92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consider before deciding whether to invest in our common stock. See “Risk Factors” for a discussion of factors you should</w:t>
            </w:r>
          </w:p>
        </w:tc>
      </w:tr>
      <w:tr>
        <w:trPr>
          <w:trHeight w:val="175"/>
        </w:trPr>
        <w:tc>
          <w:tcPr>
            <w:tcW w:w="2260" w:type="dxa"/>
            <w:vAlign w:val="bottom"/>
          </w:tcPr>
          <w:p>
            <w:pPr>
              <w:spacing w:after="0"/>
              <w:rPr>
                <w:sz w:val="15"/>
                <w:szCs w:val="15"/>
                <w:color w:val="auto"/>
              </w:rPr>
            </w:pPr>
          </w:p>
        </w:tc>
        <w:tc>
          <w:tcPr>
            <w:tcW w:w="92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carefully consider before deciding</w:t>
            </w:r>
          </w:p>
        </w:tc>
      </w:tr>
      <w:tr>
        <w:trPr>
          <w:trHeight w:val="523"/>
        </w:trPr>
        <w:tc>
          <w:tcPr>
            <w:tcW w:w="2260" w:type="dxa"/>
            <w:vAlign w:val="bottom"/>
          </w:tcPr>
          <w:p>
            <w:pPr>
              <w:spacing w:after="0"/>
              <w:rPr>
                <w:sz w:val="24"/>
                <w:szCs w:val="24"/>
                <w:color w:val="auto"/>
              </w:rPr>
            </w:pPr>
          </w:p>
        </w:tc>
        <w:tc>
          <w:tcPr>
            <w:tcW w:w="9200" w:type="dxa"/>
            <w:vAlign w:val="bottom"/>
          </w:tcPr>
          <w:p>
            <w:pPr>
              <w:jc w:val="right"/>
              <w:ind w:right="5592"/>
              <w:spacing w:after="0"/>
              <w:rPr>
                <w:sz w:val="20"/>
                <w:szCs w:val="20"/>
                <w:color w:val="auto"/>
              </w:rPr>
            </w:pPr>
            <w:r>
              <w:rPr>
                <w:rFonts w:ascii="Times New Roman" w:cs="Times New Roman" w:eastAsia="Times New Roman" w:hAnsi="Times New Roman"/>
                <w:sz w:val="14"/>
                <w:szCs w:val="14"/>
                <w:color w:val="auto"/>
              </w:rPr>
              <w:t>16</w:t>
            </w:r>
          </w:p>
        </w:tc>
      </w:tr>
      <w:tr>
        <w:trPr>
          <w:trHeight w:val="646"/>
        </w:trPr>
        <w:tc>
          <w:tcPr>
            <w:tcW w:w="2260" w:type="dxa"/>
            <w:vAlign w:val="bottom"/>
            <w:tcBorders>
              <w:bottom w:val="single" w:sz="8" w:color="808080"/>
            </w:tcBorders>
          </w:tcPr>
          <w:p>
            <w:pPr>
              <w:spacing w:after="0"/>
              <w:rPr>
                <w:sz w:val="24"/>
                <w:szCs w:val="24"/>
                <w:color w:val="auto"/>
              </w:rPr>
            </w:pPr>
          </w:p>
        </w:tc>
        <w:tc>
          <w:tcPr>
            <w:tcW w:w="9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460"/>
          </w:cols>
          <w:pgMar w:left="220" w:top="507" w:right="21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8920" w:type="dxa"/>
            <w:vAlign w:val="bottom"/>
            <w:gridSpan w:val="3"/>
          </w:tcPr>
          <w:p>
            <w:pPr>
              <w:ind w:left="1280"/>
              <w:spacing w:after="0"/>
              <w:rPr>
                <w:sz w:val="20"/>
                <w:szCs w:val="20"/>
                <w:color w:val="auto"/>
              </w:rPr>
            </w:pPr>
            <w:r>
              <w:rPr>
                <w:rFonts w:ascii="Times New Roman" w:cs="Times New Roman" w:eastAsia="Times New Roman" w:hAnsi="Times New Roman"/>
                <w:sz w:val="14"/>
                <w:szCs w:val="14"/>
                <w:color w:val="auto"/>
              </w:rPr>
              <w:t>whether to invest in shares of our common stock.</w:t>
            </w:r>
          </w:p>
        </w:tc>
      </w:tr>
      <w:tr>
        <w:trPr>
          <w:trHeight w:val="369"/>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Additional Information</w:t>
            </w:r>
          </w:p>
        </w:tc>
        <w:tc>
          <w:tcPr>
            <w:tcW w:w="8920" w:type="dxa"/>
            <w:vAlign w:val="bottom"/>
            <w:gridSpan w:val="3"/>
          </w:tcPr>
          <w:p>
            <w:pPr>
              <w:ind w:left="1280"/>
              <w:spacing w:after="0"/>
              <w:rPr>
                <w:sz w:val="20"/>
                <w:szCs w:val="20"/>
                <w:color w:val="auto"/>
              </w:rPr>
            </w:pPr>
            <w:r>
              <w:rPr>
                <w:rFonts w:ascii="Times New Roman" w:cs="Times New Roman" w:eastAsia="Times New Roman" w:hAnsi="Times New Roman"/>
                <w:sz w:val="14"/>
                <w:szCs w:val="14"/>
                <w:color w:val="auto"/>
              </w:rPr>
              <w:t>After completion of this offering, our common stock will be registered under the Securities Exchange Act of 1934, as amended</w:t>
            </w:r>
          </w:p>
        </w:tc>
      </w:tr>
      <w:tr>
        <w:trPr>
          <w:trHeight w:val="167"/>
        </w:trPr>
        <w:tc>
          <w:tcPr>
            <w:tcW w:w="2540" w:type="dxa"/>
            <w:vAlign w:val="bottom"/>
          </w:tcPr>
          <w:p>
            <w:pPr>
              <w:spacing w:after="0"/>
              <w:rPr>
                <w:sz w:val="14"/>
                <w:szCs w:val="14"/>
                <w:color w:val="auto"/>
              </w:rPr>
            </w:pPr>
          </w:p>
        </w:tc>
        <w:tc>
          <w:tcPr>
            <w:tcW w:w="8920" w:type="dxa"/>
            <w:vAlign w:val="bottom"/>
            <w:gridSpan w:val="3"/>
          </w:tcPr>
          <w:p>
            <w:pPr>
              <w:ind w:left="1280"/>
              <w:spacing w:after="0"/>
              <w:rPr>
                <w:sz w:val="20"/>
                <w:szCs w:val="20"/>
                <w:color w:val="auto"/>
              </w:rPr>
            </w:pPr>
            <w:r>
              <w:rPr>
                <w:rFonts w:ascii="Times New Roman" w:cs="Times New Roman" w:eastAsia="Times New Roman" w:hAnsi="Times New Roman"/>
                <w:sz w:val="14"/>
                <w:szCs w:val="14"/>
                <w:color w:val="auto"/>
              </w:rPr>
              <w:t>(the “Exchange Act”), and we will be required to file reports, proxy statements and other information with the SEC. This</w:t>
            </w:r>
          </w:p>
        </w:tc>
      </w:tr>
      <w:tr>
        <w:trPr>
          <w:trHeight w:val="167"/>
        </w:trPr>
        <w:tc>
          <w:tcPr>
            <w:tcW w:w="2540" w:type="dxa"/>
            <w:vAlign w:val="bottom"/>
          </w:tcPr>
          <w:p>
            <w:pPr>
              <w:spacing w:after="0"/>
              <w:rPr>
                <w:sz w:val="14"/>
                <w:szCs w:val="14"/>
                <w:color w:val="auto"/>
              </w:rPr>
            </w:pPr>
          </w:p>
        </w:tc>
        <w:tc>
          <w:tcPr>
            <w:tcW w:w="8920" w:type="dxa"/>
            <w:vAlign w:val="bottom"/>
            <w:gridSpan w:val="3"/>
          </w:tcPr>
          <w:p>
            <w:pPr>
              <w:ind w:left="1280"/>
              <w:spacing w:after="0"/>
              <w:rPr>
                <w:sz w:val="20"/>
                <w:szCs w:val="20"/>
                <w:color w:val="auto"/>
              </w:rPr>
            </w:pPr>
            <w:r>
              <w:rPr>
                <w:rFonts w:ascii="Times New Roman" w:cs="Times New Roman" w:eastAsia="Times New Roman" w:hAnsi="Times New Roman"/>
                <w:sz w:val="14"/>
                <w:szCs w:val="14"/>
                <w:color w:val="auto"/>
              </w:rPr>
              <w:t>information will be will be available at the SEC’s public reference room at 100 F Street, N.E., Washington, D.C. 20549. You may</w:t>
            </w:r>
          </w:p>
        </w:tc>
      </w:tr>
      <w:tr>
        <w:trPr>
          <w:trHeight w:val="167"/>
        </w:trPr>
        <w:tc>
          <w:tcPr>
            <w:tcW w:w="2540" w:type="dxa"/>
            <w:vAlign w:val="bottom"/>
          </w:tcPr>
          <w:p>
            <w:pPr>
              <w:spacing w:after="0"/>
              <w:rPr>
                <w:sz w:val="14"/>
                <w:szCs w:val="14"/>
                <w:color w:val="auto"/>
              </w:rPr>
            </w:pPr>
          </w:p>
        </w:tc>
        <w:tc>
          <w:tcPr>
            <w:tcW w:w="8920" w:type="dxa"/>
            <w:vAlign w:val="bottom"/>
            <w:gridSpan w:val="3"/>
          </w:tcPr>
          <w:p>
            <w:pPr>
              <w:ind w:left="1280"/>
              <w:spacing w:after="0"/>
              <w:rPr>
                <w:sz w:val="20"/>
                <w:szCs w:val="20"/>
                <w:color w:val="auto"/>
              </w:rPr>
            </w:pPr>
            <w:r>
              <w:rPr>
                <w:rFonts w:ascii="Times New Roman" w:cs="Times New Roman" w:eastAsia="Times New Roman" w:hAnsi="Times New Roman"/>
                <w:sz w:val="14"/>
                <w:szCs w:val="14"/>
                <w:color w:val="auto"/>
              </w:rPr>
              <w:t>obtain information about the operation of the SEC’s public reference room by calling the SEC at 1-800-SEC-0330. In addition,</w:t>
            </w:r>
          </w:p>
        </w:tc>
      </w:tr>
      <w:tr>
        <w:trPr>
          <w:trHeight w:val="146"/>
        </w:trPr>
        <w:tc>
          <w:tcPr>
            <w:tcW w:w="2540" w:type="dxa"/>
            <w:vAlign w:val="bottom"/>
          </w:tcPr>
          <w:p>
            <w:pPr>
              <w:spacing w:after="0"/>
              <w:rPr>
                <w:sz w:val="12"/>
                <w:szCs w:val="12"/>
                <w:color w:val="auto"/>
              </w:rPr>
            </w:pPr>
          </w:p>
        </w:tc>
        <w:tc>
          <w:tcPr>
            <w:tcW w:w="8920" w:type="dxa"/>
            <w:vAlign w:val="bottom"/>
            <w:gridSpan w:val="3"/>
          </w:tcPr>
          <w:p>
            <w:pPr>
              <w:ind w:left="1280"/>
              <w:spacing w:after="0" w:line="146" w:lineRule="exact"/>
              <w:rPr>
                <w:sz w:val="20"/>
                <w:szCs w:val="20"/>
                <w:color w:val="auto"/>
              </w:rPr>
            </w:pPr>
            <w:r>
              <w:rPr>
                <w:rFonts w:ascii="Times New Roman" w:cs="Times New Roman" w:eastAsia="Times New Roman" w:hAnsi="Times New Roman"/>
                <w:sz w:val="14"/>
                <w:szCs w:val="14"/>
                <w:color w:val="auto"/>
              </w:rPr>
              <w:t xml:space="preserve">the SEC maintains an Internet website, at </w:t>
            </w:r>
            <w:r>
              <w:rPr>
                <w:rFonts w:ascii="Times New Roman" w:cs="Times New Roman" w:eastAsia="Times New Roman" w:hAnsi="Times New Roman"/>
                <w:sz w:val="14"/>
                <w:szCs w:val="14"/>
                <w:color w:val="0000FF"/>
              </w:rPr>
              <w:t>http://www.sec.gov</w:t>
            </w:r>
            <w:r>
              <w:rPr>
                <w:rFonts w:ascii="Times New Roman" w:cs="Times New Roman" w:eastAsia="Times New Roman" w:hAnsi="Times New Roman"/>
                <w:sz w:val="14"/>
                <w:szCs w:val="14"/>
                <w:color w:val="auto"/>
              </w:rPr>
              <w:t>, that contains reports, proxy and information statements, and other</w:t>
            </w:r>
          </w:p>
        </w:tc>
      </w:tr>
      <w:tr>
        <w:trPr>
          <w:trHeight w:val="20"/>
        </w:trPr>
        <w:tc>
          <w:tcPr>
            <w:tcW w:w="2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77"/>
        </w:trPr>
        <w:tc>
          <w:tcPr>
            <w:tcW w:w="2540" w:type="dxa"/>
            <w:vAlign w:val="bottom"/>
          </w:tcPr>
          <w:p>
            <w:pPr>
              <w:spacing w:after="0"/>
              <w:rPr>
                <w:sz w:val="15"/>
                <w:szCs w:val="15"/>
                <w:color w:val="auto"/>
              </w:rPr>
            </w:pPr>
          </w:p>
        </w:tc>
        <w:tc>
          <w:tcPr>
            <w:tcW w:w="8920" w:type="dxa"/>
            <w:vAlign w:val="bottom"/>
            <w:gridSpan w:val="3"/>
          </w:tcPr>
          <w:p>
            <w:pPr>
              <w:ind w:left="1280"/>
              <w:spacing w:after="0"/>
              <w:rPr>
                <w:sz w:val="20"/>
                <w:szCs w:val="20"/>
                <w:color w:val="auto"/>
              </w:rPr>
            </w:pPr>
            <w:r>
              <w:rPr>
                <w:rFonts w:ascii="Times New Roman" w:cs="Times New Roman" w:eastAsia="Times New Roman" w:hAnsi="Times New Roman"/>
                <w:sz w:val="14"/>
                <w:szCs w:val="14"/>
                <w:color w:val="auto"/>
              </w:rPr>
              <w:t>information regarding issuers, including us, that file documents electronically with the SEC.</w:t>
            </w:r>
          </w:p>
        </w:tc>
      </w:tr>
      <w:tr>
        <w:trPr>
          <w:trHeight w:val="523"/>
        </w:trPr>
        <w:tc>
          <w:tcPr>
            <w:tcW w:w="2540" w:type="dxa"/>
            <w:vAlign w:val="bottom"/>
          </w:tcPr>
          <w:p>
            <w:pPr>
              <w:spacing w:after="0"/>
              <w:rPr>
                <w:sz w:val="24"/>
                <w:szCs w:val="24"/>
                <w:color w:val="auto"/>
              </w:rPr>
            </w:pPr>
          </w:p>
        </w:tc>
        <w:tc>
          <w:tcPr>
            <w:tcW w:w="356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17</w:t>
            </w: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646"/>
        </w:trPr>
        <w:tc>
          <w:tcPr>
            <w:tcW w:w="25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460"/>
          </w:cols>
          <w:pgMar w:left="220" w:top="507" w:right="219" w:bottom="1440" w:gutter="0" w:footer="0" w:header="0"/>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99" w:lineRule="exact"/>
        <w:rPr>
          <w:sz w:val="20"/>
          <w:szCs w:val="20"/>
          <w:color w:val="auto"/>
        </w:rPr>
      </w:pPr>
    </w:p>
    <w:p>
      <w:pPr>
        <w:ind w:right="20" w:firstLine="209"/>
        <w:spacing w:after="0" w:line="256" w:lineRule="auto"/>
        <w:rPr>
          <w:sz w:val="20"/>
          <w:szCs w:val="20"/>
          <w:color w:val="auto"/>
        </w:rPr>
      </w:pPr>
      <w:r>
        <w:rPr>
          <w:rFonts w:ascii="Times New Roman" w:cs="Times New Roman" w:eastAsia="Times New Roman" w:hAnsi="Times New Roman"/>
          <w:sz w:val="14"/>
          <w:szCs w:val="14"/>
          <w:color w:val="auto"/>
        </w:rPr>
        <w:t>The following table is intended to assist you in understanding the costs and expenses that an investor in this offering will bear directly or indirectly and estimated what our annual expenses would be, stated as percentages of net assets attributable to common stock. We caution you that some of the percentages indicated in the table below are estimates and may vary. Except where the context suggests otherwise, whenever this prospectus contains a reference to fees or expenses paid by “you,” “us” or “GSC Investment Corp.,” or that “we” will pay fees or expenses, stockholders will indirectly bear such fees or expenses as investors in GSC Investment Corp.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 transaction expenses (as a percentage of offering price):</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8"/>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Sales load paid</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Offering expenses borne by us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1.08%</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8"/>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Dividend reinvestment plan expenses</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None</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86"/>
        </w:trPr>
        <w:tc>
          <w:tcPr>
            <w:tcW w:w="960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r>
      <w:tr>
        <w:trPr>
          <w:trHeight w:val="261"/>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 transaction expenses paid</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8.08%</w:t>
            </w:r>
          </w:p>
        </w:tc>
        <w:tc>
          <w:tcPr>
            <w:tcW w:w="380" w:type="dxa"/>
            <w:vAlign w:val="bottom"/>
          </w:tcPr>
          <w:p>
            <w:pPr>
              <w:spacing w:after="0"/>
              <w:rPr>
                <w:sz w:val="22"/>
                <w:szCs w:val="22"/>
                <w:color w:val="auto"/>
              </w:rPr>
            </w:pPr>
          </w:p>
        </w:tc>
      </w:tr>
      <w:tr>
        <w:trPr>
          <w:trHeight w:val="377"/>
        </w:trPr>
        <w:tc>
          <w:tcPr>
            <w:tcW w:w="9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annual expenses (as a percentage of net assets attributable to common stock):</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8"/>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1.75%</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8"/>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Incentive fees payable under the investment advisory and management agreement (20% of adjusted net</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8"/>
        </w:trPr>
        <w:tc>
          <w:tcPr>
            <w:tcW w:w="9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income, in excess of hurdle rate and 20% of realized capital gains)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8"/>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Interest payments on borrowed funds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8"/>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1.81%</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86"/>
        </w:trPr>
        <w:tc>
          <w:tcPr>
            <w:tcW w:w="960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r>
      <w:tr>
        <w:trPr>
          <w:trHeight w:val="449"/>
        </w:trPr>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Total annual expenses (estimated)</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3.56%</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110299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339" w:lineRule="exact"/>
        <w:rPr>
          <w:sz w:val="20"/>
          <w:szCs w:val="20"/>
          <w:color w:val="auto"/>
        </w:rPr>
      </w:pPr>
    </w:p>
    <w:p>
      <w:pPr>
        <w:ind w:left="580" w:right="120" w:hanging="576"/>
        <w:spacing w:after="0" w:line="270"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underwriters’ discounts and commissions with respect to common stock sold in this offering, which are one-time fees paid by us to the underwriter in connection with this offering, are the only sales load paid in connection with this offering.</w:t>
      </w:r>
    </w:p>
    <w:p>
      <w:pPr>
        <w:spacing w:after="0" w:line="161" w:lineRule="exact"/>
        <w:rPr>
          <w:rFonts w:ascii="Times New Roman" w:cs="Times New Roman" w:eastAsia="Times New Roman" w:hAnsi="Times New Roman"/>
          <w:sz w:val="14"/>
          <w:szCs w:val="14"/>
          <w:color w:val="auto"/>
        </w:rPr>
      </w:pPr>
    </w:p>
    <w:p>
      <w:pPr>
        <w:ind w:left="580" w:hanging="576"/>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estimated unreimbursed offering expenses of approximately $1,615,000.</w:t>
      </w:r>
    </w:p>
    <w:p>
      <w:pPr>
        <w:spacing w:after="0" w:line="194" w:lineRule="exact"/>
        <w:rPr>
          <w:rFonts w:ascii="Times New Roman" w:cs="Times New Roman" w:eastAsia="Times New Roman" w:hAnsi="Times New Roman"/>
          <w:sz w:val="14"/>
          <w:szCs w:val="14"/>
          <w:color w:val="auto"/>
        </w:rPr>
      </w:pPr>
    </w:p>
    <w:p>
      <w:pPr>
        <w:ind w:left="580" w:right="180" w:hanging="576"/>
        <w:spacing w:after="0" w:line="270"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associated with the administration of our dividend reinvestment plan are included in “Other expenses.” The participants in the dividend reinvestment plan will pay a pro rata share of brokerage commissions incurred with respect to open market purchases, if any, made by the administrator under the plan.</w:t>
      </w:r>
    </w:p>
    <w:p>
      <w:pPr>
        <w:spacing w:after="0" w:line="171"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details about the plan, see “Dividend Reinvestment Plan.”</w:t>
      </w:r>
    </w:p>
    <w:p>
      <w:pPr>
        <w:spacing w:after="0" w:line="205" w:lineRule="exact"/>
        <w:rPr>
          <w:rFonts w:ascii="Times New Roman" w:cs="Times New Roman" w:eastAsia="Times New Roman" w:hAnsi="Times New Roman"/>
          <w:sz w:val="14"/>
          <w:szCs w:val="14"/>
          <w:color w:val="auto"/>
        </w:rPr>
      </w:pPr>
    </w:p>
    <w:p>
      <w:pPr>
        <w:ind w:left="580" w:right="40" w:hanging="576"/>
        <w:spacing w:after="0" w:line="270"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 fee is 1.75% of our total assets other than cash and cash equivalents. Total assets includes assets purchased with borrowed amounts. For the purposes of this table, we have assumed that we have not incurred any indebtedness to acquire assets and that we maintain no cash or cash equivalents. See “Management—Investment advisory and management agreement.”</w:t>
      </w:r>
    </w:p>
    <w:p>
      <w:pPr>
        <w:spacing w:after="0" w:line="161" w:lineRule="exact"/>
        <w:rPr>
          <w:rFonts w:ascii="Times New Roman" w:cs="Times New Roman" w:eastAsia="Times New Roman" w:hAnsi="Times New Roman"/>
          <w:sz w:val="14"/>
          <w:szCs w:val="14"/>
          <w:color w:val="auto"/>
        </w:rPr>
      </w:pPr>
    </w:p>
    <w:p>
      <w:pPr>
        <w:jc w:val="both"/>
        <w:ind w:left="580" w:hanging="576"/>
        <w:spacing w:after="0" w:line="260"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fully invest the net proceeds from this offering upon the closing of this offering and may have capital gains and interest income that could result in the payment of an incentive fee to our investment adviser in the first year after completion of this offering. However, the incentive fee payable to our investment adviser is based on our performance and will not be paid unless we achieve certain goals. As we cannot predict whether we will meet the necessary performance targets, we have assumed an incentive fee of 0% in this chart.</w:t>
      </w:r>
    </w:p>
    <w:p>
      <w:pPr>
        <w:spacing w:after="0" w:line="178"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incentive fee consists of two parts:</w:t>
      </w:r>
    </w:p>
    <w:p>
      <w:pPr>
        <w:spacing w:after="0" w:line="205" w:lineRule="exact"/>
        <w:rPr>
          <w:sz w:val="20"/>
          <w:szCs w:val="20"/>
          <w:color w:val="auto"/>
        </w:rPr>
      </w:pPr>
    </w:p>
    <w:p>
      <w:pPr>
        <w:ind w:left="580" w:right="140"/>
        <w:spacing w:after="0" w:line="260" w:lineRule="auto"/>
        <w:rPr>
          <w:sz w:val="20"/>
          <w:szCs w:val="20"/>
          <w:color w:val="auto"/>
        </w:rPr>
      </w:pPr>
      <w:r>
        <w:rPr>
          <w:rFonts w:ascii="Times New Roman" w:cs="Times New Roman" w:eastAsia="Times New Roman" w:hAnsi="Times New Roman"/>
          <w:sz w:val="14"/>
          <w:szCs w:val="14"/>
          <w:color w:val="auto"/>
        </w:rPr>
        <w:t>The first, payable quarterly in arrears, equals 20% of our pre-incentive fee net investment income, expressed as a rate of return on the value of the net assets at the end of the immediately preceding quarter (including interest that is accrued but not yet received in cash), that exceeds a 2.00% quarterly (8% annualized) hurdle rate measured as of the end of each calendar quarter. Under this provision, in any calendar quarter, our investment adviser receives no incentive fee unless our pre-incentive fee net investment income exceeds the hurdle rate of 2.00%.</w:t>
      </w: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00"/>
          </w:cols>
          <w:pgMar w:left="220" w:top="670" w:right="279" w:bottom="1440" w:gutter="0" w:footer="0" w:header="0"/>
        </w:sectPr>
      </w:pPr>
    </w:p>
    <w:bookmarkStart w:id="24" w:name="page25"/>
    <w:bookmarkEnd w:id="24"/>
    <w:p>
      <w:pPr>
        <w:ind w:left="580" w:right="220"/>
        <w:spacing w:after="0" w:line="260" w:lineRule="auto"/>
        <w:rPr>
          <w:sz w:val="20"/>
          <w:szCs w:val="20"/>
          <w:color w:val="auto"/>
        </w:rPr>
      </w:pPr>
      <w:r>
        <w:rPr>
          <w:rFonts w:ascii="Times New Roman" w:cs="Times New Roman" w:eastAsia="Times New Roman" w:hAnsi="Times New Roman"/>
          <w:sz w:val="14"/>
          <w:szCs w:val="14"/>
          <w:color w:val="auto"/>
        </w:rPr>
        <w:t>The second, payable at the end of each calendar year ending on or after December 31, 2007, equals 20% of our net realized capital gains, if any, computed net of all realized capital losses and unrealized capital depreciation, in each case on a cumulative basis, less the aggregate amount of capital gains incentive fees paid to the investment adviser through such date. See “Management— Management incentive fee.”</w:t>
      </w:r>
    </w:p>
    <w:p>
      <w:pPr>
        <w:spacing w:after="0" w:line="168" w:lineRule="exact"/>
        <w:rPr>
          <w:sz w:val="20"/>
          <w:szCs w:val="20"/>
          <w:color w:val="auto"/>
        </w:rPr>
      </w:pPr>
    </w:p>
    <w:p>
      <w:pPr>
        <w:ind w:left="580"/>
        <w:spacing w:after="0" w:line="323" w:lineRule="auto"/>
        <w:rPr>
          <w:sz w:val="20"/>
          <w:szCs w:val="20"/>
          <w:color w:val="auto"/>
        </w:rPr>
      </w:pPr>
      <w:r>
        <w:rPr>
          <w:rFonts w:ascii="Times New Roman" w:cs="Times New Roman" w:eastAsia="Times New Roman" w:hAnsi="Times New Roman"/>
          <w:sz w:val="12"/>
          <w:szCs w:val="12"/>
          <w:color w:val="auto"/>
        </w:rPr>
        <w:t>We will defer cash payment of any incentive fee otherwise earned by our investment adviser if, during the most recent four full calendar quarter period ending on or prior to the date such payment is to be made, the sum of (a) our aggregate distributions to our stockholders and (b) our change in net assets (defined as total assets less liabilities) is less than 8.0% of our net assets at the beginning of such period. These calculations will be appropriately pro rated during the first three calendar quarters following the closing of this offering and will be adjusted for any share issuances or repurchases.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See “Management—Investment advisory and management agreement.”</w:t>
      </w:r>
    </w:p>
    <w:p>
      <w:pPr>
        <w:spacing w:after="0" w:line="205" w:lineRule="exact"/>
        <w:rPr>
          <w:sz w:val="20"/>
          <w:szCs w:val="20"/>
          <w:color w:val="auto"/>
        </w:rPr>
      </w:pPr>
    </w:p>
    <w:p>
      <w:pPr>
        <w:ind w:left="580" w:right="80" w:hanging="576"/>
        <w:spacing w:after="0" w:line="260" w:lineRule="auto"/>
        <w:tabs>
          <w:tab w:leader="none" w:pos="5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we have not borrowed funds. Assuming that (i) we maintain no cash or cash equivalents, (ii) we borrow for investment purposes an amount equal to 40% of our total assets, (iii) the annual interest rate on the amount borrowed is 6.37%, (iv) our registration statement has been declared effective by the SEC and (v) our shares are listed on the NASDAQ Global Market, our estimated annual expenses (as a percentage of net assets attributable to common stock) would be:</w:t>
      </w:r>
    </w:p>
    <w:p>
      <w:pPr>
        <w:spacing w:after="0" w:line="189" w:lineRule="exact"/>
        <w:rPr>
          <w:sz w:val="20"/>
          <w:szCs w:val="20"/>
          <w:color w:val="auto"/>
        </w:rPr>
      </w:pPr>
    </w:p>
    <w:tbl>
      <w:tblPr>
        <w:tblLayout w:type="fixed"/>
        <w:tblInd w:w="2200" w:type="dxa"/>
        <w:tblCellMar>
          <w:top w:w="0" w:type="dxa"/>
          <w:left w:w="0" w:type="dxa"/>
          <w:bottom w:w="0" w:type="dxa"/>
          <w:right w:w="0" w:type="dxa"/>
        </w:tblCellMar>
      </w:tblPr>
      <w:tr>
        <w:trPr>
          <w:trHeight w:val="175"/>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2.45%</w:t>
            </w:r>
          </w:p>
        </w:tc>
      </w:tr>
      <w:tr>
        <w:trPr>
          <w:trHeight w:val="188"/>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Incentive fees payable under investment advisory and</w:t>
            </w:r>
          </w:p>
        </w:tc>
        <w:tc>
          <w:tcPr>
            <w:tcW w:w="840" w:type="dxa"/>
            <w:vAlign w:val="bottom"/>
          </w:tcPr>
          <w:p>
            <w:pPr>
              <w:spacing w:after="0"/>
              <w:rPr>
                <w:sz w:val="16"/>
                <w:szCs w:val="16"/>
                <w:color w:val="auto"/>
              </w:rPr>
            </w:pPr>
          </w:p>
        </w:tc>
      </w:tr>
      <w:tr>
        <w:trPr>
          <w:trHeight w:val="188"/>
        </w:trPr>
        <w:tc>
          <w:tcPr>
            <w:tcW w:w="7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management agreement (20% of realized capital gains and</w:t>
            </w:r>
          </w:p>
        </w:tc>
        <w:tc>
          <w:tcPr>
            <w:tcW w:w="840" w:type="dxa"/>
            <w:vAlign w:val="bottom"/>
          </w:tcPr>
          <w:p>
            <w:pPr>
              <w:spacing w:after="0"/>
              <w:rPr>
                <w:sz w:val="16"/>
                <w:szCs w:val="16"/>
                <w:color w:val="auto"/>
              </w:rPr>
            </w:pPr>
          </w:p>
        </w:tc>
      </w:tr>
      <w:tr>
        <w:trPr>
          <w:trHeight w:val="188"/>
        </w:trPr>
        <w:tc>
          <w:tcPr>
            <w:tcW w:w="7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 of pre-incentive fee net investment income)</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0.00%</w:t>
            </w:r>
          </w:p>
        </w:tc>
      </w:tr>
      <w:tr>
        <w:trPr>
          <w:trHeight w:val="188"/>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Interest payments on borrowed funds</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2.55%</w:t>
            </w:r>
          </w:p>
        </w:tc>
      </w:tr>
      <w:tr>
        <w:trPr>
          <w:trHeight w:val="188"/>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1.81%</w:t>
            </w:r>
          </w:p>
        </w:tc>
      </w:tr>
      <w:tr>
        <w:trPr>
          <w:trHeight w:val="86"/>
        </w:trPr>
        <w:tc>
          <w:tcPr>
            <w:tcW w:w="784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261"/>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Total annual expenses (estimated)</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110299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339" w:lineRule="exact"/>
        <w:rPr>
          <w:sz w:val="20"/>
          <w:szCs w:val="20"/>
          <w:color w:val="auto"/>
        </w:rPr>
      </w:pPr>
    </w:p>
    <w:p>
      <w:pPr>
        <w:ind w:left="580" w:right="580" w:hanging="576"/>
        <w:spacing w:after="0" w:line="270" w:lineRule="auto"/>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estimated overhead expenses, including payments under the administration agreement based on our projected allocable portion of overhead and other expenses incurred by our administrator in performing its obligations under the administration agreement. See “Management—Administration agreement.”</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Example</w:t>
      </w:r>
    </w:p>
    <w:p>
      <w:pPr>
        <w:spacing w:after="0" w:line="199" w:lineRule="exact"/>
        <w:rPr>
          <w:sz w:val="20"/>
          <w:szCs w:val="20"/>
          <w:color w:val="auto"/>
        </w:rPr>
      </w:pPr>
    </w:p>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The following example demonstrates the projected dollar amount of total cumulative expenses over various periods with respect to a hypothetical investment in our common stock. In calculating the following expense amounts, we have assumed we would have no leverage, that none of our assets are cash or cash equivalents, and that our annual operating expenses would remain at the levels set forth in the table above.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3 years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10 years</w:t>
            </w:r>
          </w:p>
        </w:tc>
        <w:tc>
          <w:tcPr>
            <w:tcW w:w="0" w:type="dxa"/>
            <w:vAlign w:val="bottom"/>
          </w:tcPr>
          <w:p>
            <w:pPr>
              <w:spacing w:after="0"/>
              <w:rPr>
                <w:sz w:val="1"/>
                <w:szCs w:val="1"/>
                <w:color w:val="auto"/>
              </w:rPr>
            </w:pPr>
          </w:p>
        </w:tc>
      </w:tr>
      <w:tr>
        <w:trPr>
          <w:trHeight w:val="73"/>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You would pay the following expenses on a $1,000 investment,</w:t>
            </w:r>
          </w:p>
        </w:tc>
        <w:tc>
          <w:tcPr>
            <w:tcW w:w="18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67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assuming a 5% annual return(1)</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110299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339" w:lineRule="exact"/>
        <w:rPr>
          <w:sz w:val="20"/>
          <w:szCs w:val="20"/>
          <w:color w:val="auto"/>
        </w:rPr>
      </w:pPr>
    </w:p>
    <w:p>
      <w:pPr>
        <w:ind w:left="580" w:hanging="576"/>
        <w:spacing w:after="0"/>
        <w:tabs>
          <w:tab w:leader="none" w:pos="5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illustration assumes that we will not realize any capital gains computed net of all realized capital losses and unrealized capital depreciation.</w:t>
      </w:r>
    </w:p>
    <w:p>
      <w:pPr>
        <w:spacing w:after="0" w:line="191" w:lineRule="exact"/>
        <w:rPr>
          <w:sz w:val="20"/>
          <w:szCs w:val="20"/>
          <w:color w:val="auto"/>
        </w:rPr>
      </w:pPr>
    </w:p>
    <w:p>
      <w:pPr>
        <w:ind w:right="220" w:firstLine="209"/>
        <w:spacing w:after="0" w:line="276" w:lineRule="auto"/>
        <w:rPr>
          <w:sz w:val="20"/>
          <w:szCs w:val="20"/>
          <w:color w:val="auto"/>
        </w:rPr>
      </w:pPr>
      <w:r>
        <w:rPr>
          <w:rFonts w:ascii="Times New Roman" w:cs="Times New Roman" w:eastAsia="Times New Roman" w:hAnsi="Times New Roman"/>
          <w:sz w:val="14"/>
          <w:szCs w:val="14"/>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157" w:lineRule="exact"/>
        <w:rPr>
          <w:sz w:val="20"/>
          <w:szCs w:val="20"/>
          <w:color w:val="auto"/>
        </w:rPr>
      </w:pPr>
    </w:p>
    <w:p>
      <w:pPr>
        <w:ind w:right="20" w:firstLine="209"/>
        <w:spacing w:after="0" w:line="270" w:lineRule="auto"/>
        <w:rPr>
          <w:sz w:val="20"/>
          <w:szCs w:val="20"/>
          <w:color w:val="auto"/>
        </w:rPr>
      </w:pPr>
      <w:r>
        <w:rPr>
          <w:rFonts w:ascii="Times New Roman" w:cs="Times New Roman" w:eastAsia="Times New Roman" w:hAnsi="Times New Roman"/>
          <w:sz w:val="14"/>
          <w:szCs w:val="14"/>
          <w:color w:val="auto"/>
        </w:rPr>
        <w:t>The foregoing table is to assist you in understanding the various costs and expenses that an investor in our common stock will bear directly or indirectly. While the example assumes, as required by the SEC for registered investment companies, a 5% annual return, our performance will vary and may result in a return greater or less than</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00"/>
          </w:cols>
          <w:pgMar w:left="220" w:top="507" w:right="279" w:bottom="1440" w:gutter="0" w:footer="0" w:header="0"/>
        </w:sectPr>
      </w:pPr>
    </w:p>
    <w:bookmarkStart w:id="25" w:name="page26"/>
    <w:bookmarkEnd w:id="25"/>
    <w:p>
      <w:pPr>
        <w:ind w:right="40"/>
        <w:spacing w:after="0" w:line="260" w:lineRule="auto"/>
        <w:rPr>
          <w:sz w:val="20"/>
          <w:szCs w:val="20"/>
          <w:color w:val="auto"/>
        </w:rPr>
      </w:pPr>
      <w:r>
        <w:rPr>
          <w:rFonts w:ascii="Times New Roman" w:cs="Times New Roman" w:eastAsia="Times New Roman" w:hAnsi="Times New Roman"/>
          <w:sz w:val="14"/>
          <w:szCs w:val="14"/>
          <w:color w:val="auto"/>
        </w:rPr>
        <w:t>5%. The incentive fee under the investment advisory and management agreement, which, assuming a 5% annual return, would either not be payable or have an insignificant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w:t>
      </w:r>
    </w:p>
    <w:p>
      <w:pPr>
        <w:spacing w:after="0" w:line="168"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While the example assumes reinvestment of all dividends and distributions at net asset value, participants in our dividend reinvestment plan will receive a number of shares of our common stock, determined by dividing the total dollar amount of the dividend payable to a participant by the market price per share of our common stock at the close of trading on the valuation date for the dividend. See “Dividend Reinvestment Plan” for additional information regarding our dividend reinvestment plan.</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97" w:lineRule="exact"/>
        <w:rPr>
          <w:sz w:val="20"/>
          <w:szCs w:val="20"/>
          <w:color w:val="auto"/>
        </w:rPr>
      </w:pPr>
    </w:p>
    <w:p>
      <w:pPr>
        <w:ind w:right="280" w:firstLine="209"/>
        <w:spacing w:after="0" w:line="257" w:lineRule="auto"/>
        <w:rPr>
          <w:sz w:val="20"/>
          <w:szCs w:val="20"/>
          <w:color w:val="auto"/>
        </w:rPr>
      </w:pPr>
      <w:r>
        <w:rPr>
          <w:rFonts w:ascii="Times New Roman" w:cs="Times New Roman" w:eastAsia="Times New Roman" w:hAnsi="Times New Roman"/>
          <w:sz w:val="14"/>
          <w:szCs w:val="14"/>
          <w:i w:val="1"/>
          <w:iCs w:val="1"/>
          <w:color w:val="auto"/>
        </w:rPr>
        <w:t>Before you invest in our common stock, you should be aware of various risks, including those described below. You should carefully consider these risk factors, together with all of the other in formation included in this prospectus, before you decide whether to make an investment in our common stock. The risks set out below are not the only risks we face. If any of the following events occur, our business, financial condition and results of operations could be materially adversely affected. In such case, our net asset value and the value of our common stock could decline, and you may lose all or part of your investment.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are a newly-incorporated Maryland corporation with no operating history.</w:t>
      </w:r>
    </w:p>
    <w:p>
      <w:pPr>
        <w:spacing w:after="0" w:line="199" w:lineRule="exact"/>
        <w:rPr>
          <w:sz w:val="20"/>
          <w:szCs w:val="20"/>
          <w:color w:val="auto"/>
        </w:rPr>
      </w:pPr>
    </w:p>
    <w:p>
      <w:pPr>
        <w:ind w:right="80" w:firstLine="209"/>
        <w:spacing w:after="0" w:line="270" w:lineRule="auto"/>
        <w:rPr>
          <w:sz w:val="20"/>
          <w:szCs w:val="20"/>
          <w:color w:val="auto"/>
        </w:rPr>
      </w:pPr>
      <w:r>
        <w:rPr>
          <w:rFonts w:ascii="Times New Roman" w:cs="Times New Roman" w:eastAsia="Times New Roman" w:hAnsi="Times New Roman"/>
          <w:sz w:val="14"/>
          <w:szCs w:val="14"/>
          <w:color w:val="auto"/>
        </w:rPr>
        <w:t>We were incorporated in 2006 and have not yet commenced our operations. We are subject to all of the business risks and uncertainties associated with any new business, including the risk that we will not achieve our investment objectives and that the value of your investment could decline substantially.</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replicate GSC Group’s historical performance.</w:t>
      </w:r>
    </w:p>
    <w:p>
      <w:pPr>
        <w:spacing w:after="0" w:line="199" w:lineRule="exact"/>
        <w:rPr>
          <w:sz w:val="20"/>
          <w:szCs w:val="20"/>
          <w:color w:val="auto"/>
        </w:rPr>
      </w:pPr>
    </w:p>
    <w:p>
      <w:pPr>
        <w:ind w:right="180" w:firstLine="209"/>
        <w:spacing w:after="0" w:line="256" w:lineRule="auto"/>
        <w:rPr>
          <w:sz w:val="20"/>
          <w:szCs w:val="20"/>
          <w:color w:val="auto"/>
        </w:rPr>
      </w:pPr>
      <w:r>
        <w:rPr>
          <w:rFonts w:ascii="Times New Roman" w:cs="Times New Roman" w:eastAsia="Times New Roman" w:hAnsi="Times New Roman"/>
          <w:sz w:val="14"/>
          <w:szCs w:val="14"/>
          <w:color w:val="auto"/>
        </w:rPr>
        <w:t>Our primary focus in making investments will differ from those of other private funds that are or have been managed by GSC Group’s investment professionals. Further, our investors are not acquiring an interest in other GSC Group funds. Any investment opportunity will be subject to, among other things, regulatory and independent board member approvals, the receipt of which, if sought, cannot be assured. Accordingly, we cannot assure you that we will replicate GSC Group’s historical performance, and we caution you that our investment returns could be substantially lower than the returns achieved by other GSC Group funds.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may compete with investment vehicles of GSC Group for access to GSC Group.</w:t>
      </w:r>
    </w:p>
    <w:p>
      <w:pPr>
        <w:spacing w:after="0" w:line="199" w:lineRule="exact"/>
        <w:rPr>
          <w:sz w:val="20"/>
          <w:szCs w:val="20"/>
          <w:color w:val="auto"/>
        </w:rPr>
      </w:pPr>
    </w:p>
    <w:p>
      <w:pPr>
        <w:ind w:right="320" w:firstLine="209"/>
        <w:spacing w:after="0" w:line="260" w:lineRule="auto"/>
        <w:rPr>
          <w:sz w:val="20"/>
          <w:szCs w:val="20"/>
          <w:color w:val="auto"/>
        </w:rPr>
      </w:pPr>
      <w:r>
        <w:rPr>
          <w:rFonts w:ascii="Times New Roman" w:cs="Times New Roman" w:eastAsia="Times New Roman" w:hAnsi="Times New Roman"/>
          <w:sz w:val="14"/>
          <w:szCs w:val="14"/>
          <w:color w:val="auto"/>
        </w:rPr>
        <w:t>Our investment adviser and its affiliates have sponsored and currently manage other investment vehicles with an investment focus that overlaps with our focus, and may in the future sponsor or manage additional investment vehicles with an overlapping focus to ours, which, in each case, could result in us competing for access to the benefits that we expect our relationship with our investment adviser to provide to us.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our investment adviser’s key personnel for our future success and upon their access to GSC Group investment professionals.</w:t>
      </w:r>
    </w:p>
    <w:p>
      <w:pPr>
        <w:spacing w:after="0" w:line="199" w:lineRule="exact"/>
        <w:rPr>
          <w:sz w:val="20"/>
          <w:szCs w:val="20"/>
          <w:color w:val="auto"/>
        </w:rPr>
      </w:pPr>
    </w:p>
    <w:p>
      <w:pPr>
        <w:ind w:firstLine="209"/>
        <w:spacing w:after="0" w:line="307" w:lineRule="auto"/>
        <w:rPr>
          <w:sz w:val="20"/>
          <w:szCs w:val="20"/>
          <w:color w:val="auto"/>
        </w:rPr>
      </w:pPr>
      <w:r>
        <w:rPr>
          <w:rFonts w:ascii="Times New Roman" w:cs="Times New Roman" w:eastAsia="Times New Roman" w:hAnsi="Times New Roman"/>
          <w:sz w:val="12"/>
          <w:szCs w:val="12"/>
          <w:color w:val="auto"/>
        </w:rPr>
        <w:t>We will depend on the diligence, skill and network of business contacts of the members of our investment adviser’s investment committee. We will also depend, to a significant extent, on our investment adviser’s access to the investment professionals of GSC Group and the information and deal flow generated by GSC Group’s investment professionals in the course of their investment and portfolio management activities. Our future success will depend on the continued service of our investment adviser’s investment committee. The departure of any of the members of our investment adviser’s investment committee, or of a significant number of the investment professionals or partners of GSC Group, could have a material adverse effect on our ability to achieve our investment objectives. In addition, we cannot assure you that our investment adviser will remain our investment adviser or that we will continue to have access to GSC Group’s investment professionals or its information and deal flow.</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Our financial condition and results of operation will depend on our ability to manage future growth effectively.</w:t>
      </w:r>
    </w:p>
    <w:p>
      <w:pPr>
        <w:spacing w:after="0" w:line="199" w:lineRule="exact"/>
        <w:rPr>
          <w:sz w:val="20"/>
          <w:szCs w:val="20"/>
          <w:color w:val="auto"/>
        </w:rPr>
      </w:pPr>
    </w:p>
    <w:p>
      <w:pPr>
        <w:ind w:right="380" w:firstLine="209"/>
        <w:spacing w:after="0" w:line="270" w:lineRule="auto"/>
        <w:rPr>
          <w:sz w:val="20"/>
          <w:szCs w:val="20"/>
          <w:color w:val="auto"/>
        </w:rPr>
      </w:pPr>
      <w:r>
        <w:rPr>
          <w:rFonts w:ascii="Times New Roman" w:cs="Times New Roman" w:eastAsia="Times New Roman" w:hAnsi="Times New Roman"/>
          <w:sz w:val="14"/>
          <w:szCs w:val="14"/>
          <w:color w:val="auto"/>
        </w:rPr>
        <w:t>Our ability to achieve our investment objectives will depend on our ability to acquire suitable investments and monitor and administer those investments, which will depend, in turn, on our investment adviser’s ability to identify, invest in and monitor companies that meet our investment criteria.</w:t>
      </w:r>
    </w:p>
    <w:p>
      <w:pPr>
        <w:spacing w:after="0" w:line="161" w:lineRule="exact"/>
        <w:rPr>
          <w:sz w:val="20"/>
          <w:szCs w:val="20"/>
          <w:color w:val="auto"/>
        </w:rPr>
      </w:pPr>
    </w:p>
    <w:p>
      <w:pPr>
        <w:ind w:right="320" w:firstLine="209"/>
        <w:spacing w:after="0" w:line="270" w:lineRule="auto"/>
        <w:rPr>
          <w:sz w:val="20"/>
          <w:szCs w:val="20"/>
          <w:color w:val="auto"/>
        </w:rPr>
      </w:pPr>
      <w:r>
        <w:rPr>
          <w:rFonts w:ascii="Times New Roman" w:cs="Times New Roman" w:eastAsia="Times New Roman" w:hAnsi="Times New Roman"/>
          <w:sz w:val="14"/>
          <w:szCs w:val="14"/>
          <w:color w:val="auto"/>
        </w:rPr>
        <w:t>Accomplishing this result on a cost-effective basis will be largely a function of our investment adviser’s structuring of the investment process and its ability to provide competent, attentive and efficient services to us. Our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4"/>
          <w:szCs w:val="14"/>
          <w:color w:val="auto"/>
        </w:rPr>
        <w:t>executive officers and the members of our investment adviser will have substantial responsibilities in connection with their roles at GSC Group and with the other GSC Group funds as well as responsibilities under the investment advisory and management agreement. They may also be called upon to provide managerial assistance to our portfolio companies on behalf of our administrator. These demands on their time, which will increase as the number of investments grow, may distract them or slow the rate of investment. In order to grow, we and our investment adviser will need to hire, train, supervise and manage new employees. However, we cannot assure you that any such employees will contribute to the work of the investment adviser. Any failure to manage our future growth effectively could have a material adverse effect on our business, financial condition and results of operations.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grow will depend on our ability to raise capital.</w:t>
      </w:r>
    </w:p>
    <w:p>
      <w:pPr>
        <w:spacing w:after="0" w:line="199" w:lineRule="exact"/>
        <w:rPr>
          <w:sz w:val="20"/>
          <w:szCs w:val="20"/>
          <w:color w:val="auto"/>
        </w:rPr>
      </w:pPr>
    </w:p>
    <w:p>
      <w:pPr>
        <w:ind w:right="220" w:firstLine="209"/>
        <w:spacing w:after="0" w:line="260" w:lineRule="auto"/>
        <w:rPr>
          <w:sz w:val="20"/>
          <w:szCs w:val="20"/>
          <w:color w:val="auto"/>
        </w:rPr>
      </w:pPr>
      <w:r>
        <w:rPr>
          <w:rFonts w:ascii="Times New Roman" w:cs="Times New Roman" w:eastAsia="Times New Roman" w:hAnsi="Times New Roman"/>
          <w:sz w:val="14"/>
          <w:szCs w:val="14"/>
          <w:color w:val="auto"/>
        </w:rPr>
        <w:t>We will need to periodically access the capital markets to raise cash to fund new investments. Unfavorable economic conditions could increase our funding costs, limit our access to the capital markets or result in a decision by lenders not to extend credit to us. An inability to successfully access the capital markets could limit our ability to grow our business and fully execute our business strategy and could decrease our earnings, if any.</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If we incur indebtedness or issue senior securities we will be exposed to additional risks, including the typical risks associated with leverage.</w:t>
      </w:r>
    </w:p>
    <w:p>
      <w:pPr>
        <w:spacing w:after="0" w:line="199" w:lineRule="exact"/>
        <w:rPr>
          <w:sz w:val="20"/>
          <w:szCs w:val="20"/>
          <w:color w:val="auto"/>
        </w:rPr>
      </w:pPr>
    </w:p>
    <w:p>
      <w:pPr>
        <w:ind w:right="20" w:firstLine="209"/>
        <w:spacing w:after="0" w:line="252" w:lineRule="auto"/>
        <w:rPr>
          <w:sz w:val="20"/>
          <w:szCs w:val="20"/>
          <w:color w:val="auto"/>
        </w:rPr>
      </w:pPr>
      <w:r>
        <w:rPr>
          <w:rFonts w:ascii="Times New Roman" w:cs="Times New Roman" w:eastAsia="Times New Roman" w:hAnsi="Times New Roman"/>
          <w:sz w:val="14"/>
          <w:szCs w:val="14"/>
          <w:color w:val="auto"/>
        </w:rPr>
        <w:t>We expect to receive a commitment for the Company Credit Facility, which we expect will be a five-year senior secured revolving credit facility with each of Citibank, N.A., an affiliate of Citigroup Global Markets Inc., and JPMorgan Chase Bank, N.A., an affiliate of J.P. Morgan Securities Inc., in an aggregate amount of up to $ million. Both Citigroup Global Markets Inc. and J.P. Morgan Securities Inc. are underwriters in this offering. We expect the terms to include an undertaking by each of Citibank, N.A. and JPMorgan Chase Bank, N.A., to use commercially reasonable efforts to syndicate loan commitments together with its $ million loan commitment, in an aggregate amount of up to $ million. We anticipate the closing of the Company Credit Facility will be conditioned on the receipt of a minimum of $ million of gross proceeds from this offering and other customary conditions. See “Obligations and Indebtedness.” We expect to use borrowings under the Company Credit Facility together with the net proceeds of this offering to purchase the Portfolio. In addition, we may borrow funds under the Company Credit Facility or issue senior securities to make additional investments. With certain limited exceptions, once we become a BDC we will only be allowed to borrow amounts such that our asset coverage, as defined in the 1940 Act, is at least 200% after such borrowing. The amount of leverage that we employ will depend on our investment adviser’s and our board of directors’ assessment of market conditions and other factors at the time of any proposed borrowing. There is no assurance that a leveraging strategy will be successful. Leverage involves risks and special considerations of stockholders, including:</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There is a likelihood of greater volatility of net asset value and market price of our common stock than a comparable portfolio without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right="100"/>
        <w:spacing w:after="0" w:line="302" w:lineRule="auto"/>
        <w:rPr>
          <w:sz w:val="20"/>
          <w:szCs w:val="20"/>
          <w:color w:val="auto"/>
        </w:rPr>
      </w:pPr>
      <w:r>
        <w:rPr>
          <w:rFonts w:ascii="Times New Roman" w:cs="Times New Roman" w:eastAsia="Times New Roman" w:hAnsi="Times New Roman"/>
          <w:sz w:val="14"/>
          <w:szCs w:val="14"/>
          <w:color w:val="auto"/>
        </w:rPr>
        <w:t>We will be exposed to increased risk of loss if we incur debt or issue senior securities to finance investments because a decrease in the value of our investments would have a greater negative impact on our returns and therefore the value of our common stock than if we did not use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360"/>
        <w:spacing w:after="0" w:line="302" w:lineRule="auto"/>
        <w:rPr>
          <w:sz w:val="20"/>
          <w:szCs w:val="20"/>
          <w:color w:val="auto"/>
        </w:rPr>
      </w:pPr>
      <w:r>
        <w:rPr>
          <w:rFonts w:ascii="Times New Roman" w:cs="Times New Roman" w:eastAsia="Times New Roman" w:hAnsi="Times New Roman"/>
          <w:sz w:val="14"/>
          <w:szCs w:val="14"/>
          <w:color w:val="auto"/>
        </w:rPr>
        <w:t>It is likely that such debt or senior securities will be governed by an instrument containing covenants restricting our operating flexibility. These covenants may impose asset coverage or investment portfolio composition requirements that are more stringent than those imposed by the 1940 Act and could require us to liquidate investments at an inopportune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and indirectly our stockholders, will bear the cost of leverage, including issuance and servicing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Any convertible or exchangeable securities that we issue in the future may have rights, preferences and privileges more favorable than those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right="200" w:firstLine="209"/>
        <w:spacing w:after="0" w:line="270" w:lineRule="auto"/>
        <w:rPr>
          <w:sz w:val="20"/>
          <w:szCs w:val="20"/>
          <w:color w:val="auto"/>
        </w:rPr>
      </w:pPr>
      <w:r>
        <w:rPr>
          <w:rFonts w:ascii="Times New Roman" w:cs="Times New Roman" w:eastAsia="Times New Roman" w:hAnsi="Times New Roman"/>
          <w:sz w:val="14"/>
          <w:szCs w:val="14"/>
          <w:color w:val="auto"/>
        </w:rPr>
        <w:t>Any requirement that we sell assets at a loss to redeem or pay interest or dividends on any leverage or for other reasons would reduce our net asset value and also make it difficult for the net asset value to recover. Our investment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28" w:name="page29"/>
    <w:bookmarkEnd w:id="28"/>
    <w:p>
      <w:pPr>
        <w:ind w:right="140"/>
        <w:spacing w:after="0" w:line="270" w:lineRule="auto"/>
        <w:rPr>
          <w:sz w:val="20"/>
          <w:szCs w:val="20"/>
          <w:color w:val="auto"/>
        </w:rPr>
      </w:pPr>
      <w:r>
        <w:rPr>
          <w:rFonts w:ascii="Times New Roman" w:cs="Times New Roman" w:eastAsia="Times New Roman" w:hAnsi="Times New Roman"/>
          <w:sz w:val="14"/>
          <w:szCs w:val="14"/>
          <w:color w:val="auto"/>
        </w:rPr>
        <w:t>adviser and our board of directors in their best judgment nevertheless may determine to use leverage if they expect that the benefits to our stockholders of maintaining the leveraged position will outweigh the risks.</w:t>
      </w:r>
    </w:p>
    <w:p>
      <w:pPr>
        <w:spacing w:after="0" w:line="136" w:lineRule="exact"/>
        <w:rPr>
          <w:sz w:val="20"/>
          <w:szCs w:val="20"/>
          <w:color w:val="auto"/>
        </w:rPr>
      </w:pPr>
    </w:p>
    <w:p>
      <w:pPr>
        <w:ind w:left="240" w:right="280"/>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We will pay the investment adviser a base management fee based on our total assets, which may create an incentive for the investment adviser to cause us to incur more leverage than is prudent in order to maximize its compensation.</w:t>
      </w:r>
    </w:p>
    <w:p>
      <w:pPr>
        <w:spacing w:after="0" w:line="157" w:lineRule="exact"/>
        <w:rPr>
          <w:sz w:val="20"/>
          <w:szCs w:val="20"/>
          <w:color w:val="auto"/>
        </w:rPr>
      </w:pPr>
    </w:p>
    <w:p>
      <w:pPr>
        <w:ind w:firstLine="209"/>
        <w:spacing w:after="0" w:line="254" w:lineRule="auto"/>
        <w:rPr>
          <w:sz w:val="20"/>
          <w:szCs w:val="20"/>
          <w:color w:val="auto"/>
        </w:rPr>
      </w:pPr>
      <w:r>
        <w:rPr>
          <w:rFonts w:ascii="Times New Roman" w:cs="Times New Roman" w:eastAsia="Times New Roman" w:hAnsi="Times New Roman"/>
          <w:sz w:val="14"/>
          <w:szCs w:val="14"/>
          <w:color w:val="auto"/>
        </w:rPr>
        <w:t>We will pay the investment adviser a quarterly base management fee based on the value of our total assets (including any assets acquired with leverage). Accordingly, the investment adviser will have an economic incentive to increase our leverage. If our leverage is increased, we will be exposed to increased risk of loss, bear the increase cost of issuing and servicing such senior indebtedness, and will be subject to any additional covenant restrictions imposed on us in an indenture or other instrument or by the applicable lender. See “Risk Factors—Risks related to our business—We will pay the investment adviser incentive compensation based on our net investment income and realized capital gains, which may create an incentive for the investment adviser to cause us to incur more leverage than is prudent in order to maximize its compensation.”</w:t>
      </w:r>
    </w:p>
    <w:p>
      <w:pPr>
        <w:spacing w:after="0" w:line="149" w:lineRule="exact"/>
        <w:rPr>
          <w:sz w:val="20"/>
          <w:szCs w:val="20"/>
          <w:color w:val="auto"/>
        </w:rPr>
      </w:pPr>
    </w:p>
    <w:p>
      <w:pPr>
        <w:ind w:left="240" w:right="20"/>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We will pay the investment adviser incentive compensation based on our net investment income and realized capital gains, which may create an incentive for the investment adviser to cause us to incur more leverage than is prudent in order to maximize its compensation.</w:t>
      </w:r>
    </w:p>
    <w:p>
      <w:pPr>
        <w:spacing w:after="0" w:line="157" w:lineRule="exact"/>
        <w:rPr>
          <w:sz w:val="20"/>
          <w:szCs w:val="20"/>
          <w:color w:val="auto"/>
        </w:rPr>
      </w:pPr>
    </w:p>
    <w:p>
      <w:pPr>
        <w:ind w:right="40" w:firstLine="209"/>
        <w:spacing w:after="0" w:line="304" w:lineRule="auto"/>
        <w:rPr>
          <w:sz w:val="20"/>
          <w:szCs w:val="20"/>
          <w:color w:val="auto"/>
        </w:rPr>
      </w:pPr>
      <w:r>
        <w:rPr>
          <w:rFonts w:ascii="Times New Roman" w:cs="Times New Roman" w:eastAsia="Times New Roman" w:hAnsi="Times New Roman"/>
          <w:sz w:val="12"/>
          <w:szCs w:val="12"/>
          <w:color w:val="auto"/>
        </w:rPr>
        <w:t>The incentive fee payable to the investment adviser may create an incentive for the investment adviser to make investments that are riskier or more speculative than would be the case in the absence of such compensation arrangement. The way in which the incentive fee payable to the investment adviser is determined, which is calculated as a percentage of the return on net assets, may encourage the investment adviser to use leverage to increase the return to the Company’s investments. If the investment adviser acquires poorly-performing assets with such leverage, the loss to holders of the Shares, including investors in this offering, could be substantial. Moreover, if our leverage is increased, we will be exposed to increased risk of loss, bear the increased cost of issuing and servicing such senior indebtedness, and will be subject to any additional covenant restrictions imposed on us in an indenture or other instrument or by the applicable lender. See “Risk Factors—Risks related to our business—We will pay the investment adviser a base management fee based on our total assets, which may create an incentive for the investment adviser to cause us to incur more leverage than is prudent in order to maximize its compensation.”</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will be exposed to risks associated with changes in interest rates.</w:t>
      </w:r>
    </w:p>
    <w:p>
      <w:pPr>
        <w:spacing w:after="0" w:line="209"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General interest rate fluctuations and changes in credit spreads on floating rate loans may have a substantial negative impact on our investments and investment opportunities and, accordingly, may have a material adverse effect on investment objectives and our rate of return on invested capital. In addition, an increase in interest rates would make it more expensive to use debt to finance our investments. Decreases in credit spreads on debt that pays a floating rate of return would have an impact on the income generation of our floating rate assets. Trading prices for debt that pays a fixed rate of return tend to fall as interest rates rise. Trading prices tend to fluctuate more for fixed-rate securities that have longer maturities. Although we have no policy governing the maturities of our investments, under current market conditions we expect that we will invest in a portfolio of debt generally having maturities of up to three to ten years. This means that we will be subject to greater risk (other things being equal) than a fund investment solely in shorter-term securities. A decline in the prices of the debt we own could adversely affect the trading price of our common stock.</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Many of our portfolio investments will be recorded at fair value as determined in good faith by our board of directors. As a result, there will be uncertainty as to the value of our portfolio investments.</w:t>
      </w:r>
    </w:p>
    <w:p>
      <w:pPr>
        <w:spacing w:after="0" w:line="232" w:lineRule="exact"/>
        <w:rPr>
          <w:sz w:val="20"/>
          <w:szCs w:val="20"/>
          <w:color w:val="auto"/>
        </w:rPr>
      </w:pPr>
    </w:p>
    <w:p>
      <w:pPr>
        <w:ind w:right="100" w:firstLine="209"/>
        <w:spacing w:after="0" w:line="260" w:lineRule="auto"/>
        <w:rPr>
          <w:sz w:val="20"/>
          <w:szCs w:val="20"/>
          <w:color w:val="auto"/>
        </w:rPr>
      </w:pPr>
      <w:r>
        <w:rPr>
          <w:rFonts w:ascii="Times New Roman" w:cs="Times New Roman" w:eastAsia="Times New Roman" w:hAnsi="Times New Roman"/>
          <w:sz w:val="14"/>
          <w:szCs w:val="14"/>
          <w:color w:val="auto"/>
        </w:rPr>
        <w:t>A large percentage of our portfolio investments will be investments that are not publicly traded. The fair value of investments that are not publicly traded may not be readily determinable. We will value these investments quarterly at fair value as determined in good faith by our board of directors. However, we may be required to value our investments more frequently as determined in good faith by our board of directors to the extent necessary to reflect significant events affecting their value. Where appropriate, our board of directors may utilize the services of</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4" w:right="259" w:bottom="1440" w:gutter="0" w:footer="0" w:header="0"/>
        </w:sectPr>
      </w:pPr>
    </w:p>
    <w:bookmarkStart w:id="29" w:name="page30"/>
    <w:bookmarkEnd w:id="29"/>
    <w:p>
      <w:pPr>
        <w:spacing w:after="0" w:line="254" w:lineRule="auto"/>
        <w:rPr>
          <w:sz w:val="20"/>
          <w:szCs w:val="20"/>
          <w:color w:val="auto"/>
        </w:rPr>
      </w:pPr>
      <w:r>
        <w:rPr>
          <w:rFonts w:ascii="Times New Roman" w:cs="Times New Roman" w:eastAsia="Times New Roman" w:hAnsi="Times New Roman"/>
          <w:sz w:val="14"/>
          <w:szCs w:val="14"/>
          <w:color w:val="auto"/>
        </w:rPr>
        <w:t>an independent valuation firm to aid it in determining fair value. The types of factors that may be considered in valuing our investments include the nature and realizable value of any collateral, the portfolio company’s ability to make payments and its earnings, the markets in which the portfolio company does business, comparison to publicly traded companies, discounted cash flow and other relevant factors. Because such valuations, and particularly valuations of private investments and private companies, are inherently uncertain, may fluctuate over short periods of time and may be based on estimates, our determinations of fair value may differ materially from the values that would have been used if a ready market for these investments existed. Our net asset value could be adversely affected if our determinations regarding the fair value of our investments are materially higher than the values that we ultimately realize upon the sale of our investments.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The lack of liquidity in our investments may adversely affect our business.</w:t>
      </w:r>
    </w:p>
    <w:p>
      <w:pPr>
        <w:spacing w:after="0" w:line="209" w:lineRule="exact"/>
        <w:rPr>
          <w:sz w:val="20"/>
          <w:szCs w:val="20"/>
          <w:color w:val="auto"/>
        </w:rPr>
      </w:pPr>
    </w:p>
    <w:p>
      <w:pPr>
        <w:ind w:right="120" w:firstLine="209"/>
        <w:spacing w:after="0" w:line="256" w:lineRule="auto"/>
        <w:rPr>
          <w:sz w:val="20"/>
          <w:szCs w:val="20"/>
          <w:color w:val="auto"/>
        </w:rPr>
      </w:pPr>
      <w:r>
        <w:rPr>
          <w:rFonts w:ascii="Times New Roman" w:cs="Times New Roman" w:eastAsia="Times New Roman" w:hAnsi="Times New Roman"/>
          <w:sz w:val="14"/>
          <w:szCs w:val="14"/>
          <w:color w:val="auto"/>
        </w:rPr>
        <w:t>We will generally make investments in private companies. Substantially all of these investments will be subject to legal and other restrictions on resale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or an affiliated manager of GSC Group has material non-public information regarding such portfolio company.</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quarterly results.</w:t>
      </w:r>
    </w:p>
    <w:p>
      <w:pPr>
        <w:spacing w:after="0" w:line="209"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We could experience fluctuations in our quarterly operating results due to a number of factors, including the interest rate payable on the debt investments we make, the default rate on such investments,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There are conflicts of interest in our relationship with our investment adviser and/or GSC Group, which could result in decisions that are not in the best interests of our stockholders.</w:t>
      </w:r>
    </w:p>
    <w:p>
      <w:pPr>
        <w:spacing w:after="0" w:line="209" w:lineRule="exact"/>
        <w:rPr>
          <w:sz w:val="20"/>
          <w:szCs w:val="20"/>
          <w:color w:val="auto"/>
        </w:rPr>
      </w:pPr>
    </w:p>
    <w:p>
      <w:pPr>
        <w:ind w:right="260" w:firstLine="209"/>
        <w:spacing w:after="0" w:line="260" w:lineRule="auto"/>
        <w:rPr>
          <w:sz w:val="20"/>
          <w:szCs w:val="20"/>
          <w:color w:val="auto"/>
        </w:rPr>
      </w:pPr>
      <w:r>
        <w:rPr>
          <w:rFonts w:ascii="Times New Roman" w:cs="Times New Roman" w:eastAsia="Times New Roman" w:hAnsi="Times New Roman"/>
          <w:sz w:val="14"/>
          <w:szCs w:val="14"/>
          <w:color w:val="auto"/>
        </w:rPr>
        <w:t>Subject to the restrictions of the 1940 Act, we may invest in securities in which a GSC Group fund is also making an investment. Similarly a GSC Group fund may, in certain circumstances, invest in securities issued by a company in which we have made, or are making, an investment. Although certain such investments may present conflicts of interest, we nonetheless may pursue and consummate such transactions. These conflicts may include:</w:t>
      </w:r>
    </w:p>
    <w:p>
      <w:pPr>
        <w:spacing w:after="0" w:line="166" w:lineRule="exact"/>
        <w:rPr>
          <w:sz w:val="20"/>
          <w:szCs w:val="20"/>
          <w:color w:val="auto"/>
        </w:rPr>
      </w:pPr>
    </w:p>
    <w:p>
      <w:pPr>
        <w:ind w:right="200" w:firstLine="209"/>
        <w:spacing w:after="0" w:line="261" w:lineRule="auto"/>
        <w:rPr>
          <w:sz w:val="20"/>
          <w:szCs w:val="20"/>
          <w:color w:val="auto"/>
        </w:rPr>
      </w:pPr>
      <w:r>
        <w:rPr>
          <w:rFonts w:ascii="Times New Roman" w:cs="Times New Roman" w:eastAsia="Times New Roman" w:hAnsi="Times New Roman"/>
          <w:sz w:val="14"/>
          <w:szCs w:val="14"/>
          <w:i w:val="1"/>
          <w:iCs w:val="1"/>
          <w:color w:val="auto"/>
        </w:rPr>
        <w:t>Co-Investment</w:t>
      </w:r>
      <w:r>
        <w:rPr>
          <w:rFonts w:ascii="Times New Roman" w:cs="Times New Roman" w:eastAsia="Times New Roman" w:hAnsi="Times New Roman"/>
          <w:sz w:val="14"/>
          <w:szCs w:val="14"/>
          <w:color w:val="auto"/>
        </w:rPr>
        <w:t>. In instances where we co-invest with a GSC Group fund, while we will invest on the same terms and neither we nor the GSC Group fund may negotiate terms of the transaction other than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 conflicts of interest may arise. For example, if an investee company in which both we and a GSC Group fund have invested becomes distressed, and if the size of our relative investments vary significantly, the decisions relating to actions to be taken could raise conflicts of interest.</w:t>
      </w:r>
    </w:p>
    <w:p>
      <w:pPr>
        <w:spacing w:after="0" w:line="166" w:lineRule="exact"/>
        <w:rPr>
          <w:sz w:val="20"/>
          <w:szCs w:val="20"/>
          <w:color w:val="auto"/>
        </w:rPr>
      </w:pPr>
    </w:p>
    <w:p>
      <w:pPr>
        <w:jc w:val="both"/>
        <w:ind w:right="20" w:firstLine="209"/>
        <w:spacing w:after="0" w:line="261" w:lineRule="auto"/>
        <w:rPr>
          <w:sz w:val="20"/>
          <w:szCs w:val="20"/>
          <w:color w:val="auto"/>
        </w:rPr>
      </w:pPr>
      <w:r>
        <w:rPr>
          <w:rFonts w:ascii="Times New Roman" w:cs="Times New Roman" w:eastAsia="Times New Roman" w:hAnsi="Times New Roman"/>
          <w:sz w:val="14"/>
          <w:szCs w:val="14"/>
          <w:i w:val="1"/>
          <w:iCs w:val="1"/>
          <w:color w:val="auto"/>
        </w:rPr>
        <w:t>Shared Legal Counsel</w:t>
      </w:r>
      <w:r>
        <w:rPr>
          <w:rFonts w:ascii="Times New Roman" w:cs="Times New Roman" w:eastAsia="Times New Roman" w:hAnsi="Times New Roman"/>
          <w:sz w:val="14"/>
          <w:szCs w:val="14"/>
          <w:color w:val="auto"/>
        </w:rPr>
        <w:t>. We and a GSC Group fund will generally engage common legal counsel in transactions in which both are participating. Although separate counsel may be engaged, the time and cost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savings and other efficiencies and advantages of using common counsel will generally outweigh the disadvantages. In the event of a significant dispute or divergence of interests, typically in a work-out or other distressed situation, separate representation may become desirable, and in litigation and other circumstances, separate representation may be necessary.</w:t>
      </w:r>
    </w:p>
    <w:p>
      <w:pPr>
        <w:spacing w:after="0" w:line="166" w:lineRule="exact"/>
        <w:rPr>
          <w:sz w:val="20"/>
          <w:szCs w:val="20"/>
          <w:color w:val="auto"/>
        </w:rPr>
      </w:pPr>
    </w:p>
    <w:p>
      <w:pPr>
        <w:jc w:val="both"/>
        <w:ind w:right="40" w:firstLine="209"/>
        <w:spacing w:after="0" w:line="261" w:lineRule="auto"/>
        <w:rPr>
          <w:sz w:val="20"/>
          <w:szCs w:val="20"/>
          <w:color w:val="auto"/>
        </w:rPr>
      </w:pPr>
      <w:r>
        <w:rPr>
          <w:rFonts w:ascii="Times New Roman" w:cs="Times New Roman" w:eastAsia="Times New Roman" w:hAnsi="Times New Roman"/>
          <w:sz w:val="14"/>
          <w:szCs w:val="14"/>
          <w:i w:val="1"/>
          <w:iCs w:val="1"/>
          <w:color w:val="auto"/>
        </w:rPr>
        <w:t>Allocation of Opportunities</w:t>
      </w:r>
      <w:r>
        <w:rPr>
          <w:rFonts w:ascii="Times New Roman" w:cs="Times New Roman" w:eastAsia="Times New Roman" w:hAnsi="Times New Roman"/>
          <w:sz w:val="14"/>
          <w:szCs w:val="14"/>
          <w:color w:val="auto"/>
        </w:rPr>
        <w:t>. In particular, our investment adviser provides investment management, investment advice or other services in relation to a number of investment vehicles of GSC Group,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focus on corporate credit, distressed debt, mezzanine investments and structured finance products. Investment opportunities that may be of interest to us may also be of interest to GSC Group’s other investment vehicles. GSC Group may have conflicting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interests, including a larger capital commitment to, or larger fees from, another investment vehicle of GSC Group, in determining which investment vehicle should pursue the investment opportunity.</w:t>
      </w:r>
    </w:p>
    <w:p>
      <w:pPr>
        <w:spacing w:after="0" w:line="1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Cross-Trading</w:t>
      </w:r>
      <w:r>
        <w:rPr>
          <w:rFonts w:ascii="Times New Roman" w:cs="Times New Roman" w:eastAsia="Times New Roman" w:hAnsi="Times New Roman"/>
          <w:sz w:val="14"/>
          <w:szCs w:val="14"/>
          <w:color w:val="auto"/>
        </w:rPr>
        <w:t>. Subject to applicable law, we may engage in transactions directly with GSC Group or our investment adviser, including the purchase or sale of all or a portion of a portfolio investment.</w:t>
      </w:r>
    </w:p>
    <w:p>
      <w:pPr>
        <w:spacing w:after="0" w:line="172" w:lineRule="exact"/>
        <w:rPr>
          <w:sz w:val="20"/>
          <w:szCs w:val="20"/>
          <w:color w:val="auto"/>
        </w:rPr>
      </w:pPr>
    </w:p>
    <w:p>
      <w:pPr>
        <w:ind w:left="240"/>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Our investment adviser’s liability will be limited under the investment advisory and management agreement, and we will indemnify our investment adviser against certain liabilities, which may lead our investment adviser to act in a riskier manner on our behalf than it would when acting for its own account.</w:t>
      </w:r>
    </w:p>
    <w:p>
      <w:pPr>
        <w:spacing w:after="0" w:line="157" w:lineRule="exact"/>
        <w:rPr>
          <w:sz w:val="20"/>
          <w:szCs w:val="20"/>
          <w:color w:val="auto"/>
        </w:rPr>
      </w:pPr>
    </w:p>
    <w:p>
      <w:pPr>
        <w:ind w:right="120" w:firstLine="209"/>
        <w:spacing w:after="0" w:line="253" w:lineRule="auto"/>
        <w:rPr>
          <w:sz w:val="20"/>
          <w:szCs w:val="20"/>
          <w:color w:val="auto"/>
        </w:rPr>
      </w:pPr>
      <w:r>
        <w:rPr>
          <w:rFonts w:ascii="Times New Roman" w:cs="Times New Roman" w:eastAsia="Times New Roman" w:hAnsi="Times New Roman"/>
          <w:sz w:val="14"/>
          <w:szCs w:val="14"/>
          <w:color w:val="auto"/>
        </w:rPr>
        <w:t>Our investment adviser has not assumed any responsibility to us other than to render the services described in the investment advisory and management agreement. Pursuant to the investment advisory and management agreement, our investment adviser and its general partner, officers and employees will not be liable to us for their acts, under the investment advisory and management agreement, absent willful misfeasance, bad faith, gross negligence or reckless disregard in the performance of their duties. We have agreed to indemnify, defend and protect our investment adviser and its general partner, officers and employees with respect to all damages, liabilities, costs and expenses resulting from acts of our investment adviser not arising out of willful misfeasance, bad faith, gross negligence or reckless disregard in the performance of their duties under the investment advisory and management agreement. These protections may lead our investment adviser to act in a riskier manner when acting on our behalf than it would when acting for its own account.</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may be obligated to pay our investment adviser incentive compensation even if we incur a net loss, regardless of the market value of our common stock.</w:t>
      </w:r>
    </w:p>
    <w:p>
      <w:pPr>
        <w:spacing w:after="0" w:line="209" w:lineRule="exact"/>
        <w:rPr>
          <w:sz w:val="20"/>
          <w:szCs w:val="20"/>
          <w:color w:val="auto"/>
        </w:rPr>
      </w:pPr>
    </w:p>
    <w:p>
      <w:pPr>
        <w:ind w:right="240" w:firstLine="209"/>
        <w:spacing w:after="0" w:line="256" w:lineRule="auto"/>
        <w:rPr>
          <w:sz w:val="20"/>
          <w:szCs w:val="20"/>
          <w:color w:val="auto"/>
        </w:rPr>
      </w:pPr>
      <w:r>
        <w:rPr>
          <w:rFonts w:ascii="Times New Roman" w:cs="Times New Roman" w:eastAsia="Times New Roman" w:hAnsi="Times New Roman"/>
          <w:sz w:val="14"/>
          <w:szCs w:val="14"/>
          <w:color w:val="auto"/>
        </w:rPr>
        <w:t>Our investment adviser will be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investment adviser incentive compensation for a fiscal quarter even if there is a decline in the value of our Portfolio or we incur a net loss for that quarter.</w:t>
      </w:r>
    </w:p>
    <w:p>
      <w:pPr>
        <w:spacing w:after="0" w:line="171" w:lineRule="exact"/>
        <w:rPr>
          <w:sz w:val="20"/>
          <w:szCs w:val="20"/>
          <w:color w:val="auto"/>
        </w:rPr>
      </w:pPr>
    </w:p>
    <w:p>
      <w:pPr>
        <w:ind w:right="20" w:firstLine="209"/>
        <w:spacing w:after="0" w:line="256" w:lineRule="auto"/>
        <w:rPr>
          <w:sz w:val="20"/>
          <w:szCs w:val="20"/>
          <w:color w:val="auto"/>
        </w:rPr>
      </w:pPr>
      <w:r>
        <w:rPr>
          <w:rFonts w:ascii="Times New Roman" w:cs="Times New Roman" w:eastAsia="Times New Roman" w:hAnsi="Times New Roman"/>
          <w:sz w:val="14"/>
          <w:szCs w:val="14"/>
          <w:color w:val="auto"/>
        </w:rPr>
        <w:t>Under the investment advisory and management agreement, we will defer cash payment of any incentive fee otherwise earned by our investment adviser if, during the most recent four full calendar quarter periods ending on or prior to the date such payment is to be made, the sum of (a) our aggregate distributions to our stockholders and (b) our change in net assets (defined as total assets less liabilities) is less than 8.0% of our net assets at the beginning of such period. These calculations will be appropriately pro rated during the first three calendar quarters following the closing of this offering and will be adjusted for any share issuances or repurchases. Furthermore, the incentive fee that we pay is not tied to the market value of our common stock.</w:t>
      </w:r>
    </w:p>
    <w:p>
      <w:pPr>
        <w:spacing w:after="0" w:line="171" w:lineRule="exact"/>
        <w:rPr>
          <w:sz w:val="20"/>
          <w:szCs w:val="20"/>
          <w:color w:val="auto"/>
        </w:rPr>
      </w:pPr>
    </w:p>
    <w:p>
      <w:pPr>
        <w:jc w:val="both"/>
        <w:ind w:right="40" w:firstLine="209"/>
        <w:spacing w:after="0" w:line="260" w:lineRule="auto"/>
        <w:rPr>
          <w:sz w:val="20"/>
          <w:szCs w:val="20"/>
          <w:color w:val="auto"/>
        </w:rPr>
      </w:pPr>
      <w:r>
        <w:rPr>
          <w:rFonts w:ascii="Times New Roman" w:cs="Times New Roman" w:eastAsia="Times New Roman" w:hAnsi="Times New Roman"/>
          <w:sz w:val="14"/>
          <w:szCs w:val="14"/>
          <w:color w:val="auto"/>
        </w:rPr>
        <w:t>If a portfolio company defaults on a loan that is structured to provide accrued interest, it is possible that accrued interest previously included in the calculation of the incentive fee will become uncollectible. The investment adviser is not under any obligation to reimburse us for any part of the incentive fee it received that was based on accrued income that we never received as a result of a default by an entity on the obligation that resulted in the accrual of such income.</w:t>
      </w:r>
    </w:p>
    <w:p>
      <w:pPr>
        <w:spacing w:after="0" w:line="143" w:lineRule="exact"/>
        <w:rPr>
          <w:sz w:val="20"/>
          <w:szCs w:val="20"/>
          <w:color w:val="auto"/>
        </w:rPr>
      </w:pPr>
    </w:p>
    <w:p>
      <w:pPr>
        <w:ind w:left="240" w:right="260"/>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Changes in laws or regulations governing our operations, or changes in the interpretation thereof, and any failure by us to comply with laws or regulations governing our operations may adversely affect our business.</w:t>
      </w:r>
    </w:p>
    <w:p>
      <w:pPr>
        <w:spacing w:after="0" w:line="157" w:lineRule="exact"/>
        <w:rPr>
          <w:sz w:val="20"/>
          <w:szCs w:val="20"/>
          <w:color w:val="auto"/>
        </w:rPr>
      </w:pPr>
    </w:p>
    <w:p>
      <w:pPr>
        <w:ind w:right="100" w:firstLine="209"/>
        <w:spacing w:after="0" w:line="270" w:lineRule="auto"/>
        <w:rPr>
          <w:sz w:val="20"/>
          <w:szCs w:val="20"/>
          <w:color w:val="auto"/>
        </w:rPr>
      </w:pPr>
      <w:r>
        <w:rPr>
          <w:rFonts w:ascii="Times New Roman" w:cs="Times New Roman" w:eastAsia="Times New Roman" w:hAnsi="Times New Roman"/>
          <w:sz w:val="14"/>
          <w:szCs w:val="14"/>
          <w:color w:val="auto"/>
        </w:rPr>
        <w:t>We and our portfolio companies will be subject to regulation at the local, state and federal levels. These laws and regulations, as well as their interpretation, may be changed from time to time. Accordingly, any change in these laws or regulations, or their interpretation, or any failure by us to comply with these laws or regulations may adversely affect our business.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31" w:name="page32"/>
    <w:bookmarkEnd w:id="31"/>
    <w:p>
      <w:pPr>
        <w:ind w:right="80" w:firstLine="209"/>
        <w:spacing w:after="0" w:line="270" w:lineRule="auto"/>
        <w:rPr>
          <w:sz w:val="20"/>
          <w:szCs w:val="20"/>
          <w:color w:val="auto"/>
        </w:rPr>
      </w:pPr>
      <w:r>
        <w:rPr>
          <w:rFonts w:ascii="Times New Roman" w:cs="Times New Roman" w:eastAsia="Times New Roman" w:hAnsi="Times New Roman"/>
          <w:sz w:val="14"/>
          <w:szCs w:val="14"/>
          <w:color w:val="auto"/>
        </w:rPr>
        <w:t>As discussed below, there is a risk that certain investments that we intend to treat as qualifying assets will be determined to not be eligible for such treatment. Any such determination would have a material adverse effect on our business.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for investment opportunities.</w:t>
      </w:r>
    </w:p>
    <w:p>
      <w:pPr>
        <w:spacing w:after="0" w:line="209" w:lineRule="exact"/>
        <w:rPr>
          <w:sz w:val="20"/>
          <w:szCs w:val="20"/>
          <w:color w:val="auto"/>
        </w:rPr>
      </w:pPr>
    </w:p>
    <w:p>
      <w:pPr>
        <w:ind w:firstLine="209"/>
        <w:spacing w:after="0" w:line="301" w:lineRule="auto"/>
        <w:rPr>
          <w:sz w:val="20"/>
          <w:szCs w:val="20"/>
          <w:color w:val="auto"/>
        </w:rPr>
      </w:pPr>
      <w:r>
        <w:rPr>
          <w:rFonts w:ascii="Times New Roman" w:cs="Times New Roman" w:eastAsia="Times New Roman" w:hAnsi="Times New Roman"/>
          <w:sz w:val="12"/>
          <w:szCs w:val="12"/>
          <w:color w:val="auto"/>
        </w:rPr>
        <w:t>A number of entities will compete with us to make the types of investments that we plan to make in private middle market companies. We will compete with other BDCs, public and private funds, commercial and investment banks, commercial financing companies, insurance companies, high-yield investors, hedge funds, and, to the extent they provide an alternative form of financing, private equity funds. Many of our competitors are substantially larger and have considerably greater financial, technical and marketing resources than we do. Several other BDCs have recently raised, or are expected to raise, significant amounts of capital, and may have investment objectives that overlap with ours, which may create competition for investment opportunities.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cannot assure you that we will be able to identify and make investments that meet our investment objectives.</w:t>
      </w:r>
    </w:p>
    <w:p>
      <w:pPr>
        <w:spacing w:after="0" w:line="317" w:lineRule="exact"/>
        <w:rPr>
          <w:sz w:val="20"/>
          <w:szCs w:val="20"/>
          <w:color w:val="auto"/>
        </w:rPr>
      </w:pPr>
    </w:p>
    <w:p>
      <w:pPr>
        <w:ind w:right="180" w:firstLine="209"/>
        <w:spacing w:after="0" w:line="270" w:lineRule="auto"/>
        <w:rPr>
          <w:sz w:val="20"/>
          <w:szCs w:val="20"/>
          <w:color w:val="auto"/>
        </w:rPr>
      </w:pPr>
      <w:r>
        <w:rPr>
          <w:rFonts w:ascii="Times New Roman" w:cs="Times New Roman" w:eastAsia="Times New Roman" w:hAnsi="Times New Roman"/>
          <w:sz w:val="14"/>
          <w:szCs w:val="14"/>
          <w:color w:val="auto"/>
        </w:rPr>
        <w:t>We will not seek to compete primarily based on the interest rates we will offer and we believe that some of our competitors may make loans with interest rates that will be comparable to or lower than the rates we offer.</w:t>
      </w:r>
    </w:p>
    <w:p>
      <w:pPr>
        <w:spacing w:after="0" w:line="161" w:lineRule="exact"/>
        <w:rPr>
          <w:sz w:val="20"/>
          <w:szCs w:val="20"/>
          <w:color w:val="auto"/>
        </w:rPr>
      </w:pPr>
    </w:p>
    <w:p>
      <w:pPr>
        <w:ind w:right="120" w:firstLine="209"/>
        <w:spacing w:after="0" w:line="260" w:lineRule="auto"/>
        <w:rPr>
          <w:sz w:val="20"/>
          <w:szCs w:val="20"/>
          <w:color w:val="auto"/>
        </w:rPr>
      </w:pPr>
      <w:r>
        <w:rPr>
          <w:rFonts w:ascii="Times New Roman" w:cs="Times New Roman" w:eastAsia="Times New Roman" w:hAnsi="Times New Roman"/>
          <w:sz w:val="14"/>
          <w:szCs w:val="14"/>
          <w:color w:val="auto"/>
        </w:rPr>
        <w:t>We may lose investment opportunities if we do not match our competitors’ pricing, terms and structure. If we match our competitors’ pricing, terms and structure, we may experience decreased net interest income and increased risk of credit loss. As a result of operating in such a competitive environment, we may make investments that are on better terms to our portfolio companies than what we may have originally anticipated, which may impact our return on these investments.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operation as a BDC</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investment adviser and the members of its investment committee have no experience managing a BDC.</w:t>
      </w:r>
    </w:p>
    <w:p>
      <w:pPr>
        <w:spacing w:after="0" w:line="209" w:lineRule="exact"/>
        <w:rPr>
          <w:sz w:val="20"/>
          <w:szCs w:val="20"/>
          <w:color w:val="auto"/>
        </w:rPr>
      </w:pPr>
    </w:p>
    <w:p>
      <w:pPr>
        <w:ind w:right="120" w:firstLine="209"/>
        <w:spacing w:after="0" w:line="256" w:lineRule="auto"/>
        <w:rPr>
          <w:sz w:val="20"/>
          <w:szCs w:val="20"/>
          <w:color w:val="auto"/>
        </w:rPr>
      </w:pPr>
      <w:r>
        <w:rPr>
          <w:rFonts w:ascii="Times New Roman" w:cs="Times New Roman" w:eastAsia="Times New Roman" w:hAnsi="Times New Roman"/>
          <w:sz w:val="14"/>
          <w:szCs w:val="14"/>
          <w:color w:val="auto"/>
        </w:rPr>
        <w:t>The 1940 Act imposes numerous constraints on the operations of business development companies. For example, business development companies are required to invest at least 70% of their total assets primarily in securities of private companies or thinly traded U.S. public companies, cash, cash equivalents, U.S. government securities and high quality debt investments that mature in one year or less. Our investment adviser does not have any experience managing a BDC. The lack of experience of our investment adviser and the members of its investment committee in managing a portfolio of assets under such constraints may hinder their ability to take advantage of attractive investment opportunities and, as a result, achieve our investment objectives.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95" w:right="239" w:bottom="1440" w:gutter="0" w:footer="0" w:header="0"/>
        </w:sectPr>
      </w:pPr>
    </w:p>
    <w:bookmarkStart w:id="32" w:name="page33"/>
    <w:bookmarkEnd w:id="32"/>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A failure on our part to maintain our qualification as a BDC would significantly reduce our operating flexibility.</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If we fail to qualify as a BDC, we might be regulated as a closed-end investment company under the 1940 Act, which would significantly decrease our operating flexibility.</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will be subject to corporate-level income tax if we fail to qualify as a RIC.</w:t>
      </w:r>
    </w:p>
    <w:p>
      <w:pPr>
        <w:spacing w:after="0" w:line="209" w:lineRule="exact"/>
        <w:rPr>
          <w:sz w:val="20"/>
          <w:szCs w:val="20"/>
          <w:color w:val="auto"/>
        </w:rPr>
      </w:pPr>
    </w:p>
    <w:p>
      <w:pPr>
        <w:ind w:right="560" w:firstLine="209"/>
        <w:spacing w:after="0" w:line="270" w:lineRule="auto"/>
        <w:rPr>
          <w:sz w:val="20"/>
          <w:szCs w:val="20"/>
          <w:color w:val="auto"/>
        </w:rPr>
      </w:pPr>
      <w:r>
        <w:rPr>
          <w:rFonts w:ascii="Times New Roman" w:cs="Times New Roman" w:eastAsia="Times New Roman" w:hAnsi="Times New Roman"/>
          <w:sz w:val="14"/>
          <w:szCs w:val="14"/>
          <w:color w:val="auto"/>
        </w:rPr>
        <w:t>Upon our election to become a BDC, we will seek to qualify as a RIC under the Code, which requires us to qualify continuously as a BDC and meet certain source of income, distribution and asset diversification requirements.</w:t>
      </w:r>
    </w:p>
    <w:p>
      <w:pPr>
        <w:spacing w:after="0" w:line="161" w:lineRule="exact"/>
        <w:rPr>
          <w:sz w:val="20"/>
          <w:szCs w:val="20"/>
          <w:color w:val="auto"/>
        </w:rPr>
      </w:pPr>
    </w:p>
    <w:p>
      <w:pPr>
        <w:jc w:val="both"/>
        <w:ind w:right="240" w:firstLine="209"/>
        <w:spacing w:after="0" w:line="260" w:lineRule="auto"/>
        <w:rPr>
          <w:sz w:val="20"/>
          <w:szCs w:val="20"/>
          <w:color w:val="auto"/>
        </w:rPr>
      </w:pPr>
      <w:r>
        <w:rPr>
          <w:rFonts w:ascii="Times New Roman" w:cs="Times New Roman" w:eastAsia="Times New Roman" w:hAnsi="Times New Roman"/>
          <w:sz w:val="14"/>
          <w:szCs w:val="14"/>
          <w:color w:val="auto"/>
        </w:rPr>
        <w:t>The source of income requirement is satisfied if we derive at least 90% of our annual gross income from interest, dividends, payments with respect to certain securities loans, gains from the sale or other disposition of securities or options thereon or foreign currencies, or other income derived with respect to our business of investing in such securities or currencies, and net income from interests in “qualified publicly traded partnerships,” as defined in the Code.</w:t>
      </w:r>
    </w:p>
    <w:p>
      <w:pPr>
        <w:spacing w:after="0" w:line="168" w:lineRule="exact"/>
        <w:rPr>
          <w:sz w:val="20"/>
          <w:szCs w:val="20"/>
          <w:color w:val="auto"/>
        </w:rPr>
      </w:pPr>
    </w:p>
    <w:p>
      <w:pPr>
        <w:jc w:val="both"/>
        <w:ind w:right="100" w:firstLine="209"/>
        <w:spacing w:after="0" w:line="256" w:lineRule="auto"/>
        <w:rPr>
          <w:sz w:val="20"/>
          <w:szCs w:val="20"/>
          <w:color w:val="auto"/>
        </w:rPr>
      </w:pPr>
      <w:r>
        <w:rPr>
          <w:rFonts w:ascii="Times New Roman" w:cs="Times New Roman" w:eastAsia="Times New Roman" w:hAnsi="Times New Roman"/>
          <w:sz w:val="14"/>
          <w:szCs w:val="14"/>
          <w:color w:val="auto"/>
        </w:rPr>
        <w:t>The annual distribution requirement is satisfied if we distribute to our stockholders on an annual basis an amount equal to at least 90% of our ordinary net taxable income and realized net short-term capital gains in excess of realized net long-term capital losses, if any, reduced by deductible expenses. Because we may use debt financing in the future, we may be subject to certain asset coverage ratio requirements under the 1940 Act and financial covenants under loan agreements that could, under certain circumstances, restrict us from making distributions necessary to qualify as a RIC. In such case, if we are unable to obtain cash from other sources, we may fail to qualify as a RIC and, thus, may be subject to corporate-level income tax.</w:t>
      </w:r>
    </w:p>
    <w:p>
      <w:pPr>
        <w:spacing w:after="0" w:line="171"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To qualify as a RIC, we must also meet certain asset diversification requirements at the end of each calendar quarter. Failure to meet these tests may result in our having to (i) dispose of certain investments quickly or (ii) raise additional capital to prevent the loss of our RIC qualification. Because most of our investments will be in private companies, any such dispositions could be made at disadvantageous prices and may result in substantial losses. While we intend to enter into a credit facility within 60 days following the closing of this offering which would provide us with access to additional capital, we cannot assure you that we will be able to obtain a credit facility on terms acceptable to us or at all. In addition, if we raise additional capital to satisfy the asset diversification requirements, it could take us time to invest such capital. During this period, we will invest the additional capital in temporary investments, such as cash and cash equivalents, which we expect will earn yields substantially lower than the interest income that we anticipate receiving in respect of investments in first and second lien loans and mezzanine debt.</w:t>
      </w:r>
    </w:p>
    <w:p>
      <w:pPr>
        <w:spacing w:after="0" w:line="175" w:lineRule="exact"/>
        <w:rPr>
          <w:sz w:val="20"/>
          <w:szCs w:val="20"/>
          <w:color w:val="auto"/>
        </w:rPr>
      </w:pPr>
    </w:p>
    <w:p>
      <w:pPr>
        <w:jc w:val="both"/>
        <w:ind w:right="200" w:firstLine="209"/>
        <w:spacing w:after="0" w:line="260" w:lineRule="auto"/>
        <w:rPr>
          <w:sz w:val="20"/>
          <w:szCs w:val="20"/>
          <w:color w:val="auto"/>
        </w:rPr>
      </w:pPr>
      <w:r>
        <w:rPr>
          <w:rFonts w:ascii="Times New Roman" w:cs="Times New Roman" w:eastAsia="Times New Roman" w:hAnsi="Times New Roman"/>
          <w:sz w:val="14"/>
          <w:szCs w:val="14"/>
          <w:color w:val="auto"/>
        </w:rPr>
        <w:t>If we fail to qualify as a RIC for any reason, all of our taxable income will be subject to U.S. federal income tax at regular corporate rates. The resulting corporate taxes could substantially reduce our net assets, the amount of income available for distribution and the amount of our distributions. Such a failure would have a material adverse effect on us and our stockholders. See “Material U.S. Federal Income Tax Considerations—Tax consequences as a RIC.”</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There is a risk that you may not receive distributions or that our distributions may not grow over time.</w:t>
      </w:r>
    </w:p>
    <w:p>
      <w:pPr>
        <w:spacing w:after="0" w:line="20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As a BDC for 1940 Act purposes and a RIC for U.S. federal income tax purposes, 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that is applicable to us as a BDC, we may be limited in our ability to make distributions. Further, if we invest a greater amount of assets in equity securities that do not pay current dividends, it could reduce the amount available for distribution. See “Distributions.”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513" w:right="239" w:bottom="1440" w:gutter="0" w:footer="0" w:header="0"/>
        </w:sectPr>
      </w:pPr>
    </w:p>
    <w:bookmarkStart w:id="33" w:name="page34"/>
    <w:bookmarkEnd w:id="33"/>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As a BDC, we may have difficulty paying our required distributions if we recognize income before or without receiving cash in respect of such income.</w:t>
      </w:r>
    </w:p>
    <w:p>
      <w:pPr>
        <w:spacing w:after="0" w:line="209" w:lineRule="exact"/>
        <w:rPr>
          <w:sz w:val="20"/>
          <w:szCs w:val="20"/>
          <w:color w:val="auto"/>
        </w:rPr>
      </w:pPr>
    </w:p>
    <w:p>
      <w:pPr>
        <w:ind w:right="100" w:firstLine="209"/>
        <w:spacing w:after="0" w:line="312" w:lineRule="auto"/>
        <w:rPr>
          <w:sz w:val="20"/>
          <w:szCs w:val="20"/>
          <w:color w:val="auto"/>
        </w:rPr>
      </w:pPr>
      <w:r>
        <w:rPr>
          <w:rFonts w:ascii="Times New Roman" w:cs="Times New Roman" w:eastAsia="Times New Roman" w:hAnsi="Times New Roman"/>
          <w:sz w:val="12"/>
          <w:szCs w:val="12"/>
          <w:color w:val="auto"/>
        </w:rPr>
        <w:t>For U.S. federal income tax purposes, we will include in income certain amounts that we have not yet received in cash, such as original issue discount, which may arise if we receive warrants in connection with the making of a loan or possibly in other circumstances, or contracted payment-in-kind interest, which represents contractual interest added to the loan balance and due at the end of the loan term. Such original issue discount, which could be significant relative to our overall investment activities, or increases in loan balances will be included in income before we receive any corresponding cash payments. We also may be required to include in income certain other amounts that we will not receive in cash, including, for example, non-cash income from pay-in-kind securities and deferred payment securities.</w:t>
      </w:r>
    </w:p>
    <w:p>
      <w:pPr>
        <w:spacing w:after="0" w:line="141" w:lineRule="exact"/>
        <w:rPr>
          <w:sz w:val="20"/>
          <w:szCs w:val="20"/>
          <w:color w:val="auto"/>
        </w:rPr>
      </w:pPr>
    </w:p>
    <w:p>
      <w:pPr>
        <w:ind w:right="120" w:firstLine="209"/>
        <w:spacing w:after="0" w:line="312" w:lineRule="auto"/>
        <w:rPr>
          <w:sz w:val="20"/>
          <w:szCs w:val="20"/>
          <w:color w:val="auto"/>
        </w:rPr>
      </w:pPr>
      <w:r>
        <w:rPr>
          <w:rFonts w:ascii="Times New Roman" w:cs="Times New Roman" w:eastAsia="Times New Roman" w:hAnsi="Times New Roman"/>
          <w:sz w:val="12"/>
          <w:szCs w:val="12"/>
          <w:color w:val="auto"/>
        </w:rPr>
        <w:t>Since in certain cases we may recognize income before or without receiving cash in respect of such income, we may have difficulty meeting the requirement that we distribute an amount equal to at least 90% of our ordinary net taxable income and realized net short-term capital gains in excess of realized net long-term capital losses, if any, reduced by deductible expenses, to qualify as a RIC. Accordingly, we may have to sell some of our investments at times we would not consider advantageous, raise additional debt or equity capital or reduce new investments to meet these distribution requirements. If we are not able to obtain cash from other sources, we may fail to qualify as a RIC and thus be subject to corporate-level income tax. See “Material U.S. Federal Income Tax Considerations—Tax consequences as a RIC.”</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Regulations governing our operation as a BDC will affect our ability to, and the way in which we, raise additional capital.</w:t>
      </w:r>
    </w:p>
    <w:p>
      <w:pPr>
        <w:spacing w:after="0" w:line="209" w:lineRule="exact"/>
        <w:rPr>
          <w:sz w:val="20"/>
          <w:szCs w:val="20"/>
          <w:color w:val="auto"/>
        </w:rPr>
      </w:pPr>
    </w:p>
    <w:p>
      <w:pPr>
        <w:ind w:right="160" w:firstLine="209"/>
        <w:spacing w:after="0" w:line="254" w:lineRule="auto"/>
        <w:rPr>
          <w:sz w:val="20"/>
          <w:szCs w:val="20"/>
          <w:color w:val="auto"/>
        </w:rPr>
      </w:pPr>
      <w:r>
        <w:rPr>
          <w:rFonts w:ascii="Times New Roman" w:cs="Times New Roman" w:eastAsia="Times New Roman" w:hAnsi="Times New Roman"/>
          <w:sz w:val="14"/>
          <w:szCs w:val="14"/>
          <w:color w:val="auto"/>
        </w:rPr>
        <w:t>We may issue debt securities or preferred stock, which we refer to collectively as “senior securities,” and borrow money from banks or other financial institutions up to the maximum amount permitted by the 1940 Act. Under the provisions of the 1940 Act, we will be permitted, as a BDC, to incur indebtedness or issue senior securities only in amounts such that our asset coverage, as defined in the 1940 Act, equal at least 200% after such incurrence or issuance. If the value of our assets declines, we may be unable to satisfy this test, which would prohibit us from paying dividends and could prevent us from qualifying as a RIC. If we cannot satisfy this test, we may be required to sell a portion of our investments and, depending on the nature of our leverage, repay a portion of our indebtedness at a time when such sales may be disadvantageous.</w:t>
      </w:r>
    </w:p>
    <w:p>
      <w:pPr>
        <w:spacing w:after="0" w:line="174" w:lineRule="exact"/>
        <w:rPr>
          <w:sz w:val="20"/>
          <w:szCs w:val="20"/>
          <w:color w:val="auto"/>
        </w:rPr>
      </w:pPr>
    </w:p>
    <w:p>
      <w:pPr>
        <w:jc w:val="both"/>
        <w:ind w:right="20" w:firstLine="209"/>
        <w:spacing w:after="0" w:line="312" w:lineRule="auto"/>
        <w:rPr>
          <w:sz w:val="20"/>
          <w:szCs w:val="20"/>
          <w:color w:val="auto"/>
        </w:rPr>
      </w:pPr>
      <w:r>
        <w:rPr>
          <w:rFonts w:ascii="Times New Roman" w:cs="Times New Roman" w:eastAsia="Times New Roman" w:hAnsi="Times New Roman"/>
          <w:sz w:val="12"/>
          <w:szCs w:val="12"/>
          <w:color w:val="auto"/>
        </w:rPr>
        <w:t>We are not generally able to issue and sell our common stock at a price below net asset value per share. We may, however, sell our common stock, or warrants, options or rights to acquire our common stock, at a price below the current net asset value of the common stock if our board of directors determines that such sale is in our best interests and the best interests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commission or discount). If our common stock trades at a discount to net asset value, this restriction could adversely affect our ability to raise capital.</w:t>
      </w:r>
    </w:p>
    <w:p>
      <w:pPr>
        <w:spacing w:after="0" w:line="141"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In addition, we may in the future seek to securitize our loans to generate cash for funding new investments. To securitize loans, we may create a wholly-owned subsidiary and contribute a pool of loans to the subsidiary. This could include the sale of interests in the subsidiary on a non-recourse basis to purchasers who we would expect to be willing to accept a lower interest rate to invest in loan pools, and we would retain a portion of the equity in the securitized pool of loans. An inability to successfully securitize our loan portfolio could limit our ability to grow our business, fully execute our business strategy and decrease our earnings, if any. The securitization market is subject to changing market conditions and we may not be able to access this market when we would otherwise deem appropriate. Moreover, the successful securitization of our loan portfolio might expose us to losses as the residual loans in which we do not sell interests will tend to be those that are riskier and more apt to generate losses. The 1940 Act may also impose restrictions on the structure of any securitization.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513" w:right="219" w:bottom="1440" w:gutter="0" w:footer="0" w:header="0"/>
        </w:sectPr>
      </w:pPr>
    </w:p>
    <w:bookmarkStart w:id="34" w:name="page35"/>
    <w:bookmarkEnd w:id="34"/>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If our primary investments are deemed not to be qualifying assets, we could fail to qualify as a BDC or be precluded from investing according to our current business plan.</w:t>
      </w:r>
    </w:p>
    <w:p>
      <w:pPr>
        <w:spacing w:after="0" w:line="209" w:lineRule="exact"/>
        <w:rPr>
          <w:sz w:val="20"/>
          <w:szCs w:val="20"/>
          <w:color w:val="auto"/>
        </w:rPr>
      </w:pPr>
    </w:p>
    <w:p>
      <w:pPr>
        <w:ind w:right="40" w:firstLine="209"/>
        <w:spacing w:after="0" w:line="256" w:lineRule="auto"/>
        <w:rPr>
          <w:sz w:val="20"/>
          <w:szCs w:val="20"/>
          <w:color w:val="auto"/>
        </w:rPr>
      </w:pPr>
      <w:r>
        <w:rPr>
          <w:rFonts w:ascii="Times New Roman" w:cs="Times New Roman" w:eastAsia="Times New Roman" w:hAnsi="Times New Roman"/>
          <w:sz w:val="14"/>
          <w:szCs w:val="14"/>
          <w:color w:val="auto"/>
        </w:rPr>
        <w:t>If we are to maintain our qualification as a BDC, we must not acquire any assets other than “qualifying assets” unless, at the time of and after giving effect to such acquisition, at least 70% of our total assets are qualifying assets. If we acquire senior loans, mezzanine investments or equity securities from an issuer that has outstanding marginable securities at the time we make an investment, these acquired assets may not be treated as qualifying assets. See “Regulation—Qualifying assets.” This results from the definition of “eligible portfolio company” under the 1940 Act, which in part looks to whether a company has outstanding marginable securities.</w:t>
      </w:r>
    </w:p>
    <w:p>
      <w:pPr>
        <w:spacing w:after="0" w:line="171" w:lineRule="exact"/>
        <w:rPr>
          <w:sz w:val="20"/>
          <w:szCs w:val="20"/>
          <w:color w:val="auto"/>
        </w:rPr>
      </w:pPr>
    </w:p>
    <w:p>
      <w:pPr>
        <w:ind w:right="240" w:firstLine="209"/>
        <w:spacing w:after="0" w:line="270" w:lineRule="auto"/>
        <w:rPr>
          <w:sz w:val="20"/>
          <w:szCs w:val="20"/>
          <w:color w:val="auto"/>
        </w:rPr>
      </w:pPr>
      <w:r>
        <w:rPr>
          <w:rFonts w:ascii="Times New Roman" w:cs="Times New Roman" w:eastAsia="Times New Roman" w:hAnsi="Times New Roman"/>
          <w:sz w:val="14"/>
          <w:szCs w:val="14"/>
          <w:color w:val="auto"/>
        </w:rPr>
        <w:t>Amendments promulgated in 1998 by the Board of Governors of the Federal Reserve System to Regulation T under the Exchange Act, expanded the definition of marginable security to include any non-equity security. These amendments have raised questions as to whether a private company that has outstanding debt would qualify as an eligible portfolio company.</w:t>
      </w:r>
    </w:p>
    <w:p>
      <w:pPr>
        <w:spacing w:after="0" w:line="161" w:lineRule="exact"/>
        <w:rPr>
          <w:sz w:val="20"/>
          <w:szCs w:val="20"/>
          <w:color w:val="auto"/>
        </w:rPr>
      </w:pPr>
    </w:p>
    <w:p>
      <w:pPr>
        <w:ind w:right="20" w:firstLine="209"/>
        <w:spacing w:after="0" w:line="252" w:lineRule="auto"/>
        <w:rPr>
          <w:sz w:val="20"/>
          <w:szCs w:val="20"/>
          <w:color w:val="auto"/>
        </w:rPr>
      </w:pPr>
      <w:r>
        <w:rPr>
          <w:rFonts w:ascii="Times New Roman" w:cs="Times New Roman" w:eastAsia="Times New Roman" w:hAnsi="Times New Roman"/>
          <w:sz w:val="14"/>
          <w:szCs w:val="14"/>
          <w:color w:val="auto"/>
        </w:rPr>
        <w:t>We believe that the senior loans and mezzanine investments that we propose to acquire should constitute qualifying assets because the privately held issuers will not, at the time of our investment, have outstanding marginable securities for the reasons set forth in this paragraph. First, we expect to make a large portion of our investments in companies that, to the extent they have any outstanding borrowings, have made such borrowings on terms and in circumstances such that such borrowings should not, under existing legal precedent, be considered securities under the Exchange Act and therefore should not be deemed marginable securities under Regulation T. Second, we believe that, should a different position be taken such that those borrowings may be securities, they should still not be marginable securities. In particular, debt that neither trades in a public secondary market nor is rated investment grade is generally not a margin eligible security under the rules established by the self-regulatory organizations, including the New York Stock Exchange and National Association of Securities Dealers, that govern the terms on which broker-dealers may extend margin credit. Unless the questions raised by the amendments to Regulation T have been addressed by legislative, administrative or judicial action that contradicts our interpretation, we intend to treat as qualifying assets only those senior loans and mezzanine investments that, at the time of our investment, are issued by an issuer that does not have outstanding a class of margin eligible securities. Likewise, we will treat equity securities issued by a portfolio company as qualifying assets only if such securities are issued by a company that has no margin eligible securities outstanding at the time we purchase such securities.</w:t>
      </w:r>
    </w:p>
    <w:p>
      <w:pPr>
        <w:spacing w:after="0" w:line="174" w:lineRule="exact"/>
        <w:rPr>
          <w:sz w:val="20"/>
          <w:szCs w:val="20"/>
          <w:color w:val="auto"/>
        </w:rPr>
      </w:pPr>
    </w:p>
    <w:p>
      <w:pPr>
        <w:ind w:right="60" w:firstLine="209"/>
        <w:spacing w:after="0" w:line="270" w:lineRule="auto"/>
        <w:rPr>
          <w:sz w:val="20"/>
          <w:szCs w:val="20"/>
          <w:color w:val="auto"/>
        </w:rPr>
      </w:pPr>
      <w:r>
        <w:rPr>
          <w:rFonts w:ascii="Times New Roman" w:cs="Times New Roman" w:eastAsia="Times New Roman" w:hAnsi="Times New Roman"/>
          <w:sz w:val="14"/>
          <w:szCs w:val="14"/>
          <w:color w:val="auto"/>
        </w:rPr>
        <w:t>To date, we do not believe that either the SEC or its staff has taken any position with respect to our analysis of the issues discussed above. We intend to adjust our investment focus as needed to comply with and/or take advantage of any future administrative position, judicial decision or legislative action.</w:t>
      </w:r>
    </w:p>
    <w:p>
      <w:pPr>
        <w:spacing w:after="0" w:line="161" w:lineRule="exact"/>
        <w:rPr>
          <w:sz w:val="20"/>
          <w:szCs w:val="20"/>
          <w:color w:val="auto"/>
        </w:rPr>
      </w:pPr>
    </w:p>
    <w:p>
      <w:pPr>
        <w:ind w:right="140" w:firstLine="209"/>
        <w:spacing w:after="0" w:line="304" w:lineRule="auto"/>
        <w:rPr>
          <w:sz w:val="20"/>
          <w:szCs w:val="20"/>
          <w:color w:val="auto"/>
        </w:rPr>
      </w:pPr>
      <w:r>
        <w:rPr>
          <w:rFonts w:ascii="Times New Roman" w:cs="Times New Roman" w:eastAsia="Times New Roman" w:hAnsi="Times New Roman"/>
          <w:sz w:val="12"/>
          <w:szCs w:val="12"/>
          <w:color w:val="auto"/>
        </w:rPr>
        <w:t>If there were a court ruling or regulatory decision that conflicts with our interpretations, we could be precluded from investing in the manner described in this prospectus, either of which would have a material adverse effect on our business, financial condition and results of operations. See “—A failure on our part to maintain our qualification as a BDC would significantly reduce our operating flexibility” above. Such a ruling or decision also may require that we dispose of investments that we made based on our interpretation of the 1940 Act. Such dispositions could have a material adverse effect on us and our stockholders. We may need to dispose of such investments quickly, which would make it difficult to dispose of such investments on favorable terms. In addition, because these types of investments will generally be illiquid, we may have difficulty in finding a buyer and, even if we do find a buyer, we may have to sell the investments at a substantial loss. See “—Changes in laws or regulations governing our operations, or changes in the interpretation thereof, and any failure by us to comply with laws or regulations governing our operations may adversely affect our business” above.</w:t>
      </w:r>
    </w:p>
    <w:p>
      <w:pPr>
        <w:spacing w:after="0" w:line="144"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The Securities and Exchange Commission (the “SEC”) has proposed rules that would define an “eligible portfolio company” as any company that does not have securities listed on a national securities exchange or association. In addition, legislation that has been passed by the U.S. House of Representatives and is currently pending in the U.S. Senate would expand the definition of eligible portfolio companies to include publicly-traded companies with a market capitalization of less than $250 million. If adopted or enacted, the effect of these rules or laws would be to reduce significantly or eliminate confusion surrounding whether a company qualifies as an eligible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513" w:right="219" w:bottom="1440" w:gutter="0" w:footer="0" w:header="0"/>
        </w:sectPr>
      </w:pPr>
    </w:p>
    <w:bookmarkStart w:id="35" w:name="page36"/>
    <w:bookmarkEnd w:id="35"/>
    <w:p>
      <w:pPr>
        <w:ind w:right="140"/>
        <w:spacing w:after="0" w:line="260" w:lineRule="auto"/>
        <w:rPr>
          <w:sz w:val="20"/>
          <w:szCs w:val="20"/>
          <w:color w:val="auto"/>
        </w:rPr>
      </w:pPr>
      <w:r>
        <w:rPr>
          <w:rFonts w:ascii="Times New Roman" w:cs="Times New Roman" w:eastAsia="Times New Roman" w:hAnsi="Times New Roman"/>
          <w:sz w:val="14"/>
          <w:szCs w:val="14"/>
          <w:color w:val="auto"/>
        </w:rPr>
        <w:t>portfolio company. We cannot assure you that these rules, or laws will be approved by the SEC or enacted by Congress. Until the SEC or its staff has issued final rules with respect to the issue discussed above or Congress has passed new legislation, we will continue to monitor this issue closely, and may be required to adjust our investment focus to comply with and/or take advantage of any future administrative position, judicial decision or legislative action.</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enter into transactions with our affiliates will be restricted.</w:t>
      </w:r>
    </w:p>
    <w:p>
      <w:pPr>
        <w:spacing w:after="0" w:line="209" w:lineRule="exact"/>
        <w:rPr>
          <w:sz w:val="20"/>
          <w:szCs w:val="20"/>
          <w:color w:val="auto"/>
        </w:rPr>
      </w:pPr>
    </w:p>
    <w:p>
      <w:pPr>
        <w:ind w:right="60" w:firstLine="209"/>
        <w:spacing w:after="0" w:line="301" w:lineRule="auto"/>
        <w:rPr>
          <w:sz w:val="20"/>
          <w:szCs w:val="20"/>
          <w:color w:val="auto"/>
        </w:rPr>
      </w:pPr>
      <w:r>
        <w:rPr>
          <w:rFonts w:ascii="Times New Roman" w:cs="Times New Roman" w:eastAsia="Times New Roman" w:hAnsi="Times New Roman"/>
          <w:sz w:val="12"/>
          <w:szCs w:val="12"/>
          <w:color w:val="auto"/>
        </w:rPr>
        <w:t>Following our election to be treated as a BDC, we will be prohibited under the 1940 Act from knowingly participating in certain transactions with our affiliates without the prior approval of our independent directors, or in some cases, the prior approval of the SEC. For example, any person that owns, directly or indirectly, 5% or more of our outstanding voting securities will be our affiliate for purposes of the 1940 Act and we will generally be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 of our voting securities, we will be prohibited from buying or selling any security from or to such person, or entering into joint transactions with such person, absent the prior approval of the SEC. Prior to our election to be treated as a BDC, the restrictions and protections of the 1940 Act will not be applicable, therefore we will not be prohibited from entering into transactions with our affiliates. For example, we are purchasing our Portfolio from an affiliate and while we have obtained a third-party valuation of the Portfolio, this purchase may not have been permissible if we were regulated as a BDC under the 1940 Act, Where we are participating in an investment with other funds managed by GSC Group, we will be limited in our ability to participate in the structuring of the investment.</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may trade at a discount to our net asset value per share.</w:t>
      </w:r>
    </w:p>
    <w:p>
      <w:pPr>
        <w:spacing w:after="0" w:line="209" w:lineRule="exact"/>
        <w:rPr>
          <w:sz w:val="20"/>
          <w:szCs w:val="20"/>
          <w:color w:val="auto"/>
        </w:rPr>
      </w:pPr>
    </w:p>
    <w:p>
      <w:pPr>
        <w:ind w:right="20" w:firstLine="209"/>
        <w:spacing w:after="0" w:line="254" w:lineRule="auto"/>
        <w:rPr>
          <w:sz w:val="20"/>
          <w:szCs w:val="20"/>
          <w:color w:val="auto"/>
        </w:rPr>
      </w:pPr>
      <w:r>
        <w:rPr>
          <w:rFonts w:ascii="Times New Roman" w:cs="Times New Roman" w:eastAsia="Times New Roman" w:hAnsi="Times New Roman"/>
          <w:sz w:val="14"/>
          <w:szCs w:val="14"/>
          <w:color w:val="auto"/>
        </w:rPr>
        <w:t>Common stock of BDCs, as closed-end investment companies, frequently trades at a discount to net asset value. It is possible that after our initial public offering our common stock will also trade at a discount. The possibility that our common stock may trade at a discount to our net asset value is separate and distinct from the risk that our net asset value per share may decline. Our net asset value immediately following this offering will reflect reductions resulting from the underwriters’ discount and the amount of the organizational and offering expenses paid by us. This risk may have a greater effect on investors expecting to sell their common stock soon after completion of the initial public offering and our common stock may be more appropriate for long-term investors than for investors with shorter investment horizons. We cannot predict whether our common stock following our initial public offering will trade above, at or below our net asset value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investments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may be risky, and you could lose all or part of your investment.</w:t>
      </w:r>
    </w:p>
    <w:p>
      <w:pPr>
        <w:spacing w:after="0" w:line="209"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The debt in which we intend to invest is typically not rated by any rating agency, but we believe that if such investments were rated, they would be below investment grade (rated lower than “Baa3” by Moody’s or lower than “BBB-” by Standard &amp; Poor’s). Indebtedness of below investment grade quality is regarded as having predominantly speculative characteristics with respect to the issuer’s capacity to pay interest and repay principal. Our mezzanine investments may result in an above average amount of risk and volatility or loss of principal. We will invest in assets other than mezzanine investments including first and second lien loans, high-yield securities, U.S. government securities, credit derivatives and other structured securities and certain direct equity investments. These investments will entail additional risks that could adversely affect our investment returns. In addition, to the extent interest payments associated with such debt are deferred such debt will be subject to greater fluctuations in value based on changes in interest rates, such debt could produce taxable income without a corresponding cash payment to us, and since we will generally not receive any cash prior to maturity of the debt, the investment will be of greater risk.</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 addition, private middle market companies in which we expect to invest involve a number of significant risks, including: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36" w:name="page37"/>
    <w:bookmarkEnd w:id="36"/>
    <w:p>
      <w:pPr>
        <w:ind w:left="420" w:right="240"/>
        <w:spacing w:after="0" w:line="302" w:lineRule="auto"/>
        <w:rPr>
          <w:sz w:val="20"/>
          <w:szCs w:val="20"/>
          <w:color w:val="auto"/>
        </w:rPr>
      </w:pPr>
      <w:r>
        <w:rPr>
          <w:rFonts w:ascii="Times New Roman" w:cs="Times New Roman" w:eastAsia="Times New Roman" w:hAnsi="Times New Roman"/>
          <w:sz w:val="14"/>
          <w:szCs w:val="14"/>
          <w:color w:val="auto"/>
        </w:rPr>
        <w:t>limited financial resources and being unable to meet their obligations, which may be accompanied by a deterioration in the value of any collateral and a reduction in the likelihood of us realizing any guarantees we may have obtained in connection with 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80"/>
        <w:spacing w:after="0" w:line="302" w:lineRule="auto"/>
        <w:rPr>
          <w:sz w:val="20"/>
          <w:szCs w:val="20"/>
          <w:color w:val="auto"/>
        </w:rPr>
      </w:pPr>
      <w:r>
        <w:rPr>
          <w:rFonts w:ascii="Times New Roman" w:cs="Times New Roman" w:eastAsia="Times New Roman" w:hAnsi="Times New Roman"/>
          <w:sz w:val="14"/>
          <w:szCs w:val="14"/>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240"/>
        <w:spacing w:after="0" w:line="302" w:lineRule="auto"/>
        <w:rPr>
          <w:sz w:val="20"/>
          <w:szCs w:val="20"/>
          <w:color w:val="auto"/>
        </w:rPr>
      </w:pPr>
      <w:r>
        <w:rPr>
          <w:rFonts w:ascii="Times New Roman" w:cs="Times New Roman" w:eastAsia="Times New Roman" w:hAnsi="Times New Roman"/>
          <w:sz w:val="14"/>
          <w:szCs w:val="14"/>
          <w:color w:val="auto"/>
        </w:rPr>
        <w:t>depending on the management talents and efforts of a small group of persons; therefore, the death, disability, resignation or termination of one or more of these persons could have a material adverse impact on our portfolio company and, in turn,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20"/>
        <w:spacing w:after="0" w:line="291" w:lineRule="auto"/>
        <w:rPr>
          <w:sz w:val="20"/>
          <w:szCs w:val="20"/>
          <w:color w:val="auto"/>
        </w:rPr>
      </w:pPr>
      <w:r>
        <w:rPr>
          <w:rFonts w:ascii="Times New Roman" w:cs="Times New Roman" w:eastAsia="Times New Roman" w:hAnsi="Times New Roman"/>
          <w:sz w:val="14"/>
          <w:szCs w:val="14"/>
          <w:color w:val="auto"/>
        </w:rPr>
        <w:t>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-344805</wp:posOffset>
            </wp:positionV>
            <wp:extent cx="58420" cy="584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difficulty accessing the capital markets to meet future capital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When we invest in first and second lien senior loans or mezzanine debt, we may acquire warrants or other equity securities as well.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Economic recessions or downturns could impair our portfolio companies and harm our operating results.</w:t>
      </w:r>
    </w:p>
    <w:p>
      <w:pPr>
        <w:spacing w:after="0" w:line="209" w:lineRule="exact"/>
        <w:rPr>
          <w:sz w:val="20"/>
          <w:szCs w:val="20"/>
          <w:color w:val="auto"/>
        </w:rPr>
      </w:pPr>
    </w:p>
    <w:p>
      <w:pPr>
        <w:ind w:right="180" w:firstLine="209"/>
        <w:spacing w:after="0" w:line="312" w:lineRule="auto"/>
        <w:rPr>
          <w:sz w:val="20"/>
          <w:szCs w:val="20"/>
          <w:color w:val="auto"/>
        </w:rPr>
      </w:pPr>
      <w:r>
        <w:rPr>
          <w:rFonts w:ascii="Times New Roman" w:cs="Times New Roman" w:eastAsia="Times New Roman" w:hAnsi="Times New Roman"/>
          <w:sz w:val="12"/>
          <w:szCs w:val="12"/>
          <w:color w:val="auto"/>
        </w:rPr>
        <w:t>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41"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our portfolio company’s ability to meet its obligations under the debt that we hold and the value of any equity securities we own. We may incur expenses to the extent necessary to seek recovery upon default or to negotiate new terms with a defaulting portfolio company.</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There may be circumstances where our debt investments could be subordinated to claims of other creditors or we could be subject to lender liability claims.</w:t>
      </w:r>
    </w:p>
    <w:p>
      <w:pPr>
        <w:spacing w:after="0" w:line="209" w:lineRule="exact"/>
        <w:rPr>
          <w:sz w:val="20"/>
          <w:szCs w:val="20"/>
          <w:color w:val="auto"/>
        </w:rPr>
      </w:pPr>
    </w:p>
    <w:p>
      <w:pPr>
        <w:ind w:right="20" w:firstLine="209"/>
        <w:spacing w:after="0" w:line="256" w:lineRule="auto"/>
        <w:rPr>
          <w:sz w:val="20"/>
          <w:szCs w:val="20"/>
          <w:color w:val="auto"/>
        </w:rPr>
      </w:pPr>
      <w:r>
        <w:rPr>
          <w:rFonts w:ascii="Times New Roman" w:cs="Times New Roman" w:eastAsia="Times New Roman" w:hAnsi="Times New Roman"/>
          <w:sz w:val="14"/>
          <w:szCs w:val="14"/>
          <w:color w:val="auto"/>
        </w:rPr>
        <w:t>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if we actually render significant managerial assistance.</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95" w:right="239" w:bottom="1440" w:gutter="0" w:footer="0" w:header="0"/>
        </w:sectPr>
      </w:pPr>
    </w:p>
    <w:bookmarkStart w:id="37" w:name="page38"/>
    <w:bookmarkEnd w:id="37"/>
    <w:p>
      <w:pPr>
        <w:ind w:left="240" w:right="320"/>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An investment strategy focused primarily on privately-held companies presents certain challenges, including the lack of available information about these companies and a greater vulnerability to economic downturns.</w:t>
      </w:r>
    </w:p>
    <w:p>
      <w:pPr>
        <w:spacing w:after="0" w:line="157" w:lineRule="exact"/>
        <w:rPr>
          <w:sz w:val="20"/>
          <w:szCs w:val="20"/>
          <w:color w:val="auto"/>
        </w:rPr>
      </w:pPr>
    </w:p>
    <w:p>
      <w:pPr>
        <w:ind w:right="20" w:firstLine="209"/>
        <w:spacing w:after="0" w:line="254" w:lineRule="auto"/>
        <w:rPr>
          <w:sz w:val="20"/>
          <w:szCs w:val="20"/>
          <w:color w:val="auto"/>
        </w:rPr>
      </w:pPr>
      <w:r>
        <w:rPr>
          <w:rFonts w:ascii="Times New Roman" w:cs="Times New Roman" w:eastAsia="Times New Roman" w:hAnsi="Times New Roman"/>
          <w:sz w:val="14"/>
          <w:szCs w:val="14"/>
          <w:color w:val="auto"/>
        </w:rPr>
        <w:t>We will invest primarily in privately-held companies. Generally, little public information exists about these companies, and we will be required to rely on the ability of our investment adviser’s investment professionals to obtain adequate information to evaluate the potential returns from investing in these companies. These companies and their financial information will not be subject to the Sarbanes-Oxley Act of 2002 (the “Sarbanes-Oxley Act”) and other rules that govern public companies. If we are unable to uncover all material information about these companies, we may not make a fully informed investment decision, and we may lose money on our investments. Also, privately-held companies frequently have less diverse product lines and smaller market presence than larger competitors, subjecting them to greater vulnerability to economic downturns. These factors could affect our investment returns.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portfolio companies may incur debt or issue equity securities that rank equally with, or senior to, our investments in such companies.</w:t>
      </w:r>
    </w:p>
    <w:p>
      <w:pPr>
        <w:spacing w:after="0" w:line="209"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Our portfolio companies usually will have, or may be permitted to incur, other debt, or issue other equity securities, that rank equally with, or senior to, our investments. By their terms, such instruments may provide that the holders are entitled to receive payment of dividends, interest or principal on or before the dates on which we are entitled to receive payments in respect of our investments. These debt instruments will usually prohibit the portfolio companies from paying interest on or repaying our investments in the event and during the continuance of a default under such debt. Also, in the event of insolvency, liquidation, dissolution, reorganization or bankruptcy of a portfolio company, holders of securities ranking senior to our investment in that portfolio company would typically be entitled to receive payment in full before we receive any distribution in respect of our investment. After repaying such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Investments in equity securities involve a substantial degree of risk.</w:t>
      </w:r>
    </w:p>
    <w:p>
      <w:pPr>
        <w:spacing w:after="0" w:line="209" w:lineRule="exact"/>
        <w:rPr>
          <w:sz w:val="20"/>
          <w:szCs w:val="20"/>
          <w:color w:val="auto"/>
        </w:rPr>
      </w:pPr>
    </w:p>
    <w:p>
      <w:pPr>
        <w:ind w:right="80" w:firstLine="209"/>
        <w:spacing w:after="0" w:line="256" w:lineRule="auto"/>
        <w:rPr>
          <w:sz w:val="20"/>
          <w:szCs w:val="20"/>
          <w:color w:val="auto"/>
        </w:rPr>
      </w:pPr>
      <w:r>
        <w:rPr>
          <w:rFonts w:ascii="Times New Roman" w:cs="Times New Roman" w:eastAsia="Times New Roman" w:hAnsi="Times New Roman"/>
          <w:sz w:val="14"/>
          <w:szCs w:val="14"/>
          <w:color w:val="auto"/>
        </w:rPr>
        <w:t>We may purchase common stock and other equity securities. Although equity securities have historically generated higher average total returns than fixed-income securities over the long term, equity securities also have experienced significantly more volatility in those returns and in recent years have significantly under performed relative to fixed-income securities. The equity securities we acquire may fail to appreciate and may decline in value or become worthless and our ability to recover our investment will depend on our portfolio company’s success. Investments in equity securities involve a number of significant risks, including:</w:t>
      </w:r>
    </w:p>
    <w:p>
      <w:pPr>
        <w:spacing w:after="0" w:line="171" w:lineRule="exact"/>
        <w:rPr>
          <w:sz w:val="20"/>
          <w:szCs w:val="20"/>
          <w:color w:val="auto"/>
        </w:rPr>
      </w:pPr>
    </w:p>
    <w:p>
      <w:pPr>
        <w:ind w:left="420" w:right="300"/>
        <w:spacing w:after="0" w:line="302" w:lineRule="auto"/>
        <w:rPr>
          <w:sz w:val="20"/>
          <w:szCs w:val="20"/>
          <w:color w:val="auto"/>
        </w:rPr>
      </w:pPr>
      <w:r>
        <w:rPr>
          <w:rFonts w:ascii="Times New Roman" w:cs="Times New Roman" w:eastAsia="Times New Roman" w:hAnsi="Times New Roman"/>
          <w:sz w:val="14"/>
          <w:szCs w:val="14"/>
          <w:color w:val="auto"/>
        </w:rPr>
        <w:t>any equity investment we make in a portfolio company could be subject to further dilution as a result of the issuance of additional equity interests and to serious risks as a junior security that will be subordinate to all indebtedness or senior securities in the event that the issuer is unable to meet its obligations or becomes subject to a bankruptcy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to the extent that the portfolio company requires additional capital and is unable to obtain it, we may not recover our investment in equity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right="80"/>
        <w:spacing w:after="0" w:line="287" w:lineRule="auto"/>
        <w:rPr>
          <w:sz w:val="20"/>
          <w:szCs w:val="20"/>
          <w:color w:val="auto"/>
        </w:rPr>
      </w:pPr>
      <w:r>
        <w:rPr>
          <w:rFonts w:ascii="Times New Roman" w:cs="Times New Roman" w:eastAsia="Times New Roman" w:hAnsi="Times New Roman"/>
          <w:sz w:val="14"/>
          <w:szCs w:val="14"/>
          <w:color w:val="auto"/>
        </w:rPr>
        <w:t>in some cases, equity securities in which we invest will not pay current dividends, and our ability to realize a return on our investment, as well as to recover our investment, will be dependent on the success of our portfolio companies. Even if the portfolio companies are successful, our ability to realize the value of our investment may be dependent on the occurrence of a liquidity event, such as a public offering or the sale of the portfolio company. It is likely to take a significant amount of time before a liquidity event occurs or we can sell our equity investments. In addition, the equity securities we receive or invest in may be subject to restrictions on resale during periods in which it could be advantageous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-461645</wp:posOffset>
            </wp:positionV>
            <wp:extent cx="58420" cy="584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503" w:right="219" w:bottom="1440" w:gutter="0" w:footer="0" w:header="0"/>
        </w:sectPr>
      </w:pPr>
    </w:p>
    <w:bookmarkStart w:id="38" w:name="page39"/>
    <w:bookmarkEnd w:id="38"/>
    <w:p>
      <w:pPr>
        <w:ind w:left="220"/>
        <w:spacing w:after="0"/>
        <w:rPr>
          <w:sz w:val="20"/>
          <w:szCs w:val="20"/>
          <w:color w:val="auto"/>
        </w:rPr>
      </w:pPr>
      <w:r>
        <w:rPr>
          <w:rFonts w:ascii="Times New Roman" w:cs="Times New Roman" w:eastAsia="Times New Roman" w:hAnsi="Times New Roman"/>
          <w:sz w:val="14"/>
          <w:szCs w:val="14"/>
          <w:color w:val="auto"/>
        </w:rPr>
        <w:t>There are special risks associated with investing in preferred securities, including:</w:t>
      </w:r>
    </w:p>
    <w:p>
      <w:pPr>
        <w:spacing w:after="0" w:line="195" w:lineRule="exact"/>
        <w:rPr>
          <w:sz w:val="20"/>
          <w:szCs w:val="20"/>
          <w:color w:val="auto"/>
        </w:rPr>
      </w:pPr>
    </w:p>
    <w:p>
      <w:pPr>
        <w:ind w:left="420" w:right="40"/>
        <w:spacing w:after="0" w:line="302" w:lineRule="auto"/>
        <w:rPr>
          <w:sz w:val="20"/>
          <w:szCs w:val="20"/>
          <w:color w:val="auto"/>
        </w:rPr>
      </w:pPr>
      <w:r>
        <w:rPr>
          <w:rFonts w:ascii="Times New Roman" w:cs="Times New Roman" w:eastAsia="Times New Roman" w:hAnsi="Times New Roman"/>
          <w:sz w:val="14"/>
          <w:szCs w:val="14"/>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tax purposes even though we have not received any cash payments in respect of such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preferred securities are subordinated debt in terms of priority to corporate income and liquidation payments, and therefore will be subject to greater risk than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preferred securities may be substantially less liquid than many other securities, such as common securities or U.S. government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preferred security holders generally have no voting rights with respect to the issuing company, subject to limited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incentive fee may induce our investment adviser to make certain investments, including speculative investments.</w:t>
      </w:r>
    </w:p>
    <w:p>
      <w:pPr>
        <w:spacing w:after="0" w:line="209" w:lineRule="exact"/>
        <w:rPr>
          <w:sz w:val="20"/>
          <w:szCs w:val="20"/>
          <w:color w:val="auto"/>
        </w:rPr>
      </w:pPr>
    </w:p>
    <w:p>
      <w:pPr>
        <w:ind w:right="100" w:firstLine="209"/>
        <w:spacing w:after="0" w:line="299" w:lineRule="auto"/>
        <w:rPr>
          <w:sz w:val="20"/>
          <w:szCs w:val="20"/>
          <w:color w:val="auto"/>
        </w:rPr>
      </w:pPr>
      <w:r>
        <w:rPr>
          <w:rFonts w:ascii="Times New Roman" w:cs="Times New Roman" w:eastAsia="Times New Roman" w:hAnsi="Times New Roman"/>
          <w:sz w:val="12"/>
          <w:szCs w:val="12"/>
          <w:color w:val="auto"/>
        </w:rPr>
        <w:t>The incentive fee payable by us to our investment adviser may create an incentive for our investment adviser to make investments on our behalf that are risky or more speculative than would be the case in the absence of such compensation arrangement. The way in which the incentive fee payable to our investment adviser is determined, which is calculated as a percentage of the return on invested capital, may encourage our investment adviser to use leverage to increase the return on our investments. Under certain circumstances, the use of leverage may increase the likelihood of default, which would disfavor the holders of our common stock, including investors in this offering. In addition, the investment adviser will receive the incentive fee based, in part, upon net capital gains realized on our investments. Unlike the portion of the incentive fee based on income, there is no hurdle rate applicable to the portion of the incentive fee based on net capital gains. As a result, the investment adviser may have a tendency to invest more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 The part of the incentive fee payable by us that relates to our pre-incentive fee net investment income will be computed and paid on income that may include interest that is accrued but not yet received in cash. If a portfolio company defaults on a loan that is structured to provide accrued interest, it is possible that accrued interest previously used in the calculation of the incentive fee will become uncollectible. The investment adviser is not under any obligation to reimburse us for any part of the incentive fee it received that was based on accrued income that we never receive as a result of a default by an entity on the obligation that resulted in the accrual of such income.</w:t>
      </w:r>
    </w:p>
    <w:p>
      <w:pPr>
        <w:spacing w:after="0" w:line="316"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Because of the structure of the incentive fee, it is possible that we may have to pay an incentive fee in a quarter where we incur a net loss. For example, if we receive pre-incentive fee net investment income in excess of the hurdle rate for a quarter, we will pay the applicable incentive fee even if we have incurred a net loss in that quarter due to realized capital losses. In addition, if market interest rates rise, we may be able to invest our funds in debt instruments that provide for a higher return, which would increase our pre-incentive fee net investment income and make it easier for our investment adviser to surpass the fixed hurdle rate and receive an incentive fee based on such net investment income.</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in foreign debt may involve significant risks in addition to the risks inherent in U.S. investments.</w:t>
      </w:r>
    </w:p>
    <w:p>
      <w:pPr>
        <w:spacing w:after="0" w:line="209" w:lineRule="exact"/>
        <w:rPr>
          <w:sz w:val="20"/>
          <w:szCs w:val="20"/>
          <w:color w:val="auto"/>
        </w:rPr>
      </w:pPr>
    </w:p>
    <w:p>
      <w:pPr>
        <w:ind w:right="220" w:firstLine="209"/>
        <w:spacing w:after="0" w:line="260" w:lineRule="auto"/>
        <w:rPr>
          <w:sz w:val="20"/>
          <w:szCs w:val="20"/>
          <w:color w:val="auto"/>
        </w:rPr>
      </w:pPr>
      <w:r>
        <w:rPr>
          <w:rFonts w:ascii="Times New Roman" w:cs="Times New Roman" w:eastAsia="Times New Roman" w:hAnsi="Times New Roman"/>
          <w:sz w:val="14"/>
          <w:szCs w:val="14"/>
          <w:color w:val="auto"/>
        </w:rPr>
        <w:t>Our investment strategy contemplates potential investments in debt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95"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difficulty in enforcing contractual obligations, lack of uniform accounting and auditing standards and greater price volatility.</w:t>
      </w:r>
    </w:p>
    <w:p>
      <w:pPr>
        <w:spacing w:after="0" w:line="195" w:lineRule="exact"/>
        <w:rPr>
          <w:sz w:val="20"/>
          <w:szCs w:val="20"/>
          <w:color w:val="auto"/>
        </w:rPr>
      </w:pPr>
    </w:p>
    <w:p>
      <w:pPr>
        <w:ind w:right="20" w:firstLine="209"/>
        <w:spacing w:after="0" w:line="256" w:lineRule="auto"/>
        <w:rPr>
          <w:sz w:val="20"/>
          <w:szCs w:val="20"/>
          <w:color w:val="auto"/>
        </w:rPr>
      </w:pPr>
      <w:r>
        <w:rPr>
          <w:rFonts w:ascii="Times New Roman" w:cs="Times New Roman" w:eastAsia="Times New Roman" w:hAnsi="Times New Roman"/>
          <w:sz w:val="14"/>
          <w:szCs w:val="14"/>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we will fully hedge against these risks or that such strategies will be effective.</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may expose ourselves to risks if we engage in hedging transactions.</w:t>
      </w:r>
    </w:p>
    <w:p>
      <w:pPr>
        <w:spacing w:after="0" w:line="209"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portfolio positions should increase. Moreover, it may not be possible to hedge against an exchange rate or interest rate fluctuation that is so generally anticipated that we are not able to enter into a hedging transaction at unacceptable price.</w:t>
      </w:r>
    </w:p>
    <w:p>
      <w:pPr>
        <w:spacing w:after="0" w:line="175" w:lineRule="exact"/>
        <w:rPr>
          <w:sz w:val="20"/>
          <w:szCs w:val="20"/>
          <w:color w:val="auto"/>
        </w:rPr>
      </w:pPr>
    </w:p>
    <w:p>
      <w:pPr>
        <w:ind w:right="80" w:firstLine="209"/>
        <w:spacing w:after="0" w:line="253" w:lineRule="auto"/>
        <w:rPr>
          <w:sz w:val="20"/>
          <w:szCs w:val="20"/>
          <w:color w:val="auto"/>
        </w:rPr>
      </w:pPr>
      <w:r>
        <w:rPr>
          <w:rFonts w:ascii="Times New Roman" w:cs="Times New Roman" w:eastAsia="Times New Roman" w:hAnsi="Times New Roman"/>
          <w:sz w:val="14"/>
          <w:szCs w:val="14"/>
          <w:color w:val="auto"/>
        </w:rPr>
        <w:t>The success of our hedging transactions will depend on our ability to correctly predict movements, currencies and interest rates. Therefore, 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The lack of liquidity in our investments may adversely affect our business.</w:t>
      </w:r>
    </w:p>
    <w:p>
      <w:pPr>
        <w:spacing w:after="0" w:line="209" w:lineRule="exact"/>
        <w:rPr>
          <w:sz w:val="20"/>
          <w:szCs w:val="20"/>
          <w:color w:val="auto"/>
        </w:rPr>
      </w:pPr>
    </w:p>
    <w:p>
      <w:pPr>
        <w:jc w:val="both"/>
        <w:ind w:right="40" w:firstLine="209"/>
        <w:spacing w:after="0" w:line="256" w:lineRule="auto"/>
        <w:rPr>
          <w:sz w:val="20"/>
          <w:szCs w:val="20"/>
          <w:color w:val="auto"/>
        </w:rPr>
      </w:pPr>
      <w:r>
        <w:rPr>
          <w:rFonts w:ascii="Times New Roman" w:cs="Times New Roman" w:eastAsia="Times New Roman" w:hAnsi="Times New Roman"/>
          <w:sz w:val="14"/>
          <w:szCs w:val="14"/>
          <w:color w:val="auto"/>
        </w:rPr>
        <w:t>We expect to make investments in private companies. A portion of these securities may be subject to legal and other restrictions on resale, transfer, pledge or other disposition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business entity to the extent that we or our investment adviser has or could be attributed with material non-public information regarding such business entity.</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Other than the agreement relating to the purchase of the Portfolio, we have not entered into any binding agreements with respect to any portfolio company investments.</w:t>
      </w:r>
    </w:p>
    <w:p>
      <w:pPr>
        <w:spacing w:after="0" w:line="209" w:lineRule="exact"/>
        <w:rPr>
          <w:sz w:val="20"/>
          <w:szCs w:val="20"/>
          <w:color w:val="auto"/>
        </w:rPr>
      </w:pPr>
    </w:p>
    <w:p>
      <w:pPr>
        <w:ind w:right="120" w:firstLine="209"/>
        <w:spacing w:after="0" w:line="260" w:lineRule="auto"/>
        <w:rPr>
          <w:sz w:val="20"/>
          <w:szCs w:val="20"/>
          <w:color w:val="auto"/>
        </w:rPr>
      </w:pPr>
      <w:r>
        <w:rPr>
          <w:rFonts w:ascii="Times New Roman" w:cs="Times New Roman" w:eastAsia="Times New Roman" w:hAnsi="Times New Roman"/>
          <w:sz w:val="14"/>
          <w:szCs w:val="14"/>
          <w:color w:val="auto"/>
        </w:rPr>
        <w:t>Other than the agreement relating to the purchase of the Portfolio (as described under “Business—Prospective investments”), we have not entered into any binding agreements with respect to any portfolio company investments that we have identified. Other than the Portfolio, you will not be able to evaluate any specific portfolio company investments prior to purchasing our common stock. Additionally, our investments will be selected by our investment</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adviser and our stockholders will not have input into such investment decisions. Both of these factors will increase the uncertainty, and thus the risk, of investing in our common stock.</w:t>
      </w:r>
    </w:p>
    <w:p>
      <w:pPr>
        <w:spacing w:after="0" w:line="170" w:lineRule="exact"/>
        <w:rPr>
          <w:sz w:val="20"/>
          <w:szCs w:val="20"/>
          <w:color w:val="auto"/>
        </w:rPr>
      </w:pPr>
    </w:p>
    <w:p>
      <w:pPr>
        <w:ind w:left="240" w:right="180"/>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When we are a debt or minority equity investor in a portfolio company, we may not be in a position to control the entity, and its management may make decisions that could decrease the value of our investment.</w:t>
      </w:r>
    </w:p>
    <w:p>
      <w:pPr>
        <w:spacing w:after="0" w:line="157"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We anticipate making both debt and minority equity investments; therefore, we will be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board of directors may change our operating policies and strategies without prior notice or stockholder approval, the effects of which may be adverse.</w:t>
      </w:r>
    </w:p>
    <w:p>
      <w:pPr>
        <w:spacing w:after="0" w:line="209"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Our board of directors has the authority to modify or waive our current operating policies and our strategies without prior notice and without stockholder approval. We cannot predict the effect any changes to our current operating policies and strategies would have on our business, operating results and value of our common stock. However, the effects might be adverse, which could negatively impact our ability to pay dividends and cause you to lose all or part of your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common stock may not develop.</w:t>
      </w:r>
    </w:p>
    <w:p>
      <w:pPr>
        <w:spacing w:after="0" w:line="209" w:lineRule="exact"/>
        <w:rPr>
          <w:sz w:val="20"/>
          <w:szCs w:val="20"/>
          <w:color w:val="auto"/>
        </w:rPr>
      </w:pPr>
    </w:p>
    <w:p>
      <w:pPr>
        <w:ind w:right="20" w:firstLine="209"/>
        <w:spacing w:after="0" w:line="260" w:lineRule="auto"/>
        <w:rPr>
          <w:sz w:val="20"/>
          <w:szCs w:val="20"/>
          <w:color w:val="auto"/>
        </w:rPr>
      </w:pPr>
      <w:r>
        <w:rPr>
          <w:rFonts w:ascii="Times New Roman" w:cs="Times New Roman" w:eastAsia="Times New Roman" w:hAnsi="Times New Roman"/>
          <w:sz w:val="14"/>
          <w:szCs w:val="14"/>
          <w:color w:val="auto"/>
        </w:rPr>
        <w:t>Prior to this offering, there has been no public trading market for our common stock, and an active trading market might never develop. To the extent that an active trading market does not develop, the liquidity and trading prices for our common stock may be harmed. If shares of our common stock are traded after their initial issuance, they may trade at a discount from their initial offering price, depending on the market for similar securities, the performance of our investments and other factors.</w:t>
      </w:r>
    </w:p>
    <w:p>
      <w:pPr>
        <w:spacing w:after="0" w:line="168" w:lineRule="exact"/>
        <w:rPr>
          <w:sz w:val="20"/>
          <w:szCs w:val="20"/>
          <w:color w:val="auto"/>
        </w:rPr>
      </w:pPr>
    </w:p>
    <w:p>
      <w:pPr>
        <w:ind w:right="20" w:firstLine="209"/>
        <w:spacing w:after="0" w:line="270" w:lineRule="auto"/>
        <w:rPr>
          <w:sz w:val="20"/>
          <w:szCs w:val="20"/>
          <w:color w:val="auto"/>
        </w:rPr>
      </w:pPr>
      <w:r>
        <w:rPr>
          <w:rFonts w:ascii="Times New Roman" w:cs="Times New Roman" w:eastAsia="Times New Roman" w:hAnsi="Times New Roman"/>
          <w:sz w:val="14"/>
          <w:szCs w:val="14"/>
          <w:color w:val="auto"/>
        </w:rPr>
        <w:t>Even if a trading market for our common stock develops, it may not be liquid. The liquidity of any market for our common stock will depend upon the number of holders of our common stock, our results of operations and financial condition, the market for similar securities, the interest of securities dealers in making a market in our common stock and other factors.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Investing in our common stock may involve an above average degree of risk.</w:t>
      </w:r>
    </w:p>
    <w:p>
      <w:pPr>
        <w:spacing w:after="0" w:line="209" w:lineRule="exact"/>
        <w:rPr>
          <w:sz w:val="20"/>
          <w:szCs w:val="20"/>
          <w:color w:val="auto"/>
        </w:rPr>
      </w:pPr>
    </w:p>
    <w:p>
      <w:pPr>
        <w:ind w:right="400" w:firstLine="209"/>
        <w:spacing w:after="0" w:line="270" w:lineRule="auto"/>
        <w:rPr>
          <w:sz w:val="20"/>
          <w:szCs w:val="20"/>
          <w:color w:val="auto"/>
        </w:rPr>
      </w:pPr>
      <w:r>
        <w:rPr>
          <w:rFonts w:ascii="Times New Roman" w:cs="Times New Roman" w:eastAsia="Times New Roman" w:hAnsi="Times New Roman"/>
          <w:sz w:val="14"/>
          <w:szCs w:val="14"/>
          <w:color w:val="auto"/>
        </w:rPr>
        <w:t>The investments we make in accordance with our investment objectives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may allocate the net proceeds from this offering in ways with which you may not agree.</w:t>
      </w:r>
    </w:p>
    <w:p>
      <w:pPr>
        <w:spacing w:after="0" w:line="209" w:lineRule="exact"/>
        <w:rPr>
          <w:sz w:val="20"/>
          <w:szCs w:val="20"/>
          <w:color w:val="auto"/>
        </w:rPr>
      </w:pPr>
    </w:p>
    <w:p>
      <w:pPr>
        <w:ind w:right="180" w:firstLine="209"/>
        <w:spacing w:after="0" w:line="260" w:lineRule="auto"/>
        <w:rPr>
          <w:sz w:val="20"/>
          <w:szCs w:val="20"/>
          <w:color w:val="auto"/>
        </w:rPr>
      </w:pPr>
      <w:r>
        <w:rPr>
          <w:rFonts w:ascii="Times New Roman" w:cs="Times New Roman" w:eastAsia="Times New Roman" w:hAnsi="Times New Roman"/>
          <w:sz w:val="14"/>
          <w:szCs w:val="14"/>
          <w:color w:val="auto"/>
        </w:rPr>
        <w:t>We will have significant flexibility in investing the net proceeds of this offering and may use the net proceeds from this offering in ways with which you may not agree or for purposes other than those contemplated at the time of the offering. See “—If we are unable to purchase any or all of the investments in the Portfolio, we will seek to invest in replacement investments which may impact the timing and composition of our initial investments, our initial anticipated returns and distributions and the value of our common stock.”</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may sell additional shares of common stock in the future, which may dilute existing stockholders’ interest in us or cause the market price of our common stock to decline.</w:t>
      </w:r>
    </w:p>
    <w:p>
      <w:pPr>
        <w:spacing w:after="0" w:line="209" w:lineRule="exact"/>
        <w:rPr>
          <w:sz w:val="20"/>
          <w:szCs w:val="20"/>
          <w:color w:val="auto"/>
        </w:rPr>
      </w:pPr>
    </w:p>
    <w:p>
      <w:pPr>
        <w:ind w:right="200" w:firstLine="209"/>
        <w:spacing w:after="0" w:line="270" w:lineRule="auto"/>
        <w:rPr>
          <w:sz w:val="20"/>
          <w:szCs w:val="20"/>
          <w:color w:val="auto"/>
        </w:rPr>
      </w:pPr>
      <w:r>
        <w:rPr>
          <w:rFonts w:ascii="Times New Roman" w:cs="Times New Roman" w:eastAsia="Times New Roman" w:hAnsi="Times New Roman"/>
          <w:sz w:val="14"/>
          <w:szCs w:val="14"/>
          <w:color w:val="auto"/>
        </w:rPr>
        <w:t>We may issue additional shares of common stock in subsequent offerings in order to make new investments or for other purposes. We are not required to offer any such stock to existing stockholders on a pre-emptive basis.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41" w:name="page42"/>
    <w:bookmarkEnd w:id="41"/>
    <w:p>
      <w:pPr>
        <w:ind w:right="20"/>
        <w:spacing w:after="0" w:line="260" w:lineRule="auto"/>
        <w:rPr>
          <w:sz w:val="20"/>
          <w:szCs w:val="20"/>
          <w:color w:val="auto"/>
        </w:rPr>
      </w:pPr>
      <w:r>
        <w:rPr>
          <w:rFonts w:ascii="Times New Roman" w:cs="Times New Roman" w:eastAsia="Times New Roman" w:hAnsi="Times New Roman"/>
          <w:sz w:val="14"/>
          <w:szCs w:val="14"/>
          <w:color w:val="auto"/>
        </w:rPr>
        <w:t>Therefore, it may not be possible for existing stockholders to participate in such future share issues, which may dilute the existing stockholders’ interests in us. Additional shares of common stock may be issued pursuant to the terms of the underwriters’ over-allotment option, which, if issued, would dilute stockholders’ percentage ownership in us. The issuance of additional shares of common stock by us, or the possibility of such issue, may cause the market price of our common stock to decline.</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fluctuate significantly.</w:t>
      </w:r>
    </w:p>
    <w:p>
      <w:pPr>
        <w:spacing w:after="0" w:line="209" w:lineRule="exact"/>
        <w:rPr>
          <w:sz w:val="20"/>
          <w:szCs w:val="20"/>
          <w:color w:val="auto"/>
        </w:rPr>
      </w:pPr>
    </w:p>
    <w:p>
      <w:pPr>
        <w:ind w:right="140" w:firstLine="209"/>
        <w:spacing w:after="0" w:line="270" w:lineRule="auto"/>
        <w:rPr>
          <w:sz w:val="20"/>
          <w:szCs w:val="20"/>
          <w:color w:val="auto"/>
        </w:rPr>
      </w:pPr>
      <w:r>
        <w:rPr>
          <w:rFonts w:ascii="Times New Roman" w:cs="Times New Roman" w:eastAsia="Times New Roman" w:hAnsi="Times New Roman"/>
          <w:sz w:val="14"/>
          <w:szCs w:val="14"/>
          <w:color w:val="auto"/>
        </w:rPr>
        <w:t>Prior to this offering, there has been no public trading market for our common stock. The market price and liquidity of the market for our common stock may be significantly affected by numerous factors, some of which are beyond our control and may not be directly related to our operating performance. These factors include:</w:t>
      </w:r>
    </w:p>
    <w:p>
      <w:pPr>
        <w:spacing w:after="0" w:line="161" w:lineRule="exact"/>
        <w:rPr>
          <w:sz w:val="20"/>
          <w:szCs w:val="20"/>
          <w:color w:val="auto"/>
        </w:rPr>
      </w:pPr>
    </w:p>
    <w:p>
      <w:pPr>
        <w:ind w:left="420" w:right="540"/>
        <w:spacing w:after="0" w:line="302" w:lineRule="auto"/>
        <w:rPr>
          <w:sz w:val="20"/>
          <w:szCs w:val="20"/>
          <w:color w:val="auto"/>
        </w:rPr>
      </w:pPr>
      <w:r>
        <w:rPr>
          <w:rFonts w:ascii="Times New Roman" w:cs="Times New Roman" w:eastAsia="Times New Roman" w:hAnsi="Times New Roman"/>
          <w:sz w:val="14"/>
          <w:szCs w:val="14"/>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changes in regulatory policies or tax rules, particularly with respect to RICs or BDCs;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loss of RIC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changes in earnings or variations in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changes in the value of our portfolio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any shortfall in revenue or net income or any increase in losses from levels expected by investors or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departure of our investment adviser’s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operating performance of companies comparable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general economic trends and other external factors;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loss of a major funding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Provisions of our governing documents and the Maryland General Corporation Law could deter takeover attempts and have an adverse impact on the price of our common stock.</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are governed by our charter and bylaws, which we refer to as our “governing documents.”</w:t>
      </w:r>
    </w:p>
    <w:p>
      <w:pPr>
        <w:spacing w:after="0" w:line="195" w:lineRule="exact"/>
        <w:rPr>
          <w:sz w:val="20"/>
          <w:szCs w:val="20"/>
          <w:color w:val="auto"/>
        </w:rPr>
      </w:pPr>
    </w:p>
    <w:p>
      <w:pPr>
        <w:ind w:right="180" w:firstLine="209"/>
        <w:spacing w:after="0" w:line="270" w:lineRule="auto"/>
        <w:rPr>
          <w:sz w:val="20"/>
          <w:szCs w:val="20"/>
          <w:color w:val="auto"/>
        </w:rPr>
      </w:pPr>
      <w:r>
        <w:rPr>
          <w:rFonts w:ascii="Times New Roman" w:cs="Times New Roman" w:eastAsia="Times New Roman" w:hAnsi="Times New Roman"/>
          <w:sz w:val="14"/>
          <w:szCs w:val="14"/>
          <w:color w:val="auto"/>
        </w:rPr>
        <w:t>Our governing documents and the Maryland General Corporation Law contain provisions that may have the effect of delaying, deferring or preventing a transaction or a change in control of us that might involve a premium price for our stockholders or otherwise be in their best interest.</w:t>
      </w:r>
    </w:p>
    <w:p>
      <w:pPr>
        <w:spacing w:after="0" w:line="161"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Our charter provides for the classification of our board of directors into three classes of directors, serving staggered three-year terms, which may render a change of control of us or removal of our incumbent management more difficult. Furthermore, any and all vacancies on our board of directors will be filled generally only by the affirmative vote of a majority of the remaining directors in office, even if the remaining directors do not constitute a quorum, and any director elected to fill a vacancy will serve for the remainder of the full term until a successor is elected and qualifies.</w:t>
      </w:r>
    </w:p>
    <w:p>
      <w:pPr>
        <w:spacing w:after="0" w:line="168" w:lineRule="exact"/>
        <w:rPr>
          <w:sz w:val="20"/>
          <w:szCs w:val="20"/>
          <w:color w:val="auto"/>
        </w:rPr>
      </w:pPr>
    </w:p>
    <w:p>
      <w:pPr>
        <w:ind w:right="220" w:firstLine="209"/>
        <w:spacing w:after="0" w:line="356" w:lineRule="auto"/>
        <w:rPr>
          <w:sz w:val="20"/>
          <w:szCs w:val="20"/>
          <w:color w:val="auto"/>
        </w:rPr>
      </w:pPr>
      <w:r>
        <w:rPr>
          <w:rFonts w:ascii="Times New Roman" w:cs="Times New Roman" w:eastAsia="Times New Roman" w:hAnsi="Times New Roman"/>
          <w:sz w:val="12"/>
          <w:szCs w:val="12"/>
          <w:color w:val="auto"/>
        </w:rPr>
        <w:t>Our board of directors is authorized to create and issue new series of shares, to classify or reclassify any unissued shares of stock into one or more classes or series, including preferred stock and, without stockholder approval, to amend our charter to increase or decrease the number of shares of stock that we have authority to issue, which could have the effect of diluting a stockholder’s ownership interest.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42" w:name="page43"/>
    <w:bookmarkEnd w:id="42"/>
    <w:p>
      <w:pPr>
        <w:ind w:right="20" w:firstLine="209"/>
        <w:spacing w:after="0" w:line="270" w:lineRule="auto"/>
        <w:rPr>
          <w:sz w:val="20"/>
          <w:szCs w:val="20"/>
          <w:color w:val="auto"/>
        </w:rPr>
      </w:pPr>
      <w:r>
        <w:rPr>
          <w:rFonts w:ascii="Times New Roman" w:cs="Times New Roman" w:eastAsia="Times New Roman" w:hAnsi="Times New Roman"/>
          <w:sz w:val="14"/>
          <w:szCs w:val="14"/>
          <w:color w:val="auto"/>
        </w:rPr>
        <w:t>Our governing documents also provide that our board of directors has the exclusive power to adopt, alter or repeal any provision of our bylaws, and to make new bylaws. The Maryland General Corporation Law also contains certain provisions that may limit the ability of a third party to acquire control of us, such as:</w:t>
      </w:r>
    </w:p>
    <w:p>
      <w:pPr>
        <w:spacing w:after="0" w:line="161" w:lineRule="exact"/>
        <w:rPr>
          <w:sz w:val="20"/>
          <w:szCs w:val="20"/>
          <w:color w:val="auto"/>
        </w:rPr>
      </w:pPr>
    </w:p>
    <w:p>
      <w:pPr>
        <w:jc w:val="both"/>
        <w:ind w:left="420" w:right="20"/>
        <w:spacing w:after="0" w:line="291" w:lineRule="auto"/>
        <w:rPr>
          <w:sz w:val="20"/>
          <w:szCs w:val="20"/>
          <w:color w:val="auto"/>
        </w:rPr>
      </w:pPr>
      <w:r>
        <w:rPr>
          <w:rFonts w:ascii="Times New Roman" w:cs="Times New Roman" w:eastAsia="Times New Roman" w:hAnsi="Times New Roman"/>
          <w:sz w:val="14"/>
          <w:szCs w:val="14"/>
          <w:color w:val="auto"/>
        </w:rPr>
        <w:t>The Maryland Business Combination Act, which, subject to certain limitations, prohibits certain business combinations between us and an “interested stockholder” (defined generally as any person who beneficially owns 10% or more of the voting power of the common stock or an affiliate thereof) for five years after the most recent date on which the stockholder becomes an interested stockholder and, thereafter, imposes special minimum price provisions and special stockholder voting requirements on these combinations;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-344805</wp:posOffset>
            </wp:positionV>
            <wp:extent cx="58420" cy="584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8" w:lineRule="exact"/>
        <w:rPr>
          <w:sz w:val="20"/>
          <w:szCs w:val="20"/>
          <w:color w:val="auto"/>
        </w:rPr>
      </w:pPr>
    </w:p>
    <w:p>
      <w:pPr>
        <w:ind w:left="420"/>
        <w:spacing w:after="0" w:line="287" w:lineRule="auto"/>
        <w:rPr>
          <w:sz w:val="20"/>
          <w:szCs w:val="20"/>
          <w:color w:val="auto"/>
        </w:rPr>
      </w:pPr>
      <w:r>
        <w:rPr>
          <w:rFonts w:ascii="Times New Roman" w:cs="Times New Roman" w:eastAsia="Times New Roman" w:hAnsi="Times New Roman"/>
          <w:sz w:val="14"/>
          <w:szCs w:val="14"/>
          <w:color w:val="auto"/>
        </w:rPr>
        <w:t>The Maryland Control Share Acquisition Act, which provides that “control shares” of a Maryland corporation (defined as shares of common stock which, when aggregated with other shares of common stock controlled by the stockholder, entitles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stockholders by the affirmative vote of at least two-thirds of all the votes entitled to be cast on the matter, excluding all interest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-461645</wp:posOffset>
            </wp:positionV>
            <wp:extent cx="58420" cy="584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31" w:lineRule="exact"/>
        <w:rPr>
          <w:sz w:val="20"/>
          <w:szCs w:val="20"/>
          <w:color w:val="auto"/>
        </w:rPr>
      </w:pPr>
    </w:p>
    <w:p>
      <w:pPr>
        <w:ind w:right="240" w:firstLine="209"/>
        <w:spacing w:after="0" w:line="323" w:lineRule="auto"/>
        <w:rPr>
          <w:sz w:val="20"/>
          <w:szCs w:val="20"/>
          <w:color w:val="auto"/>
        </w:rPr>
      </w:pPr>
      <w:r>
        <w:rPr>
          <w:rFonts w:ascii="Times New Roman" w:cs="Times New Roman" w:eastAsia="Times New Roman" w:hAnsi="Times New Roman"/>
          <w:sz w:val="12"/>
          <w:szCs w:val="12"/>
          <w:color w:val="auto"/>
        </w:rPr>
        <w:t>The provisions of the Maryland Business Combination Act will not apply, however, if our board of directors adopts a resolution that any business combination between us and any other person will be exempt from the provisions of the Maryland Business Combination Act. Although our board of directors has adopted such a resolution, there can be no assurance that this resolution will be not be altered or repealed in whole or in part at any time. If the resolution is altered or repealed, the provisions of the Maryland Business Combination Act may discourage others from trying to acquire control of us.</w:t>
      </w:r>
    </w:p>
    <w:p>
      <w:pPr>
        <w:spacing w:after="0" w:line="134" w:lineRule="exact"/>
        <w:rPr>
          <w:sz w:val="20"/>
          <w:szCs w:val="20"/>
          <w:color w:val="auto"/>
        </w:rPr>
      </w:pPr>
    </w:p>
    <w:p>
      <w:pPr>
        <w:ind w:right="340" w:firstLine="209"/>
        <w:spacing w:after="0" w:line="270" w:lineRule="auto"/>
        <w:rPr>
          <w:sz w:val="20"/>
          <w:szCs w:val="20"/>
          <w:color w:val="auto"/>
        </w:rPr>
      </w:pPr>
      <w:r>
        <w:rPr>
          <w:rFonts w:ascii="Times New Roman" w:cs="Times New Roman" w:eastAsia="Times New Roman" w:hAnsi="Times New Roman"/>
          <w:sz w:val="14"/>
          <w:szCs w:val="14"/>
          <w:color w:val="auto"/>
        </w:rPr>
        <w:t>As permitted by Maryland law, our bylaws contain a provision exempting from the Maryland Control Share Acquisition Act any and all acquisitions by any person of our common stock. Although our bylaws include such a provision, such a provision may also be amended or eliminated by our board of directors at any time in the future.</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95" w:right="2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CONTRIBUTION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Contributions</w:t>
      </w:r>
    </w:p>
    <w:p>
      <w:pPr>
        <w:spacing w:after="0" w:line="199" w:lineRule="exact"/>
        <w:rPr>
          <w:sz w:val="20"/>
          <w:szCs w:val="20"/>
          <w:color w:val="auto"/>
        </w:rPr>
      </w:pPr>
    </w:p>
    <w:p>
      <w:pPr>
        <w:jc w:val="both"/>
        <w:ind w:right="260" w:firstLine="209"/>
        <w:spacing w:after="0" w:line="260" w:lineRule="auto"/>
        <w:rPr>
          <w:sz w:val="20"/>
          <w:szCs w:val="20"/>
          <w:color w:val="auto"/>
        </w:rPr>
      </w:pPr>
      <w:r>
        <w:rPr>
          <w:rFonts w:ascii="Times New Roman" w:cs="Times New Roman" w:eastAsia="Times New Roman" w:hAnsi="Times New Roman"/>
          <w:sz w:val="14"/>
          <w:szCs w:val="14"/>
          <w:color w:val="auto"/>
        </w:rPr>
        <w:t>We were organized in May 2006 as GSC Investment LLC, a Maryland limited liability company. Prior to our merger into a corporation and our election to be treated as a RIC for U.S. federal income tax purposes, GSC Investment LLC, GSC Group and certain affiliates of GSC Group engaged in a series of restructuring transactions. These transactions are referred to in this prospectus as the “Contribution.” Unless otherwise noted or the context otherwise requires, the information included in this prospectus assumes that the Contribution will have been completed as described below.</w:t>
      </w:r>
    </w:p>
    <w:p>
      <w:pPr>
        <w:spacing w:after="0" w:line="168" w:lineRule="exact"/>
        <w:rPr>
          <w:sz w:val="20"/>
          <w:szCs w:val="20"/>
          <w:color w:val="auto"/>
        </w:rPr>
      </w:pPr>
    </w:p>
    <w:p>
      <w:pPr>
        <w:ind w:right="320" w:firstLine="209"/>
        <w:spacing w:after="0" w:line="270" w:lineRule="auto"/>
        <w:rPr>
          <w:sz w:val="20"/>
          <w:szCs w:val="20"/>
          <w:color w:val="auto"/>
        </w:rPr>
      </w:pPr>
      <w:r>
        <w:rPr>
          <w:rFonts w:ascii="Times New Roman" w:cs="Times New Roman" w:eastAsia="Times New Roman" w:hAnsi="Times New Roman"/>
          <w:sz w:val="14"/>
          <w:szCs w:val="14"/>
          <w:color w:val="auto"/>
        </w:rPr>
        <w:t>Pursuant to the agreement entered into on October 17, 2006 among GSC CDO III, L.L.C., GSCP (NJ), L.P., GSC Investment LLC and the other investors party thereto (the “Contribution and Exchange Agreement”), we completed the following acquisitions: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Acquisition of interests in CDO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-67310</wp:posOffset>
            </wp:positionV>
            <wp:extent cx="58420" cy="584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87" w:lineRule="exact"/>
        <w:rPr>
          <w:sz w:val="20"/>
          <w:szCs w:val="20"/>
          <w:color w:val="auto"/>
        </w:rPr>
      </w:pPr>
    </w:p>
    <w:p>
      <w:pPr>
        <w:ind w:left="1740" w:right="160"/>
        <w:spacing w:after="0" w:line="254" w:lineRule="auto"/>
        <w:rPr>
          <w:sz w:val="20"/>
          <w:szCs w:val="20"/>
          <w:color w:val="auto"/>
        </w:rPr>
      </w:pPr>
      <w:r>
        <w:rPr>
          <w:rFonts w:ascii="Times New Roman" w:cs="Times New Roman" w:eastAsia="Times New Roman" w:hAnsi="Times New Roman"/>
          <w:sz w:val="14"/>
          <w:szCs w:val="14"/>
          <w:color w:val="auto"/>
        </w:rPr>
        <w:t>GSC Investment LLC issued common shares to affiliates of GSC Group to acquire their interests that indirectly represent a 6.24% equity capital interest in CDO Fund III and a contractual right to approximately 77% of all carried interest distributions with respect to CDO Fund III, which are generally 20% of all distributions made to the equity investors in CDO Fund III in excess of capital contributions, assuming that such distributions are in excess of a 12% internal rate of return. These common shares (which were issued at the initial public offering price as set forth on the cover of the prospectus, but not subject to any underwriters’ discount) will convert into shares of our common stock upon our merger into a Maryland corporation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-500380</wp:posOffset>
            </wp:positionV>
            <wp:extent cx="58420" cy="584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ind w:left="1740"/>
        <w:spacing w:after="0" w:line="312" w:lineRule="auto"/>
        <w:rPr>
          <w:sz w:val="20"/>
          <w:szCs w:val="20"/>
          <w:color w:val="auto"/>
        </w:rPr>
      </w:pPr>
      <w:r>
        <w:rPr>
          <w:rFonts w:ascii="Times New Roman" w:cs="Times New Roman" w:eastAsia="Times New Roman" w:hAnsi="Times New Roman"/>
          <w:sz w:val="12"/>
          <w:szCs w:val="12"/>
          <w:color w:val="auto"/>
        </w:rPr>
        <w:t>We valued these interests in CDO Fund III at their fair market value by reference to its net liquidation value, as determined by a majority of our independent directors in good faith and the amounts that would be available for distribution in respect of these interests. Three business days prior to the date of the acquisition of interests, we calculated the net liquidation value of the collateral held in CDO Fund III by determining the aggregate fair market value of its assets, less the debt issued by CDO Fund III and expenses associated with CDO Fund III’s liquidation. This methodology may or may not reflect the value that could be obtained for these interests in CDO Fund III in a transaction with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-415290</wp:posOffset>
            </wp:positionV>
            <wp:extent cx="58420" cy="584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Acquisition of role as Collateral Manager of CDO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-67310</wp:posOffset>
            </wp:positionV>
            <wp:extent cx="58420" cy="584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6" w:lineRule="exact"/>
        <w:rPr>
          <w:sz w:val="20"/>
          <w:szCs w:val="20"/>
          <w:color w:val="auto"/>
        </w:rPr>
      </w:pPr>
    </w:p>
    <w:p>
      <w:pPr>
        <w:ind w:left="1740" w:right="20" w:hanging="579"/>
        <w:spacing w:after="0" w:line="263" w:lineRule="auto"/>
        <w:tabs>
          <w:tab w:leader="none" w:pos="17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3"/>
          <w:szCs w:val="13"/>
          <w:color w:val="auto"/>
        </w:rPr>
        <w:t>GSC Investment LLC issued common shares to the investment manager, in its role as collateral manager of CDO Fund III, to acquire the right to act as collateral manager to CDO Fund III, and in doing so will assume all of the rights and obligations of the collateral manager, including the right to receive accrued and unpaid fees due to the collateral manager. These common shares (which were issued at the initial public offering price as set forth on the cover of the prospectus, but not subject to any underwriters’ discount) will convert into shares of our common stock upon our merger into a Maryland corporation as described below. Following the acquisition of the right to act as collateral manager, one of our affiliates will actively manage the liquidation of CDO Fund III. The investment manager will advise us with respect to our other activities as collateral manager.</w:t>
      </w:r>
    </w:p>
    <w:p>
      <w:pPr>
        <w:spacing w:after="0" w:line="180" w:lineRule="exact"/>
        <w:rPr>
          <w:sz w:val="20"/>
          <w:szCs w:val="20"/>
          <w:color w:val="auto"/>
        </w:rPr>
      </w:pPr>
    </w:p>
    <w:p>
      <w:pPr>
        <w:ind w:left="1740"/>
        <w:spacing w:after="0" w:line="256" w:lineRule="auto"/>
        <w:rPr>
          <w:sz w:val="20"/>
          <w:szCs w:val="20"/>
          <w:color w:val="auto"/>
        </w:rPr>
      </w:pPr>
      <w:r>
        <w:rPr>
          <w:rFonts w:ascii="Times New Roman" w:cs="Times New Roman" w:eastAsia="Times New Roman" w:hAnsi="Times New Roman"/>
          <w:sz w:val="14"/>
          <w:szCs w:val="14"/>
          <w:color w:val="auto"/>
        </w:rPr>
        <w:t>We valued this role as collateral manager to CDO Fund III at its fair market value, as determined by a majority of our independent directors in good faith. We estimated the management fee that accrued and that would be payable under the existing collateral management agreement between CDO Fund III and the collateral manager from the date of the contribution through the maturity of the CDO Fund III Credit Facility. This methodology may or may not reflect the value that could be obtained for this interest in CDO Fund III in a transaction with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-395605</wp:posOffset>
            </wp:positionV>
            <wp:extent cx="58420" cy="584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2" w:lineRule="exact"/>
        <w:rPr>
          <w:sz w:val="20"/>
          <w:szCs w:val="20"/>
          <w:color w:val="auto"/>
        </w:rPr>
      </w:pPr>
    </w:p>
    <w:p>
      <w:pPr>
        <w:ind w:left="1160"/>
        <w:spacing w:after="0"/>
        <w:tabs>
          <w:tab w:leader="none" w:pos="7360" w:val="left"/>
        </w:tabs>
        <w:rPr>
          <w:sz w:val="20"/>
          <w:szCs w:val="20"/>
          <w:color w:val="auto"/>
        </w:rPr>
      </w:pPr>
      <w:r>
        <w:rPr>
          <w:rFonts w:ascii="Times New Roman" w:cs="Times New Roman" w:eastAsia="Times New Roman" w:hAnsi="Times New Roman"/>
          <w:sz w:val="14"/>
          <w:szCs w:val="14"/>
          <w:color w:val="auto"/>
        </w:rPr>
        <w:t>We believe that the aggregate value of the consideration to be issued in the Contribution is approximately $</w:t>
      </w:r>
      <w:r>
        <w:rPr>
          <w:sz w:val="20"/>
          <w:szCs w:val="20"/>
          <w:color w:val="auto"/>
        </w:rPr>
        <w:tab/>
      </w:r>
      <w:r>
        <w:rPr>
          <w:rFonts w:ascii="Times New Roman" w:cs="Times New Roman" w:eastAsia="Times New Roman" w:hAnsi="Times New Roman"/>
          <w:sz w:val="12"/>
          <w:szCs w:val="12"/>
          <w:color w:val="auto"/>
        </w:rPr>
        <w:t>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to a Maryland Corporation.</w:t>
      </w:r>
    </w:p>
    <w:p>
      <w:pPr>
        <w:spacing w:after="0" w:line="199" w:lineRule="exact"/>
        <w:rPr>
          <w:sz w:val="20"/>
          <w:szCs w:val="20"/>
          <w:color w:val="auto"/>
        </w:rPr>
      </w:pPr>
    </w:p>
    <w:p>
      <w:pPr>
        <w:jc w:val="both"/>
        <w:ind w:right="120" w:firstLine="209"/>
        <w:spacing w:after="0" w:line="260" w:lineRule="auto"/>
        <w:rPr>
          <w:sz w:val="20"/>
          <w:szCs w:val="20"/>
          <w:color w:val="auto"/>
        </w:rPr>
      </w:pPr>
      <w:r>
        <w:rPr>
          <w:rFonts w:ascii="Times New Roman" w:cs="Times New Roman" w:eastAsia="Times New Roman" w:hAnsi="Times New Roman"/>
          <w:sz w:val="14"/>
          <w:szCs w:val="14"/>
          <w:color w:val="auto"/>
        </w:rPr>
        <w:t>Prior to the issuance of common stock in this offering, GSC Investment LLC will merge with and into GSC Investment Corp., a Maryland corporation, in accordance with the procedure for such merger in GSC Investment LLC’s limited liability company agreement and Maryland law. In connection with such merger, each outstanding common share of GSC Investment LLC will be, without any further action or consent required by the holders thereof, converted into an equivalent number of shares of common stock of GSC Investment Corp.</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Tax Election</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intend to file an election to be treated as a RIC under Subchapter M of the Code commencing with our first taxable year as a corporation.</w:t>
      </w:r>
    </w:p>
    <w:p>
      <w:pPr>
        <w:spacing w:after="0" w:line="1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0239"/>
          </w:cols>
          <w:pgMar w:left="220" w:top="670" w:right="1440"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USE OF PROCEEDS</w:t>
      </w:r>
    </w:p>
    <w:p>
      <w:pPr>
        <w:sectPr>
          <w:pgSz w:w="11900" w:h="16838" w:orient="portrait"/>
          <w:cols w:equalWidth="0" w:num="1">
            <w:col w:w="11420"/>
          </w:cols>
          <w:pgMar w:left="220" w:top="670" w:right="259" w:bottom="1440" w:gutter="0" w:footer="0" w:header="0"/>
        </w:sectPr>
      </w:pPr>
    </w:p>
    <w:p>
      <w:pPr>
        <w:spacing w:after="0" w:line="222"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We estimate that the net proceeds we will receive from the sale of shares of our common stock in this offering will be approximately $ , assuming an initial offering price of $ deducting the underwriters’ discount of $ payable by us and estimated organizational and offering expenses of approximately $ payable by us.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 share, after</w:t>
      </w:r>
    </w:p>
    <w:p>
      <w:pPr>
        <w:spacing w:after="0" w:line="385" w:lineRule="exact"/>
        <w:rPr>
          <w:sz w:val="20"/>
          <w:szCs w:val="20"/>
          <w:color w:val="auto"/>
        </w:rPr>
      </w:pPr>
    </w:p>
    <w:p>
      <w:pPr>
        <w:sectPr>
          <w:pgSz w:w="11900" w:h="16838" w:orient="portrait"/>
          <w:cols w:equalWidth="0" w:num="2">
            <w:col w:w="10020" w:space="200"/>
            <w:col w:w="1200"/>
          </w:cols>
          <w:pgMar w:left="220" w:top="670" w:right="259" w:bottom="1440" w:gutter="0" w:footer="0" w:header="0"/>
          <w:type w:val="continuous"/>
        </w:sectPr>
      </w:pPr>
    </w:p>
    <w:p>
      <w:pPr>
        <w:ind w:right="120" w:firstLine="209"/>
        <w:spacing w:after="0" w:line="260" w:lineRule="auto"/>
        <w:rPr>
          <w:sz w:val="20"/>
          <w:szCs w:val="20"/>
          <w:color w:val="auto"/>
        </w:rPr>
      </w:pPr>
      <w:r>
        <w:rPr>
          <w:rFonts w:ascii="Times New Roman" w:cs="Times New Roman" w:eastAsia="Times New Roman" w:hAnsi="Times New Roman"/>
          <w:sz w:val="14"/>
          <w:szCs w:val="14"/>
          <w:color w:val="auto"/>
        </w:rPr>
        <w:t>We expect to use substantially all of the net proceeds of this offering to purchase all of the assets in the Portfolio and make investments as described under “Business—Prospective investments” and elsewhere in this prospectus and to pay our operating expenses. We plan to invest the remainder of the net proceeds of this offering, if any, in portfolio companies in accordance with our investment objectives and strategies.</w:t>
      </w:r>
    </w:p>
    <w:p>
      <w:pPr>
        <w:spacing w:after="0" w:line="168"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We intend to invest primarily in first and second lien senior loans and mezzanine debt of private middle market companies, each of which may include an equity component, and, to a lesser extent, in equity securities in such companies. In addition to such investments, we may invest up to 30% of the portfolio in opportunistic investments, including high-yield bonds, debt and equity securities in CDO vehicles, distressed debt and equity securities of public companies. As part of this 30%, we may also invest in debt of private middle market companies located outside of the United States. Pending such investments, we will invest the net proceeds primarily in cash in the aggregate, cash equivalents, U.S. government securities and other high quality short-term investments. These securities may earn yields substantially lower than the income that we anticipate receiving once we are fully invested in accordance with our investment objectives. As a result, we may not be able to achieve our investment objectives and/or pay any dividends during this period or, if we are able to do so, such dividends may be substantially lower than the dividends that we expect to pay when our portfolio is fully invested. If we do not realize yields in excess of our expenses, we may incur operating losses and the market price of our common stock may decline. See “Regulation—Temporary investments” for additional information about temporary investments we may make while waiting to make longer-term investments in pursuit of our investment objectives.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0" w:right="259" w:bottom="1440" w:gutter="0" w:footer="0" w:header="0"/>
          <w:type w:val="continuous"/>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99"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We intend to make quarterly distributions to our stockholders out of assets legally available for distribution. Our quarterly distributions, if any, will be determined by our board of directors. In order to maintain our qualification as a RIC, we must distribute an amount equal to at least 90% of our ordinary net taxable income and realized net short-term capital gains in excess of realized net long-term capital losses, if any, reduced by deductible expenses.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 The consequences of our retention of net capital gains are as described under “Material U.S. Federal Income Tax Considerations.” We cannot assure you that we will achieve results that will permit the payment of any cash distributions and, if we incur indebtedness or issue senior securities, we will be prohibited from making distributions if doing so causes us to fail to maintain the asset coverage ratios stipulated by the 1940 Act or if distributions are limited by the terms of any of our borrowings.</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0" w:right="2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DIVIDEND REINVESTMENT PLAN</w:t>
      </w:r>
    </w:p>
    <w:p>
      <w:pPr>
        <w:spacing w:after="0" w:line="199" w:lineRule="exact"/>
        <w:rPr>
          <w:sz w:val="20"/>
          <w:szCs w:val="20"/>
          <w:color w:val="auto"/>
        </w:rPr>
      </w:pPr>
    </w:p>
    <w:p>
      <w:pPr>
        <w:ind w:right="100" w:firstLine="209"/>
        <w:spacing w:after="0" w:line="260" w:lineRule="auto"/>
        <w:rPr>
          <w:sz w:val="20"/>
          <w:szCs w:val="20"/>
          <w:color w:val="auto"/>
        </w:rPr>
      </w:pPr>
      <w:r>
        <w:rPr>
          <w:rFonts w:ascii="Times New Roman" w:cs="Times New Roman" w:eastAsia="Times New Roman" w:hAnsi="Times New Roman"/>
          <w:sz w:val="14"/>
          <w:szCs w:val="14"/>
          <w:color w:val="auto"/>
        </w:rPr>
        <w:t>We will adopt a dividend reinvestment plan that provides for reinvestment of our distributions on behalf of our stockholders, unless a stockholder elects to receive cash as provided below.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 action will be required on the part of a registered stockholder to have its cash dividends reinvested in our common stock. A registered stockholder may elect to receive an entire dividend in cash by</w:t>
      </w:r>
    </w:p>
    <w:p>
      <w:pPr>
        <w:spacing w:after="0" w:line="1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notifying , the plan administrator and our transfer agent and registrar, in writing so that such notice is received by the plan administrator no later than the record date for dividends to stockholders. The plan administrator will set up an account for stock acquired through the plan for each stockholder who has not elected to receive dividends in cash and hold such stock in non-certificated form. Upon request by a stockholder participating in the plan, received in writing not less than ten days prior to the record date, the plan administrator will, instead of crediting stock to the participant’s account, issue a certificate registered in the participant’s name for the number of whole shares of common stock and a check for any fractional share.</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Those stockholders whose shares are held by a broker or other financial intermediary may receive dividends in cash by notifying their broker or other financial intermediary of their election.</w:t>
      </w:r>
    </w:p>
    <w:p>
      <w:pPr>
        <w:spacing w:after="0" w:line="195"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We intend to use primarily newly issued shares to implement the plan, whether our common stock is trading at a premium or at a discount to net asset value. However, we reserve the right to purchase shares in the open market in connection with our implementation of the plan. The number of shares of common stock to be issued to a stockholder is determined by dividing the total dollar amount of the dividend payable to such stockholder by the market price per share of common stock at the close of regular trading on the NASDAQ Global Market on the dividend payment date. Market price per share on that date will be the closing price for such stock on the NASDAQ Global Market or, if no sale is reported for such day, at the average of their reported bid and asked prices. The number of shares of our common stock to be outstanding after giving effect to payment of the dividend cannot be established until the value per share at which additional stock will be issued has been determined and elections of our stockholders have been tabulated.</w:t>
      </w:r>
    </w:p>
    <w:p>
      <w:pPr>
        <w:spacing w:after="0" w:line="175" w:lineRule="exact"/>
        <w:rPr>
          <w:sz w:val="20"/>
          <w:szCs w:val="20"/>
          <w:color w:val="auto"/>
        </w:rPr>
      </w:pPr>
    </w:p>
    <w:p>
      <w:pPr>
        <w:ind w:right="100" w:firstLine="209"/>
        <w:spacing w:after="0" w:line="260" w:lineRule="auto"/>
        <w:rPr>
          <w:sz w:val="20"/>
          <w:szCs w:val="20"/>
          <w:color w:val="auto"/>
        </w:rPr>
      </w:pPr>
      <w:r>
        <w:rPr>
          <w:rFonts w:ascii="Times New Roman" w:cs="Times New Roman" w:eastAsia="Times New Roman" w:hAnsi="Times New Roman"/>
          <w:sz w:val="14"/>
          <w:szCs w:val="14"/>
          <w:color w:val="auto"/>
        </w:rPr>
        <w:t>There will be no brokerage charges or other charges to stockholders who participate in the plan. The plan administrator’s fees under the plan will be paid by us. If a participant elects by written notice to the plan administrator to have the plan administrator sell part or all of the stock held by the plan administrator in the participant’s account and remit the proceeds to the participant, the plan administrator is authorized to deduct a $ transaction fee plus a per share brokerage commission from the proceeds.</w:t>
      </w:r>
    </w:p>
    <w:p>
      <w:pPr>
        <w:sectPr>
          <w:pgSz w:w="11900" w:h="16838" w:orient="portrait"/>
          <w:cols w:equalWidth="0" w:num="1">
            <w:col w:w="11460"/>
          </w:cols>
          <w:pgMar w:left="220" w:top="670" w:right="219" w:bottom="1440" w:gutter="0" w:footer="0" w:header="0"/>
        </w:sectPr>
      </w:pPr>
    </w:p>
    <w:p>
      <w:pPr>
        <w:spacing w:after="0" w:line="168"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Participants may terminate their accounts under the plan by notifying the plan administrator via its website at to the plan administrator at or by calling the plan administrator at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by filling out the transaction request form located at bottom of their statement and sending it</w:t>
      </w:r>
    </w:p>
    <w:p>
      <w:pPr>
        <w:spacing w:after="0" w:line="385" w:lineRule="exact"/>
        <w:rPr>
          <w:sz w:val="20"/>
          <w:szCs w:val="20"/>
          <w:color w:val="auto"/>
        </w:rPr>
      </w:pPr>
    </w:p>
    <w:p>
      <w:pPr>
        <w:sectPr>
          <w:pgSz w:w="11900" w:h="16838" w:orient="portrait"/>
          <w:cols w:equalWidth="0" w:num="2">
            <w:col w:w="6160" w:space="200"/>
            <w:col w:w="5100"/>
          </w:cols>
          <w:pgMar w:left="220" w:top="670" w:right="2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The plan may be terminated by us upon notice in writing mailed to each participant at least 30 days prior to any record date for the payment of any dividend by us. All correspondence concerning the plan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w w:val="99"/>
              </w:rPr>
              <w:t>should be directed to the plan administrator by mail at</w:t>
            </w: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or by telephone at</w:t>
            </w:r>
          </w:p>
        </w:tc>
        <w:tc>
          <w:tcPr>
            <w:tcW w:w="7180" w:type="dxa"/>
            <w:vAlign w:val="bottom"/>
          </w:tcPr>
          <w:p>
            <w:pPr>
              <w:jc w:val="right"/>
              <w:ind w:right="6912"/>
              <w:spacing w:after="0"/>
              <w:rPr>
                <w:sz w:val="20"/>
                <w:szCs w:val="20"/>
                <w:color w:val="auto"/>
              </w:rPr>
            </w:pPr>
            <w:r>
              <w:rPr>
                <w:rFonts w:ascii="Times New Roman" w:cs="Times New Roman" w:eastAsia="Times New Roman" w:hAnsi="Times New Roman"/>
                <w:sz w:val="14"/>
                <w:szCs w:val="14"/>
                <w:color w:val="auto"/>
              </w:rPr>
              <w:t>.</w:t>
            </w:r>
          </w:p>
        </w:tc>
      </w:tr>
      <w:tr>
        <w:trPr>
          <w:trHeight w:val="327"/>
        </w:trPr>
        <w:tc>
          <w:tcPr>
            <w:tcW w:w="3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80" w:type="dxa"/>
            <w:vAlign w:val="bottom"/>
          </w:tcPr>
          <w:p>
            <w:pPr>
              <w:jc w:val="right"/>
              <w:ind w:right="5592"/>
              <w:spacing w:after="0"/>
              <w:rPr>
                <w:sz w:val="20"/>
                <w:szCs w:val="20"/>
                <w:color w:val="auto"/>
              </w:rPr>
            </w:pPr>
            <w:r>
              <w:rPr>
                <w:rFonts w:ascii="Times New Roman" w:cs="Times New Roman" w:eastAsia="Times New Roman" w:hAnsi="Times New Roman"/>
                <w:sz w:val="14"/>
                <w:szCs w:val="14"/>
                <w:color w:val="auto"/>
              </w:rPr>
              <w:t>42</w:t>
            </w:r>
          </w:p>
        </w:tc>
      </w:tr>
      <w:tr>
        <w:trPr>
          <w:trHeight w:val="646"/>
        </w:trPr>
        <w:tc>
          <w:tcPr>
            <w:tcW w:w="30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type w:val="continuous"/>
        </w:sectPr>
      </w:pPr>
    </w:p>
    <w:bookmarkStart w:id="48" w:name="page49"/>
    <w:bookmarkEnd w:id="48"/>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99"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The following table sets forth our capitalization (1) on an as adjusted basis to give effect to the Contribution and (2) on a pro forma as adjusted basis to reflect the effects of the sale of our common stock in this offering at an assumed public offering price of $ per share, after deducting the underwriters’ discount and estimated organizational and offering expenses payable by us. You should read this table together with “Use of Proceeds.”</w:t>
      </w:r>
    </w:p>
    <w:p>
      <w:pPr>
        <w:sectPr>
          <w:pgSz w:w="11900" w:h="16838" w:orient="portrait"/>
          <w:cols w:equalWidth="0" w:num="1">
            <w:col w:w="11340"/>
          </w:cols>
          <w:pgMar w:left="220" w:top="670" w:right="339" w:bottom="1440" w:gutter="0" w:footer="0" w:header="0"/>
        </w:sectPr>
      </w:pP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5678170</wp:posOffset>
            </wp:positionH>
            <wp:positionV relativeFrom="paragraph">
              <wp:posOffset>74930</wp:posOffset>
            </wp:positionV>
            <wp:extent cx="55816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8165" cy="6350"/>
                    </a:xfrm>
                    <a:prstGeom prst="rect">
                      <a:avLst/>
                    </a:prstGeom>
                    <a:noFill/>
                  </pic:spPr>
                </pic:pic>
              </a:graphicData>
            </a:graphic>
          </wp:anchor>
        </w:drawing>
      </w:r>
    </w:p>
    <w:p>
      <w:pPr>
        <w:spacing w:after="0" w:line="294"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0"/>
          <w:szCs w:val="10"/>
          <w:b w:val="1"/>
          <w:bCs w:val="1"/>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5678170</wp:posOffset>
            </wp:positionH>
            <wp:positionV relativeFrom="paragraph">
              <wp:posOffset>61595</wp:posOffset>
            </wp:positionV>
            <wp:extent cx="55816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81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74930</wp:posOffset>
            </wp:positionV>
            <wp:extent cx="54483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4830" cy="6350"/>
                    </a:xfrm>
                    <a:prstGeom prst="rect">
                      <a:avLst/>
                    </a:prstGeom>
                    <a:noFill/>
                  </pic:spPr>
                </pic:pic>
              </a:graphicData>
            </a:graphic>
          </wp:anchor>
        </w:drawing>
      </w:r>
    </w:p>
    <w:p>
      <w:pPr>
        <w:spacing w:after="0" w:line="1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0"/>
          <w:szCs w:val="10"/>
          <w:b w:val="1"/>
          <w:bCs w:val="1"/>
          <w:color w:val="auto"/>
        </w:rPr>
        <w:t>Pro forma as</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0"/>
          <w:szCs w:val="10"/>
          <w:b w:val="1"/>
          <w:bCs w:val="1"/>
          <w:color w:val="auto"/>
        </w:rPr>
        <w:t>Adjusted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54483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4830" cy="63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9720" w:space="360"/>
            <w:col w:w="1260"/>
          </w:cols>
          <w:pgMar w:left="220" w:top="670" w:right="3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Cash</w:t>
            </w:r>
          </w:p>
        </w:tc>
        <w:tc>
          <w:tcPr>
            <w:tcW w:w="8000" w:type="dxa"/>
            <w:vAlign w:val="bottom"/>
          </w:tcPr>
          <w:p>
            <w:pPr>
              <w:spacing w:after="0"/>
              <w:rPr>
                <w:sz w:val="16"/>
                <w:szCs w:val="16"/>
                <w:color w:val="auto"/>
              </w:rPr>
            </w:pP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6"/>
                <w:szCs w:val="16"/>
                <w:color w:val="auto"/>
              </w:rPr>
            </w:pP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6"/>
        </w:trPr>
        <w:tc>
          <w:tcPr>
            <w:tcW w:w="940" w:type="dxa"/>
            <w:vAlign w:val="bottom"/>
          </w:tcPr>
          <w:p>
            <w:pPr>
              <w:spacing w:after="0"/>
              <w:rPr>
                <w:sz w:val="7"/>
                <w:szCs w:val="7"/>
                <w:color w:val="auto"/>
              </w:rPr>
            </w:pPr>
          </w:p>
        </w:tc>
        <w:tc>
          <w:tcPr>
            <w:tcW w:w="800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000" w:type="dxa"/>
            <w:vAlign w:val="bottom"/>
          </w:tcPr>
          <w:p>
            <w:pPr>
              <w:spacing w:after="0"/>
              <w:rPr>
                <w:sz w:val="22"/>
                <w:szCs w:val="22"/>
                <w:color w:val="auto"/>
              </w:rPr>
            </w:pP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22"/>
                <w:szCs w:val="22"/>
                <w:color w:val="auto"/>
              </w:rPr>
            </w:pP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0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940" w:type="dxa"/>
            <w:vAlign w:val="bottom"/>
            <w:vMerge w:val="continue"/>
          </w:tcPr>
          <w:p>
            <w:pPr>
              <w:spacing w:after="0"/>
              <w:rPr>
                <w:sz w:val="24"/>
                <w:szCs w:val="24"/>
                <w:color w:val="auto"/>
              </w:rPr>
            </w:pPr>
          </w:p>
        </w:tc>
        <w:tc>
          <w:tcPr>
            <w:tcW w:w="8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8000" w:type="dxa"/>
            <w:vAlign w:val="bottom"/>
          </w:tcPr>
          <w:p>
            <w:pPr>
              <w:spacing w:after="0"/>
              <w:rPr>
                <w:sz w:val="16"/>
                <w:szCs w:val="16"/>
                <w:color w:val="auto"/>
              </w:rPr>
            </w:pP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91"/>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4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89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9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shares of common stock, $0.0001 par value per share,</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authorized;</w:t>
            </w:r>
          </w:p>
        </w:tc>
        <w:tc>
          <w:tcPr>
            <w:tcW w:w="8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of common stock outstanding, actual;</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common stock outstanding, as adjusted</w:t>
            </w: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6"/>
                <w:szCs w:val="16"/>
                <w:color w:val="auto"/>
              </w:rPr>
            </w:pP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6"/>
                <w:szCs w:val="16"/>
                <w:color w:val="auto"/>
              </w:rPr>
            </w:pP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6"/>
        </w:trPr>
        <w:tc>
          <w:tcPr>
            <w:tcW w:w="8940" w:type="dxa"/>
            <w:vAlign w:val="bottom"/>
            <w:gridSpan w:val="2"/>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22"/>
                <w:szCs w:val="22"/>
                <w:color w:val="auto"/>
              </w:rPr>
            </w:pP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940" w:type="dxa"/>
            <w:vAlign w:val="bottom"/>
          </w:tcPr>
          <w:p>
            <w:pPr>
              <w:spacing w:after="0"/>
              <w:rPr>
                <w:sz w:val="7"/>
                <w:szCs w:val="7"/>
                <w:color w:val="auto"/>
              </w:rPr>
            </w:pPr>
          </w:p>
        </w:tc>
        <w:tc>
          <w:tcPr>
            <w:tcW w:w="800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-1560830</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-1560830</wp:posOffset>
            </wp:positionV>
            <wp:extent cx="190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6226810</wp:posOffset>
            </wp:positionH>
            <wp:positionV relativeFrom="paragraph">
              <wp:posOffset>-1560830</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-1560830</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-1560830</wp:posOffset>
            </wp:positionV>
            <wp:extent cx="1905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-1560830</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-1082675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-1082675</wp:posOffset>
            </wp:positionV>
            <wp:extent cx="1905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6226810</wp:posOffset>
            </wp:positionH>
            <wp:positionV relativeFrom="paragraph">
              <wp:posOffset>-1082675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-1082675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-1082675</wp:posOffset>
            </wp:positionV>
            <wp:extent cx="1905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-1082675</wp:posOffset>
            </wp:positionV>
            <wp:extent cx="12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-12065</wp:posOffset>
            </wp:positionV>
            <wp:extent cx="1905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6226810</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-12065</wp:posOffset>
            </wp:positionV>
            <wp:extent cx="1905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-12065</wp:posOffset>
            </wp:positionV>
            <wp:extent cx="127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222885</wp:posOffset>
            </wp:positionV>
            <wp:extent cx="110299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80" w:right="160" w:hanging="579"/>
        <w:spacing w:after="0" w:line="270" w:lineRule="auto"/>
        <w:tabs>
          <w:tab w:leader="none" w:pos="56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color w:val="auto"/>
        </w:rPr>
        <w:t>Excludes the underwriter’s over-allotment option to purchase shares of common stock. The amounts shown in the “As Adjusted” column above will change depending on the total amount of proceeds received by us in this offering.</w:t>
      </w:r>
    </w:p>
    <w:p>
      <w:pPr>
        <w:spacing w:after="0" w:line="1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40"/>
          </w:cols>
          <w:pgMar w:left="220" w:top="670" w:right="33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DISCUSSION OF MANAGEMENT’S EXPECTED OPERATING PLANS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9" w:lineRule="exact"/>
        <w:rPr>
          <w:sz w:val="20"/>
          <w:szCs w:val="20"/>
          <w:color w:val="auto"/>
        </w:rPr>
      </w:pPr>
    </w:p>
    <w:p>
      <w:pPr>
        <w:ind w:left="220"/>
        <w:spacing w:after="0"/>
        <w:tabs>
          <w:tab w:leader="none" w:pos="5460" w:val="left"/>
        </w:tabs>
        <w:rPr>
          <w:sz w:val="20"/>
          <w:szCs w:val="20"/>
          <w:color w:val="auto"/>
        </w:rPr>
      </w:pPr>
      <w:r>
        <w:rPr>
          <w:rFonts w:ascii="Times New Roman" w:cs="Times New Roman" w:eastAsia="Times New Roman" w:hAnsi="Times New Roman"/>
          <w:sz w:val="14"/>
          <w:szCs w:val="14"/>
          <w:color w:val="auto"/>
        </w:rPr>
        <w:t>GSC Investment Corp. was incorporated under the Maryland General Corporation Law in</w:t>
      </w:r>
      <w:r>
        <w:rPr>
          <w:sz w:val="20"/>
          <w:szCs w:val="20"/>
          <w:color w:val="auto"/>
        </w:rPr>
        <w:tab/>
      </w:r>
      <w:r>
        <w:rPr>
          <w:rFonts w:ascii="Times New Roman" w:cs="Times New Roman" w:eastAsia="Times New Roman" w:hAnsi="Times New Roman"/>
          <w:sz w:val="12"/>
          <w:szCs w:val="12"/>
          <w:color w:val="auto"/>
        </w:rPr>
        <w:t>2006. We have elected to be treated as a BDC under the 1940 Act. As a BDC, we are required to comply with</w:t>
      </w:r>
    </w:p>
    <w:p>
      <w:pPr>
        <w:spacing w:after="0" w:line="1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4"/>
          <w:szCs w:val="14"/>
          <w:color w:val="auto"/>
        </w:rPr>
        <w:t>certain regulatory requirements. For instance, we will generally have to invest at least 70% of our total assets in “qualifying assets,” including securities of private or thinly traded public U.S. companies, cash, cash equivalents, U.S. government securities and high-quality debt investments that mature in one year or less. In addition, we are subject to a leverage restriction. We will only be allowed to borrow amounts, with certain limited exceptions, such that our asset coverage, as defined in the 1940 Act, equals at least 200% after such borrowing. The amount of leverage that we employ will depend on our investment adviser’s and our board of directors’ assessment of market and other factors at the time of any proposed borrowing. This offering will significantly increase our capital resources because it will increase our borrowing capacity.</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99" w:lineRule="exact"/>
        <w:rPr>
          <w:sz w:val="20"/>
          <w:szCs w:val="20"/>
          <w:color w:val="auto"/>
        </w:rPr>
      </w:pPr>
    </w:p>
    <w:p>
      <w:pPr>
        <w:ind w:right="60" w:firstLine="209"/>
        <w:spacing w:after="0" w:line="253" w:lineRule="auto"/>
        <w:rPr>
          <w:sz w:val="20"/>
          <w:szCs w:val="20"/>
          <w:color w:val="auto"/>
        </w:rPr>
      </w:pPr>
      <w:r>
        <w:rPr>
          <w:rFonts w:ascii="Times New Roman" w:cs="Times New Roman" w:eastAsia="Times New Roman" w:hAnsi="Times New Roman"/>
          <w:sz w:val="14"/>
          <w:szCs w:val="14"/>
          <w:color w:val="auto"/>
        </w:rPr>
        <w:t>We plan to generate revenue in the form of interest income on the debt that we hold and capital gains, if any, on warrants or other equity interests that we may acquire in portfolio companies. We expect our debt investments, whether in the form of first and second lien senior loans or mezzanine debt, to have terms of up to ten years, (but an expected average life of between three and seven years) and typically to bear interest at a fixed or floating rate. Interest on debt will be payable generally quarterly or semi-annually, with the amortization of principal generally being deferred for several years from the date of the initial investment. In some cases, we will also defer collection of payments of interest earned for the first few years after our investment. The principal amount of the debt and any accrued but unpaid interest will generally become due at the maturity date. In addition, we may generate revenue in the form of commitment, origination, structuring or diligence fees, fees for providing managerial assistance and possibly consulting fees. Any such fees will be generated in connection with our investments and recognized as earned. We may also invest, to a lesser extent, in equity securities, which may, in some cases, include preferred securities that pay dividends on a current basis.</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99" w:lineRule="exact"/>
        <w:rPr>
          <w:sz w:val="20"/>
          <w:szCs w:val="20"/>
          <w:color w:val="auto"/>
        </w:rPr>
      </w:pPr>
    </w:p>
    <w:p>
      <w:pPr>
        <w:ind w:right="40" w:firstLine="209"/>
        <w:spacing w:after="0" w:line="251" w:lineRule="auto"/>
        <w:rPr>
          <w:sz w:val="20"/>
          <w:szCs w:val="20"/>
          <w:color w:val="auto"/>
        </w:rPr>
      </w:pPr>
      <w:r>
        <w:rPr>
          <w:rFonts w:ascii="Times New Roman" w:cs="Times New Roman" w:eastAsia="Times New Roman" w:hAnsi="Times New Roman"/>
          <w:sz w:val="14"/>
          <w:szCs w:val="14"/>
          <w:color w:val="auto"/>
        </w:rPr>
        <w:t>Our primary operating expenses will include the payment of investment advisory and management fees and overhead expenses, including our allocable portion of our administrator’s overhead under the administration agreement. Our allocable portion will be based on the proportion that our total assets bears to the total assets administered by our administrator. Our investment advisory and management fees will compensate our investment adviser for its work in identifying, evaluating, negotiating, closing and monitoring our investments. See “Management—Investment advisory and management agreement” and “Management—Administration agreement.” We will bear all other costs and expenses of our operations and transactions, including those relating to: organization; calculating our net asset value (including the cost and expenses of any independent valuation firm); expenses incurred by our investment adviser payable to third parties, including agents, consultants or other advisers, in monitoring our financial and legal affairs and in monitoring our investments and performing due diligence on our prospective portfolio companies; interest payable on debt, if any, incurred to finance our investments; offerings of our common stock and other securities; investment advisory and management fees; administration fees; fees payable to third parties, including agents, consultants or other advisers, relating to, or associated with, evaluating and making investments; transfer agent and custodial fees; registration fees; listing fees; taxes; independent directors’ fees and expenses; costs of preparing and filing reports or other documents of the SEC; the costs of any reports, proxy statements or other notices to stockholders, including printing costs; to the extent we are covered by any joint insurance policies, our allocable portion of the insurance premiums for such policies; direct costs and expenses of administration, including auditor and legal costs; and all other expenses incurred by us or our administrator in connection with administering our business, such as our allocable portion of our administrator’s overhead under the administration agreement, including rent and our allocable portion of the cost of our other officers and their respective staffs relating to the performance of services under this agreement (including travel expenses).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0" w:right="239" w:bottom="1440" w:gutter="0" w:footer="0" w:header="0"/>
        </w:sectPr>
      </w:pPr>
    </w:p>
    <w:bookmarkStart w:id="50" w:name="page51"/>
    <w:bookmarkEnd w:id="50"/>
    <w:p>
      <w:pPr>
        <w:ind w:right="60" w:firstLine="209"/>
        <w:spacing w:after="0" w:line="260" w:lineRule="auto"/>
        <w:rPr>
          <w:sz w:val="20"/>
          <w:szCs w:val="20"/>
          <w:color w:val="auto"/>
        </w:rPr>
      </w:pPr>
      <w:r>
        <w:rPr>
          <w:rFonts w:ascii="Times New Roman" w:cs="Times New Roman" w:eastAsia="Times New Roman" w:hAnsi="Times New Roman"/>
          <w:sz w:val="14"/>
          <w:szCs w:val="14"/>
          <w:color w:val="auto"/>
        </w:rPr>
        <w:t>To the extent that any of our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and forward contracts. Costs incurred in entering into such contracts or in settling them will be borne by us.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Financial condition, liquidity and capital resources</w:t>
      </w:r>
    </w:p>
    <w:p>
      <w:pPr>
        <w:spacing w:after="0" w:line="199" w:lineRule="exact"/>
        <w:rPr>
          <w:sz w:val="20"/>
          <w:szCs w:val="20"/>
          <w:color w:val="auto"/>
        </w:rPr>
      </w:pPr>
    </w:p>
    <w:p>
      <w:pPr>
        <w:ind w:right="20" w:firstLine="209"/>
        <w:spacing w:after="0" w:line="256" w:lineRule="auto"/>
        <w:rPr>
          <w:sz w:val="20"/>
          <w:szCs w:val="20"/>
          <w:color w:val="auto"/>
        </w:rPr>
      </w:pPr>
      <w:r>
        <w:rPr>
          <w:rFonts w:ascii="Times New Roman" w:cs="Times New Roman" w:eastAsia="Times New Roman" w:hAnsi="Times New Roman"/>
          <w:sz w:val="14"/>
          <w:szCs w:val="14"/>
          <w:color w:val="auto"/>
        </w:rPr>
        <w:t>We will generate cash primarily from the net proceeds of this offering and from borrowings under the Company Credit Facility, as well as any future offerings of securities, future borrowings and cash flows from operations, including interest earned from the temporary investment of cash in U.S. government securities and other high-quality debt investments that mature in one year or less. In the future, we may also securitize a portion of our investments in first and second lien senior loans or mezzanine debt or other assets. Our primary use of funds will be investments in our targeted asset classes and cash distributions to holders of our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policy</w:t>
      </w:r>
    </w:p>
    <w:p>
      <w:pPr>
        <w:spacing w:after="0" w:line="199" w:lineRule="exact"/>
        <w:rPr>
          <w:sz w:val="20"/>
          <w:szCs w:val="20"/>
          <w:color w:val="auto"/>
        </w:rPr>
      </w:pPr>
    </w:p>
    <w:p>
      <w:pPr>
        <w:ind w:right="60" w:firstLine="209"/>
        <w:spacing w:after="0" w:line="256" w:lineRule="auto"/>
        <w:rPr>
          <w:sz w:val="20"/>
          <w:szCs w:val="20"/>
          <w:color w:val="auto"/>
        </w:rPr>
      </w:pPr>
      <w:r>
        <w:rPr>
          <w:rFonts w:ascii="Times New Roman" w:cs="Times New Roman" w:eastAsia="Times New Roman" w:hAnsi="Times New Roman"/>
          <w:sz w:val="14"/>
          <w:szCs w:val="14"/>
          <w:color w:val="auto"/>
        </w:rPr>
        <w:t>We intend to qualify as a RIC under the Code, which allows us to avoid corporate-level tax on our income. To qualify as a RIC, we must distribute to our stockholders an amount equal to at least 90% of our ordinary net taxable income and realized net short- term capital gains in excess of realized net long-term capital losses, if any, reduced by deductible expenses, on an annual basis. We intend to pay dividends on a quarterly basis. In addition, we also intend to distribute any realized net capital gains (i.e., realized net long-term capital gains in excess of realized net short-term capital losses) at least annually out of the assets legally available for such distributions.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99"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We will enter into three contracts under which we have material future commitments, the investment advisory and management agreement, pursuant to which GSCP (NJ), L.P. will agree to serve as our investment adviser; the administration agreement, pursuant to which our administrator will agree to furnish us with the facilities and administrative services necessary to conduct our day-to-day operations and provide managerial assistance on our behalf to those portfolio companies to which we are required to provide such assistance and a license agreement with GSC Group, pursuant to which GSC Group has agreed to grant us a non-exclusive, royalty-free license to use the name “GSC.” Payments under the investment advisory and management agreement in future periods will be equal to (1) a percentage of the value of our total assets (other than cash and cash equivalents but including assets purchased with borrowed funds) and (2) an incentive fee based on our performance. Payments under the administration agreement will be equal to an amount based upon our allocable portion of our administrator’s overhead in performing its obligations under the administration agreement, including rent and our allocable portion of the cost of our officers and their respective staffs. See “Management—Investment advisory and management agreement” and “Management—Administration agreement.” Each of these contracts may be terminated by either party without penalty upon 60 days written notice to the other. Further, although our Chief Financial Officer, Chief Compliance Officer, and Vice President and Secretary will have certain duties to us, they will also perform duties for other GSC Group related entities.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OBLIGATIONS AND INDEBTEDNESS</w:t>
      </w:r>
    </w:p>
    <w:p>
      <w:pPr>
        <w:spacing w:after="0" w:line="199" w:lineRule="exact"/>
        <w:rPr>
          <w:sz w:val="20"/>
          <w:szCs w:val="20"/>
          <w:color w:val="auto"/>
        </w:rPr>
      </w:pPr>
    </w:p>
    <w:p>
      <w:pPr>
        <w:ind w:right="40" w:firstLine="209"/>
        <w:spacing w:after="0" w:line="254" w:lineRule="auto"/>
        <w:rPr>
          <w:sz w:val="20"/>
          <w:szCs w:val="20"/>
          <w:color w:val="auto"/>
        </w:rPr>
      </w:pPr>
      <w:r>
        <w:rPr>
          <w:rFonts w:ascii="Times New Roman" w:cs="Times New Roman" w:eastAsia="Times New Roman" w:hAnsi="Times New Roman"/>
          <w:sz w:val="14"/>
          <w:szCs w:val="14"/>
          <w:color w:val="auto"/>
        </w:rPr>
        <w:t>Under the 1940 Act, we are not permitted to incur indebtedness or issue shares of preferred stock unless immediately after such borrowing or issuance our asset coverage, as defined in the 1940 Act, equals at least 200%. In addition, we are not permitted to declare any cash dividend or other distribution on our common stock unless, at the time of such declaration, the net asset value of our portfolio is at least 200% of the liquidation value of our outstanding preferred stock. The amount of leverage that we employ will depend on our investment adviser’s and our board of directors’ assessment of market and other factors at the time of any proposed borrowing. Any additional sale of shares of our common stock will increase our capacity to borrow under these facilities in compliance with the leverage restrictions of the 1940 Act. See “Regulation—Indebtedness and senior securities.”</w:t>
      </w:r>
    </w:p>
    <w:p>
      <w:pPr>
        <w:spacing w:after="0" w:line="174"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In order to borrow under the Company Credit Facility, we will be required to meet various financial and operating covenants required by the Company Credit Facility. These covenants will require us to maintain certain financial ratios, including debt to equity and interest coverage, and a minimum net worth. We expect that the Company Credit Facility will also limit our ability to declare dividends if we default under certain provisions. See “Risk Factors—Risks related to our operation as a BDC—We will be subject to corporate-level income tax if we fail to qualify as a RIC,” “Risk Factors—Risks related to our operation as a BDC—Regulations governing our operation as a BDC will affect our ability to, and the way in which we, raise additional capital,” “Risk Factors—Risks related to our business—If we incur indebtedness or issue senior securities we will be exposed to additional risks, including the typical risks associated with leverage,” and “Risk Factors—Risks related to our business—There are conflicts of interest in our relationship with our investment adviser and/or GSC Group, which could result in decisions that are not in the best interest of our stockholders.”</w:t>
      </w:r>
    </w:p>
    <w:p>
      <w:pPr>
        <w:spacing w:after="0" w:line="175" w:lineRule="exact"/>
        <w:rPr>
          <w:sz w:val="20"/>
          <w:szCs w:val="20"/>
          <w:color w:val="auto"/>
        </w:rPr>
      </w:pPr>
    </w:p>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Assuming the use of leverage in the amount of 33 % of our total assets and an annual dividend interest rate of % payable on such leverage based on estimated market dividend/interest rates as of the date of this prospectus, the addition include that we must earn (net of estimated expenses related to leverage) in order to cover such dividend/interest payments is %. Our actual cost of leverage will be based on market dividend/interest rates at the time we undertake a leveraging strategy, and such cost of leverage may be higher or lower than that assumed in the previous example.</w:t>
      </w:r>
    </w:p>
    <w:p>
      <w:pPr>
        <w:spacing w:after="0" w:line="168" w:lineRule="exact"/>
        <w:rPr>
          <w:sz w:val="20"/>
          <w:szCs w:val="20"/>
          <w:color w:val="auto"/>
        </w:rPr>
      </w:pPr>
    </w:p>
    <w:p>
      <w:pPr>
        <w:ind w:right="80" w:firstLine="209"/>
        <w:spacing w:after="0" w:line="254" w:lineRule="auto"/>
        <w:rPr>
          <w:sz w:val="20"/>
          <w:szCs w:val="20"/>
          <w:color w:val="auto"/>
        </w:rPr>
      </w:pPr>
      <w:r>
        <w:rPr>
          <w:rFonts w:ascii="Times New Roman" w:cs="Times New Roman" w:eastAsia="Times New Roman" w:hAnsi="Times New Roman"/>
          <w:sz w:val="14"/>
          <w:szCs w:val="14"/>
          <w:color w:val="auto"/>
        </w:rPr>
        <w:t>The following table is furnished pursuant to requirements of the Securities and Exchange Commission. It is designed to illustrate the effect of leverage on total return on our common stock, assuming investment portfolio total returns (comprised of income, net expenses and changes in the value of investments held in the portfolio) of -10%, -5%, 0%, 5% and 10%. These assumed investment portfolio returns are hypothetical figures and are not necessarily indicative of what the investment portfolio’s returns will be. The table further reflects the use of leverage representing approximately 33 % of the our total assets after such issuance and the Company’s currently projected dividend rate, borrowing interest rate or payment rate set by an interest rate transaction of %. See “Risk Factors”. The table does not reflect any offering costs of our common stock or leverage.</w:t>
      </w:r>
    </w:p>
    <w:p>
      <w:pPr>
        <w:sectPr>
          <w:pgSz w:w="11900" w:h="16838" w:orient="portrait"/>
          <w:cols w:equalWidth="0" w:num="1">
            <w:col w:w="11460"/>
          </w:cols>
          <w:pgMar w:left="220" w:top="670" w:right="219" w:bottom="144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Assumed Portfolio Return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0.00%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2"/>
          <w:szCs w:val="12"/>
          <w:color w:val="auto"/>
        </w:rPr>
        <w:t>10.00%</w:t>
      </w:r>
    </w:p>
    <w:p>
      <w:pPr>
        <w:spacing w:after="0" w:line="50" w:lineRule="exact"/>
        <w:rPr>
          <w:sz w:val="20"/>
          <w:szCs w:val="20"/>
          <w:color w:val="auto"/>
        </w:rPr>
      </w:pPr>
    </w:p>
    <w:p>
      <w:pPr>
        <w:sectPr>
          <w:pgSz w:w="11900" w:h="16838" w:orient="portrait"/>
          <w:cols w:equalWidth="0" w:num="6">
            <w:col w:w="5260" w:space="720"/>
            <w:col w:w="520" w:space="660"/>
            <w:col w:w="440" w:space="700"/>
            <w:col w:w="360" w:space="720"/>
            <w:col w:w="340" w:space="660"/>
            <w:col w:w="1080"/>
          </w:cols>
          <w:pgMar w:left="220" w:top="670" w:right="2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Common Stock Total Return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ectPr>
          <w:pgSz w:w="11900" w:h="16838" w:orient="portrait"/>
          <w:cols w:equalWidth="0" w:num="6">
            <w:col w:w="5500" w:space="720"/>
            <w:col w:w="380" w:space="720"/>
            <w:col w:w="380" w:space="720"/>
            <w:col w:w="360" w:space="720"/>
            <w:col w:w="340" w:space="720"/>
            <w:col w:w="900"/>
          </w:cols>
          <w:pgMar w:left="220" w:top="670" w:right="219" w:bottom="1440" w:gutter="0" w:footer="0" w:header="0"/>
          <w:type w:val="continuous"/>
        </w:sectPr>
      </w:pPr>
    </w:p>
    <w:p>
      <w:pPr>
        <w:spacing w:after="0" w:line="183" w:lineRule="exact"/>
        <w:rPr>
          <w:sz w:val="20"/>
          <w:szCs w:val="20"/>
          <w:color w:val="auto"/>
        </w:rPr>
      </w:pPr>
    </w:p>
    <w:p>
      <w:pPr>
        <w:jc w:val="both"/>
        <w:ind w:right="140" w:firstLine="209"/>
        <w:spacing w:after="0" w:line="260" w:lineRule="auto"/>
        <w:rPr>
          <w:sz w:val="20"/>
          <w:szCs w:val="20"/>
          <w:color w:val="auto"/>
        </w:rPr>
      </w:pPr>
      <w:r>
        <w:rPr>
          <w:rFonts w:ascii="Times New Roman" w:cs="Times New Roman" w:eastAsia="Times New Roman" w:hAnsi="Times New Roman"/>
          <w:sz w:val="14"/>
          <w:szCs w:val="14"/>
          <w:color w:val="auto"/>
        </w:rPr>
        <w:t>Total return is composed of two elements – the common stock dividends paid by the Company (the amount of which is largely determined by the Company’s net investment income after paying the cost of leverage) and realized and unrealized gains or losses on the value of the securities the Company owns. As required by Securities and Exchange Commission rules, the table assumes that the Company is more likely to suffer capital loss than to enjoy capital appreciation.</w:t>
      </w:r>
    </w:p>
    <w:p>
      <w:pPr>
        <w:spacing w:after="0" w:line="168" w:lineRule="exact"/>
        <w:rPr>
          <w:sz w:val="20"/>
          <w:szCs w:val="20"/>
          <w:color w:val="auto"/>
        </w:rPr>
      </w:pPr>
    </w:p>
    <w:p>
      <w:pPr>
        <w:ind w:right="140" w:firstLine="209"/>
        <w:spacing w:after="0" w:line="260" w:lineRule="auto"/>
        <w:rPr>
          <w:sz w:val="20"/>
          <w:szCs w:val="20"/>
          <w:color w:val="auto"/>
        </w:rPr>
      </w:pPr>
      <w:r>
        <w:rPr>
          <w:rFonts w:ascii="Times New Roman" w:cs="Times New Roman" w:eastAsia="Times New Roman" w:hAnsi="Times New Roman"/>
          <w:sz w:val="14"/>
          <w:szCs w:val="14"/>
          <w:color w:val="auto"/>
        </w:rPr>
        <w:t>During the time in which the Company is using leverage, the amount of the fees paid to the investment adviser for investment management services will be higher than if the Company did not use leverage because the fees paid will be calculated based on our total assets including assets resulting from indebtedness. Because the leverage costs will be borne by the Company at a specified rate, only the common stock will bear the cost of these fees and expenses.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type w:val="continuous"/>
        </w:sectPr>
      </w:pPr>
    </w:p>
    <w:bookmarkStart w:id="52" w:name="page53"/>
    <w:bookmarkEnd w:id="52"/>
    <w:p>
      <w:pPr>
        <w:ind w:right="100" w:firstLine="209"/>
        <w:spacing w:after="0" w:line="270" w:lineRule="auto"/>
        <w:rPr>
          <w:sz w:val="20"/>
          <w:szCs w:val="20"/>
          <w:color w:val="auto"/>
        </w:rPr>
      </w:pPr>
      <w:r>
        <w:rPr>
          <w:rFonts w:ascii="Times New Roman" w:cs="Times New Roman" w:eastAsia="Times New Roman" w:hAnsi="Times New Roman"/>
          <w:sz w:val="14"/>
          <w:szCs w:val="14"/>
          <w:color w:val="auto"/>
        </w:rPr>
        <w:t>Unless and until the Company uses leverage, the common stock will not be leveraged and this section will not apply. Any determination to use leverage by the Company, including the aggregate amount of leverage, if any, from time to time and the type and terms of such leverage, will be made by the investment adviser, subject to approval of the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 Credit Facility</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Prior to the closing of this offering, we expect to receive a commitment for the Company Credit Facility, which we expect will be a five-year senior secured revolving credit facility with each of Citibank,</w:t>
      </w:r>
    </w:p>
    <w:p>
      <w:pPr>
        <w:spacing w:after="0" w:line="3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4"/>
          <w:szCs w:val="14"/>
          <w:color w:val="auto"/>
        </w:rPr>
        <w:t>N.A., an affiliate of Citigroup Global Markets Inc., and JPMorgan Chase Bank, N.A., an affiliate of J.P. Morgan Securities Inc., in an aggregate amount of up to $ million. Both Citigroup Global Markets Inc. and J.P. Morgan Securities Inc. are underwriters in this offering. We expect the terms to include an undertaking by each of Citibank, N.A. and JPMorgan Chase Bank, N.A. to use its commercially</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reasonable efforts to syndicate loan commitments together with its $ million loan commitment, in an aggregate amount of up to $ million. We anticipate the closing of the Company Credit Facility will be conditioned on the receipt of a minimum of $ million of the gross proceeds from this offering and other customary conditions. The borrowings under the Company Credit Facility will be secured by a perfected first priority lien in all of our portfolio investments (subject to certain exceptions) and availability under the Company Credit Facility will be subject to a borrowing base.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CDO Fund III Credit Facility</w:t>
      </w:r>
    </w:p>
    <w:p>
      <w:pPr>
        <w:spacing w:after="0" w:line="199" w:lineRule="exact"/>
        <w:rPr>
          <w:sz w:val="20"/>
          <w:szCs w:val="20"/>
          <w:color w:val="auto"/>
        </w:rPr>
      </w:pPr>
    </w:p>
    <w:p>
      <w:pPr>
        <w:ind w:firstLine="209"/>
        <w:spacing w:after="0" w:line="303" w:lineRule="auto"/>
        <w:rPr>
          <w:sz w:val="20"/>
          <w:szCs w:val="20"/>
          <w:color w:val="auto"/>
        </w:rPr>
      </w:pPr>
      <w:r>
        <w:rPr>
          <w:rFonts w:ascii="Times New Roman" w:cs="Times New Roman" w:eastAsia="Times New Roman" w:hAnsi="Times New Roman"/>
          <w:sz w:val="12"/>
          <w:szCs w:val="12"/>
          <w:color w:val="auto"/>
        </w:rPr>
        <w:t>In order for us to successfully complete the purchase of the Portfolio, CDO Fund III is required under its governing indenture to place an aggregate of $480 million on deposit with the indenture trustee, which is an amount sufficient to allow the defeasance of the secured notes issued by CDO Fund III. CDO Fund III expects to fund the required deposit amount from its additional cash, together with the CDO Fund III Credit Facility, which we expect will be a separate short-term senior secured credit facility of up to $480 million provided by each of Citibank, N.A., an affiliate of Citigroup Global Markets Inc., and JPMorgan Chase Bank, N.A., an affiliate of J.P. Morgan Securities Inc. Both Citigroup Global Markets Inc. and J.P. Morgan Securities Inc. are underwriters in this offering. CDO Fund III expects to receive a commitment from each of Citibank, N.A. and JPMorgan Chase Bank, N.A. to provide the CDO Fund III Credit Facility, which will be conditioned on the receipt of a minimum of $ million of the gross proceeds from this offering and other customary conditions to closing. If sufficient funding under the CDO Fund III Credit Facility is not available for any reason, CDO Fund III will need to arrange alternative financing to fund the required deposit in order to retire the secured notes and thereby allow the Portfolio to be delivered to us under the portfolio acquisition agreement.</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95"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99" w:lineRule="exact"/>
        <w:rPr>
          <w:sz w:val="20"/>
          <w:szCs w:val="20"/>
          <w:color w:val="auto"/>
        </w:rPr>
      </w:pPr>
    </w:p>
    <w:p>
      <w:pPr>
        <w:ind w:right="160" w:firstLine="209"/>
        <w:spacing w:after="0" w:line="260" w:lineRule="auto"/>
        <w:rPr>
          <w:sz w:val="20"/>
          <w:szCs w:val="20"/>
          <w:color w:val="auto"/>
        </w:rPr>
      </w:pPr>
      <w:r>
        <w:rPr>
          <w:rFonts w:ascii="Times New Roman" w:cs="Times New Roman" w:eastAsia="Times New Roman" w:hAnsi="Times New Roman"/>
          <w:sz w:val="14"/>
          <w:szCs w:val="14"/>
          <w:color w:val="auto"/>
        </w:rPr>
        <w:t>GSC Investment Corp. is a newly-incorporated Maryland corporation that has elected to be treated as a BDC under the 1940 Act. Our investment objectives are to generate both current income and capital appreciation through debt and, to a lesser extent, equity investments by primarily investing in private middle market companies. We intend to file an election to be treated as a RIC under subchapter M of the Code commencing with our first taxable year as a corporation.</w:t>
      </w:r>
    </w:p>
    <w:p>
      <w:pPr>
        <w:spacing w:after="0" w:line="168"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We have entered into a portfolio acquisition agreement, pursuant to which we have agreed to purchase a portfolio of approximately $216 million of debt investments that consist of first lien and second lien loans, senior secured bonds and unsecured bonds (the “Portfolio”). We intend to use the net proceeds of this offering to complete this acquisition promptly following the closing of this offering. We also intend to make additional investments that are consistent with our investment strategy. Over time we anticipate that the amount of senior secured and unsecured bonds will decrease as a percentage of our total assets as we add mezzanine debt and new first and second lien loan assets to the portfolio. See “—Prospective investments—The Portfolio.”</w:t>
      </w:r>
    </w:p>
    <w:p>
      <w:pPr>
        <w:spacing w:after="0" w:line="171"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We anticipate that our portfolio will be comprised primarily of investments in first and second lien loans and mezzanine debt, which will be sourced through a network of relationships with commercial finance companies and commercial and investment banks as well as through our relationships with financial sponsors. The capital that we provide is generally used to fund buyouts, acquisitions, growth, recapitalizations, note purchases and other types of financing. First and second lien loans are generally senior debt instruments that rank ahead of subordinated debt of the portfolio company. These loans also have the benefit of security interests on the assets of the portfolio company, which may rank ahead of, or be junior to, other security interests. Mezzanine debt is subordinated to senior loans and is generally unsecured. In some cases, we may also receive warrants or options in connection with our debt investments. We also anticipate, to a lesser extent, making equity investments in private middle market companies. Investments in warrants, options or other equity investments will generally be made in conjunction with loans we make to these companies.</w:t>
      </w:r>
    </w:p>
    <w:p>
      <w:pPr>
        <w:spacing w:after="0" w:line="175" w:lineRule="exact"/>
        <w:rPr>
          <w:sz w:val="20"/>
          <w:szCs w:val="20"/>
          <w:color w:val="auto"/>
        </w:rPr>
      </w:pPr>
    </w:p>
    <w:p>
      <w:pPr>
        <w:ind w:right="80" w:firstLine="209"/>
        <w:spacing w:after="0" w:line="254" w:lineRule="auto"/>
        <w:rPr>
          <w:sz w:val="20"/>
          <w:szCs w:val="20"/>
          <w:color w:val="auto"/>
        </w:rPr>
      </w:pPr>
      <w:r>
        <w:rPr>
          <w:rFonts w:ascii="Times New Roman" w:cs="Times New Roman" w:eastAsia="Times New Roman" w:hAnsi="Times New Roman"/>
          <w:sz w:val="14"/>
          <w:szCs w:val="14"/>
          <w:color w:val="auto"/>
        </w:rPr>
        <w:t>While our primary focus will be to generate both current income and capital appreciation through investments in debt and, to a lesser extent, equity securities of private middle market companies, we intend to invest up to 30% of our assets in opportunistic investments. Opportunistic investments may include investments in high-yield bonds, debt and equity securities in CDO vehicles, distressed debt and equity securities of public companies. As part of this 30%, we may also invest in debt of private middle market companies located outside of the United States. Given our primary investment focus on first and second lien loans and mezzanine debt, we believe our opportunistic investments will allow us to supplement our core investments with other investments that are within GSC Group’s expertise that we believe offer attractive yields and/or the potential for capital appreciation.</w:t>
      </w:r>
    </w:p>
    <w:p>
      <w:pPr>
        <w:spacing w:after="0" w:line="174" w:lineRule="exact"/>
        <w:rPr>
          <w:sz w:val="20"/>
          <w:szCs w:val="20"/>
          <w:color w:val="auto"/>
        </w:rPr>
      </w:pPr>
    </w:p>
    <w:p>
      <w:pPr>
        <w:ind w:right="160" w:firstLine="209"/>
        <w:spacing w:after="0" w:line="256" w:lineRule="auto"/>
        <w:rPr>
          <w:sz w:val="20"/>
          <w:szCs w:val="20"/>
          <w:color w:val="auto"/>
        </w:rPr>
      </w:pPr>
      <w:r>
        <w:rPr>
          <w:rFonts w:ascii="Times New Roman" w:cs="Times New Roman" w:eastAsia="Times New Roman" w:hAnsi="Times New Roman"/>
          <w:sz w:val="14"/>
          <w:szCs w:val="14"/>
          <w:color w:val="auto"/>
        </w:rPr>
        <w:t>We expect that the first and second lien loans will generally have stated terms of three to ten years and that the mezzanine debt will generally have stated terms of up to ten years, but that the expected average life of such first and second lien loans and mezzanine debt will generally be between three and seven years. However, there is no limit on the maturity or duration of any security in our portfolio. The debt that we invest in will typically not be rated by any rating agency, but we believe that if such investments were rated, they would be below investment grade (rated lower than “Baa3” by Moody’s or lower than “BBB-” by Standard &amp; Poor’s). In addition, we may invest without limit in debt that has not been rated.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GSC Group</w:t>
      </w:r>
    </w:p>
    <w:p>
      <w:pPr>
        <w:spacing w:after="0" w:line="199" w:lineRule="exact"/>
        <w:rPr>
          <w:sz w:val="20"/>
          <w:szCs w:val="20"/>
          <w:color w:val="auto"/>
        </w:rPr>
      </w:pPr>
    </w:p>
    <w:p>
      <w:pPr>
        <w:ind w:right="360" w:firstLine="209"/>
        <w:spacing w:after="0" w:line="356" w:lineRule="auto"/>
        <w:rPr>
          <w:sz w:val="20"/>
          <w:szCs w:val="20"/>
          <w:color w:val="auto"/>
        </w:rPr>
      </w:pPr>
      <w:r>
        <w:rPr>
          <w:rFonts w:ascii="Times New Roman" w:cs="Times New Roman" w:eastAsia="Times New Roman" w:hAnsi="Times New Roman"/>
          <w:sz w:val="12"/>
          <w:szCs w:val="12"/>
          <w:color w:val="auto"/>
        </w:rPr>
        <w:t>GSCP (NJ), L.P. is an SEC-registered investment adviser with approximately $14.7 billion of assets under management as of June 30, 2006. GSC Group specializes in credit-driven investing including corporate credit, distressed investing and real estate. GSC Group is privately owned and has over 170 employees with headquarters in New Jersey, and offices in New York, London and Los Angeles.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54" w:name="page55"/>
    <w:bookmarkEnd w:id="54"/>
    <w:p>
      <w:pPr>
        <w:ind w:right="180" w:firstLine="209"/>
        <w:spacing w:after="0" w:line="260" w:lineRule="auto"/>
        <w:rPr>
          <w:sz w:val="20"/>
          <w:szCs w:val="20"/>
          <w:color w:val="auto"/>
        </w:rPr>
      </w:pPr>
      <w:r>
        <w:rPr>
          <w:rFonts w:ascii="Times New Roman" w:cs="Times New Roman" w:eastAsia="Times New Roman" w:hAnsi="Times New Roman"/>
          <w:sz w:val="14"/>
          <w:szCs w:val="14"/>
          <w:color w:val="auto"/>
        </w:rPr>
        <w:t>GSC Group was founded in 1999 by Alfred C. Eckert III, its Chairman and Chief Executive Officer. Its senior officers and advisers are in many cases long-time colleagues who have worked together extensively at other institutions, including Goldman, Sachs &amp; Co., Greenwich Street Capital Partners and The Blackstone Group. Through the combined experience of these individuals, GSC Group identifies sectors of the credit markets that it believes to be attractive. GSC Group generally invests its own capital alongside the capital of its clients.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GSC Group is comprised of the following groups: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Corporate Credit Group</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Corporate Credit</w:t>
      </w:r>
    </w:p>
    <w:p>
      <w:pPr>
        <w:spacing w:after="0" w:line="199" w:lineRule="exact"/>
        <w:rPr>
          <w:sz w:val="20"/>
          <w:szCs w:val="20"/>
          <w:color w:val="auto"/>
        </w:rPr>
      </w:pPr>
    </w:p>
    <w:p>
      <w:pPr>
        <w:ind w:right="40" w:firstLine="209"/>
        <w:spacing w:after="0" w:line="270" w:lineRule="auto"/>
        <w:rPr>
          <w:sz w:val="20"/>
          <w:szCs w:val="20"/>
          <w:color w:val="auto"/>
        </w:rPr>
      </w:pPr>
      <w:r>
        <w:rPr>
          <w:rFonts w:ascii="Times New Roman" w:cs="Times New Roman" w:eastAsia="Times New Roman" w:hAnsi="Times New Roman"/>
          <w:sz w:val="14"/>
          <w:szCs w:val="14"/>
          <w:color w:val="auto"/>
        </w:rPr>
        <w:t>The corporate credit group is comprised of 17 investment professionals who manage leveraged loans, high yield bonds, mezzanine debt, and derivative products . This group has grown from $715 million of assets under management in 2000 to $5.7 billion of assets under management, including $1.8 billion of middle market loans, as of June 30, 2006.</w:t>
      </w:r>
    </w:p>
    <w:p>
      <w:pPr>
        <w:spacing w:after="0" w:line="161" w:lineRule="exact"/>
        <w:rPr>
          <w:sz w:val="20"/>
          <w:szCs w:val="20"/>
          <w:color w:val="auto"/>
        </w:rPr>
      </w:pPr>
    </w:p>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The corporate credit group currently manages its assets within collateralized debt obligation funds (CDO funds). These CDOs invest primarily in middle market loans, broadly syndicated U.S. and European loans, high-yield bonds and U.S. mezzanine debt. GSC Group manages these assets within CDO funds to take advantage of the difference between the investment grade borrowing costs of the CDO funds and the higher yielding returns on the underlying investments in corporate debt securities.</w:t>
      </w:r>
    </w:p>
    <w:p>
      <w:pPr>
        <w:spacing w:after="0" w:line="168" w:lineRule="exact"/>
        <w:rPr>
          <w:sz w:val="20"/>
          <w:szCs w:val="20"/>
          <w:color w:val="auto"/>
        </w:rPr>
      </w:pPr>
    </w:p>
    <w:p>
      <w:pPr>
        <w:jc w:val="both"/>
        <w:ind w:right="520" w:firstLine="209"/>
        <w:spacing w:after="0" w:line="260" w:lineRule="auto"/>
        <w:rPr>
          <w:sz w:val="20"/>
          <w:szCs w:val="20"/>
          <w:color w:val="auto"/>
        </w:rPr>
      </w:pPr>
      <w:r>
        <w:rPr>
          <w:rFonts w:ascii="Times New Roman" w:cs="Times New Roman" w:eastAsia="Times New Roman" w:hAnsi="Times New Roman"/>
          <w:sz w:val="14"/>
          <w:szCs w:val="14"/>
          <w:color w:val="auto"/>
        </w:rPr>
        <w:t>GSC Group’s selective investment process is characterized by detailed business and financial analysis with an emphasis on investing in securities which are attractively priced, hold relatively senior positions in the issuer’s capital structure, and have low leverage through the purchased debt tranche. GSC Group seeks to invest in securities issued by industry leaders with sustainable market shares in attractive sectors.</w:t>
      </w:r>
    </w:p>
    <w:p>
      <w:pPr>
        <w:spacing w:after="0" w:line="168" w:lineRule="exact"/>
        <w:rPr>
          <w:sz w:val="20"/>
          <w:szCs w:val="20"/>
          <w:color w:val="auto"/>
        </w:rPr>
      </w:pPr>
    </w:p>
    <w:p>
      <w:pPr>
        <w:ind w:right="200" w:firstLine="209"/>
        <w:spacing w:after="0" w:line="270" w:lineRule="auto"/>
        <w:rPr>
          <w:sz w:val="20"/>
          <w:szCs w:val="20"/>
          <w:color w:val="auto"/>
        </w:rPr>
      </w:pPr>
      <w:r>
        <w:rPr>
          <w:rFonts w:ascii="Times New Roman" w:cs="Times New Roman" w:eastAsia="Times New Roman" w:hAnsi="Times New Roman"/>
          <w:sz w:val="14"/>
          <w:szCs w:val="14"/>
          <w:color w:val="auto"/>
        </w:rPr>
        <w:t>Since 2003, GSC Group has reviewed over 1,570 first lien and 504 second lien loan originations of which it has selected 413 and 67, respectively, to purchase. In addition, since 2003, the corporate credit group has invested in over $5.0 billion of loans and $1.6 billion of high-yield bonds.</w:t>
      </w:r>
    </w:p>
    <w:p>
      <w:pPr>
        <w:spacing w:after="0" w:line="161" w:lineRule="exact"/>
        <w:rPr>
          <w:sz w:val="20"/>
          <w:szCs w:val="20"/>
          <w:color w:val="auto"/>
        </w:rPr>
      </w:pPr>
    </w:p>
    <w:p>
      <w:pPr>
        <w:ind w:right="220" w:firstLine="209"/>
        <w:spacing w:after="0" w:line="270" w:lineRule="auto"/>
        <w:rPr>
          <w:sz w:val="20"/>
          <w:szCs w:val="20"/>
          <w:color w:val="auto"/>
        </w:rPr>
      </w:pPr>
      <w:r>
        <w:rPr>
          <w:rFonts w:ascii="Times New Roman" w:cs="Times New Roman" w:eastAsia="Times New Roman" w:hAnsi="Times New Roman"/>
          <w:sz w:val="14"/>
          <w:szCs w:val="14"/>
          <w:color w:val="auto"/>
        </w:rPr>
        <w:t>The table below represents the purchases by the corporate credit group of first and second lien loans since 2003. We believe that the low buy rates depicted in the tables below suggest that our investment adviser has been very selective in the assets which it has purchased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7283450"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sectPr>
      </w:pPr>
    </w:p>
    <w:p>
      <w:pPr>
        <w:spacing w:after="0" w:line="3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0"/>
          <w:szCs w:val="10"/>
          <w:b w:val="1"/>
          <w:bCs w:val="1"/>
          <w:color w:val="auto"/>
        </w:rPr>
        <w:t>First Lien Loan 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342963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635" cy="635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4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80" w:type="dxa"/>
            <w:vAlign w:val="bottom"/>
          </w:tcPr>
          <w:p>
            <w:pPr>
              <w:spacing w:after="0"/>
              <w:rPr>
                <w:sz w:val="10"/>
                <w:szCs w:val="10"/>
                <w:color w:val="auto"/>
              </w:rPr>
            </w:pPr>
          </w:p>
        </w:tc>
      </w:tr>
      <w:tr>
        <w:trPr>
          <w:trHeight w:val="139"/>
        </w:trPr>
        <w:tc>
          <w:tcPr>
            <w:tcW w:w="160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Reviewed</w:t>
            </w:r>
          </w:p>
        </w:tc>
        <w:tc>
          <w:tcPr>
            <w:tcW w:w="2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Invested</w:t>
            </w:r>
          </w:p>
        </w:tc>
        <w:tc>
          <w:tcPr>
            <w:tcW w:w="68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73"/>
        </w:trPr>
        <w:tc>
          <w:tcPr>
            <w:tcW w:w="16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r>
      <w:tr>
        <w:trPr>
          <w:trHeight w:val="261"/>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2003</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tcPr>
          <w:p>
            <w:pPr>
              <w:spacing w:after="0"/>
              <w:rPr>
                <w:sz w:val="22"/>
                <w:szCs w:val="22"/>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28.2%</w:t>
            </w:r>
          </w:p>
        </w:tc>
      </w:tr>
      <w:tr>
        <w:trPr>
          <w:trHeight w:val="18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2004</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114</w:t>
            </w: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25.7%</w:t>
            </w:r>
          </w:p>
        </w:tc>
      </w:tr>
      <w:tr>
        <w:trPr>
          <w:trHeight w:val="18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2005</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4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26.8%</w:t>
            </w:r>
          </w:p>
        </w:tc>
      </w:tr>
      <w:tr>
        <w:trPr>
          <w:trHeight w:val="18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As of 6/30/06 .</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25.3%</w:t>
            </w:r>
          </w:p>
        </w:tc>
      </w:tr>
      <w:tr>
        <w:trPr>
          <w:trHeight w:val="86"/>
        </w:trPr>
        <w:tc>
          <w:tcPr>
            <w:tcW w:w="1600" w:type="dxa"/>
            <w:vAlign w:val="bottom"/>
          </w:tcPr>
          <w:p>
            <w:pPr>
              <w:spacing w:after="0"/>
              <w:rPr>
                <w:sz w:val="7"/>
                <w:szCs w:val="7"/>
                <w:color w:val="auto"/>
              </w:rPr>
            </w:pPr>
          </w:p>
        </w:tc>
        <w:tc>
          <w:tcPr>
            <w:tcW w:w="1280" w:type="dxa"/>
            <w:vAlign w:val="bottom"/>
            <w:gridSpan w:val="2"/>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r>
      <w:tr>
        <w:trPr>
          <w:trHeight w:val="261"/>
        </w:trPr>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413</w:t>
            </w:r>
          </w:p>
        </w:tc>
        <w:tc>
          <w:tcPr>
            <w:tcW w:w="240" w:type="dxa"/>
            <w:vAlign w:val="bottom"/>
          </w:tcPr>
          <w:p>
            <w:pPr>
              <w:spacing w:after="0"/>
              <w:rPr>
                <w:sz w:val="22"/>
                <w:szCs w:val="22"/>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26.3%</w:t>
            </w:r>
          </w:p>
        </w:tc>
      </w:tr>
      <w:tr>
        <w:trPr>
          <w:trHeight w:val="91"/>
        </w:trPr>
        <w:tc>
          <w:tcPr>
            <w:tcW w:w="1600" w:type="dxa"/>
            <w:vAlign w:val="bottom"/>
            <w:tcBorders>
              <w:bottom w:val="single" w:sz="8" w:color="808080"/>
            </w:tcBorders>
          </w:tcPr>
          <w:p>
            <w:pPr>
              <w:spacing w:after="0"/>
              <w:rPr>
                <w:sz w:val="7"/>
                <w:szCs w:val="7"/>
                <w:color w:val="auto"/>
              </w:rPr>
            </w:pPr>
          </w:p>
        </w:tc>
        <w:tc>
          <w:tcPr>
            <w:tcW w:w="3120" w:type="dxa"/>
            <w:vAlign w:val="bottom"/>
            <w:tcBorders>
              <w:bottom w:val="single" w:sz="8" w:color="808080"/>
            </w:tcBorders>
            <w:gridSpan w:val="6"/>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r>
      <w:tr>
        <w:trPr>
          <w:trHeight w:val="357"/>
        </w:trPr>
        <w:tc>
          <w:tcPr>
            <w:tcW w:w="160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gridSpan w:val="6"/>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r>
        <w:trPr>
          <w:trHeight w:val="257"/>
        </w:trPr>
        <w:tc>
          <w:tcPr>
            <w:tcW w:w="1600" w:type="dxa"/>
            <w:vAlign w:val="bottom"/>
          </w:tcPr>
          <w:p>
            <w:pPr>
              <w:spacing w:after="0"/>
              <w:rPr>
                <w:sz w:val="22"/>
                <w:szCs w:val="22"/>
                <w:color w:val="auto"/>
              </w:rPr>
            </w:pPr>
          </w:p>
        </w:tc>
        <w:tc>
          <w:tcPr>
            <w:tcW w:w="3120" w:type="dxa"/>
            <w:vAlign w:val="bottom"/>
            <w:gridSpan w:val="6"/>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First Lien Middle Market Loan Origination Activity</w:t>
            </w:r>
          </w:p>
        </w:tc>
        <w:tc>
          <w:tcPr>
            <w:tcW w:w="680" w:type="dxa"/>
            <w:vAlign w:val="bottom"/>
          </w:tcPr>
          <w:p>
            <w:pPr>
              <w:spacing w:after="0"/>
              <w:rPr>
                <w:sz w:val="22"/>
                <w:szCs w:val="22"/>
                <w:color w:val="auto"/>
              </w:rPr>
            </w:pPr>
          </w:p>
        </w:tc>
      </w:tr>
      <w:tr>
        <w:trPr>
          <w:trHeight w:val="94"/>
        </w:trPr>
        <w:tc>
          <w:tcPr>
            <w:tcW w:w="16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74"/>
        </w:trPr>
        <w:tc>
          <w:tcPr>
            <w:tcW w:w="1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40" w:type="dxa"/>
            <w:vAlign w:val="bottom"/>
          </w:tcPr>
          <w:p>
            <w:pPr>
              <w:spacing w:after="0"/>
              <w:rPr>
                <w:sz w:val="23"/>
                <w:szCs w:val="2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80" w:type="dxa"/>
            <w:vAlign w:val="bottom"/>
          </w:tcPr>
          <w:p>
            <w:pPr>
              <w:spacing w:after="0"/>
              <w:rPr>
                <w:sz w:val="23"/>
                <w:szCs w:val="23"/>
                <w:color w:val="auto"/>
              </w:rPr>
            </w:pPr>
          </w:p>
        </w:tc>
      </w:tr>
      <w:tr>
        <w:trPr>
          <w:trHeight w:val="188"/>
        </w:trPr>
        <w:tc>
          <w:tcPr>
            <w:tcW w:w="160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Reviewed</w:t>
            </w:r>
          </w:p>
        </w:tc>
        <w:tc>
          <w:tcPr>
            <w:tcW w:w="2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Invested</w:t>
            </w:r>
          </w:p>
        </w:tc>
        <w:tc>
          <w:tcPr>
            <w:tcW w:w="68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73"/>
        </w:trPr>
        <w:tc>
          <w:tcPr>
            <w:tcW w:w="16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r>
      <w:tr>
        <w:trPr>
          <w:trHeight w:val="261"/>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2003</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22"/>
                <w:szCs w:val="22"/>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24.6%</w:t>
            </w:r>
          </w:p>
        </w:tc>
      </w:tr>
      <w:tr>
        <w:trPr>
          <w:trHeight w:val="18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2004</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29.0%</w:t>
            </w:r>
          </w:p>
        </w:tc>
      </w:tr>
      <w:tr>
        <w:trPr>
          <w:trHeight w:val="18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2005</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111</w:t>
            </w: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w:t>
            </w:r>
          </w:p>
        </w:tc>
      </w:tr>
      <w:tr>
        <w:trPr>
          <w:trHeight w:val="18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As of 6/30/06 .</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-1363980</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-1363980</wp:posOffset>
            </wp:positionV>
            <wp:extent cx="190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-1363980</wp:posOffset>
            </wp:positionV>
            <wp:extent cx="1905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-1363980</wp:posOffset>
            </wp:positionV>
            <wp:extent cx="1905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2398395</wp:posOffset>
            </wp:positionH>
            <wp:positionV relativeFrom="paragraph">
              <wp:posOffset>-1363980</wp:posOffset>
            </wp:positionV>
            <wp:extent cx="1905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-1363980</wp:posOffset>
            </wp:positionV>
            <wp:extent cx="1905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-1363980</wp:posOffset>
            </wp:positionV>
            <wp:extent cx="1905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-1363980</wp:posOffset>
            </wp:positionV>
            <wp:extent cx="1905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3422015</wp:posOffset>
            </wp:positionH>
            <wp:positionV relativeFrom="paragraph">
              <wp:posOffset>-1363980</wp:posOffset>
            </wp:positionV>
            <wp:extent cx="127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3422015</wp:posOffset>
            </wp:positionH>
            <wp:positionV relativeFrom="paragraph">
              <wp:posOffset>-1124585</wp:posOffset>
            </wp:positionV>
            <wp:extent cx="127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-1124585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54610</wp:posOffset>
            </wp:positionV>
            <wp:extent cx="160845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0845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0"/>
          <w:szCs w:val="10"/>
          <w:b w:val="1"/>
          <w:bCs w:val="1"/>
          <w:color w:val="auto"/>
        </w:rPr>
        <w:t>Second Lien Loan 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340931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09315" cy="635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560" w:type="dxa"/>
            <w:vAlign w:val="bottom"/>
          </w:tcPr>
          <w:p>
            <w:pPr>
              <w:jc w:val="center"/>
              <w:ind w:right="7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9"/>
        </w:trPr>
        <w:tc>
          <w:tcPr>
            <w:tcW w:w="1440" w:type="dxa"/>
            <w:vAlign w:val="bottom"/>
          </w:tcPr>
          <w:p>
            <w:pPr>
              <w:ind w:left="120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Reviewed</w:t>
            </w:r>
          </w:p>
        </w:tc>
        <w:tc>
          <w:tcPr>
            <w:tcW w:w="560" w:type="dxa"/>
            <w:vAlign w:val="bottom"/>
          </w:tcPr>
          <w:p>
            <w:pPr>
              <w:jc w:val="center"/>
              <w:ind w:right="77"/>
              <w:spacing w:after="0"/>
              <w:rPr>
                <w:sz w:val="20"/>
                <w:szCs w:val="20"/>
                <w:color w:val="auto"/>
              </w:rPr>
            </w:pPr>
            <w:r>
              <w:rPr>
                <w:rFonts w:ascii="Times New Roman" w:cs="Times New Roman" w:eastAsia="Times New Roman" w:hAnsi="Times New Roman"/>
                <w:sz w:val="10"/>
                <w:szCs w:val="10"/>
                <w:b w:val="1"/>
                <w:bCs w:val="1"/>
                <w:color w:val="auto"/>
              </w:rPr>
              <w:t>Invested</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73"/>
        </w:trPr>
        <w:tc>
          <w:tcPr>
            <w:tcW w:w="144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r>
      <w:tr>
        <w:trPr>
          <w:trHeight w:val="26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2003</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18.4%</w:t>
            </w:r>
          </w:p>
        </w:tc>
      </w:tr>
      <w:tr>
        <w:trPr>
          <w:trHeight w:val="188"/>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2004</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w:t>
            </w:r>
          </w:p>
        </w:tc>
      </w:tr>
      <w:tr>
        <w:trPr>
          <w:trHeight w:val="188"/>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2005</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w:t>
            </w:r>
          </w:p>
        </w:tc>
      </w:tr>
      <w:tr>
        <w:trPr>
          <w:trHeight w:val="188"/>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As of 6/30/06.</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19.0%</w:t>
            </w:r>
          </w:p>
        </w:tc>
      </w:tr>
      <w:tr>
        <w:trPr>
          <w:trHeight w:val="86"/>
        </w:trPr>
        <w:tc>
          <w:tcPr>
            <w:tcW w:w="1440" w:type="dxa"/>
            <w:vAlign w:val="bottom"/>
          </w:tcPr>
          <w:p>
            <w:pPr>
              <w:spacing w:after="0"/>
              <w:rPr>
                <w:sz w:val="7"/>
                <w:szCs w:val="7"/>
                <w:color w:val="auto"/>
              </w:rPr>
            </w:pPr>
          </w:p>
        </w:tc>
        <w:tc>
          <w:tcPr>
            <w:tcW w:w="1420" w:type="dxa"/>
            <w:vAlign w:val="bottom"/>
            <w:gridSpan w:val="2"/>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r>
      <w:tr>
        <w:trPr>
          <w:trHeight w:val="261"/>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13.3%</w:t>
            </w:r>
          </w:p>
        </w:tc>
      </w:tr>
      <w:tr>
        <w:trPr>
          <w:trHeight w:val="91"/>
        </w:trPr>
        <w:tc>
          <w:tcPr>
            <w:tcW w:w="1440" w:type="dxa"/>
            <w:vAlign w:val="bottom"/>
            <w:tcBorders>
              <w:bottom w:val="single" w:sz="8" w:color="808080"/>
            </w:tcBorders>
          </w:tcPr>
          <w:p>
            <w:pPr>
              <w:spacing w:after="0"/>
              <w:rPr>
                <w:sz w:val="7"/>
                <w:szCs w:val="7"/>
                <w:color w:val="auto"/>
              </w:rPr>
            </w:pPr>
          </w:p>
        </w:tc>
        <w:tc>
          <w:tcPr>
            <w:tcW w:w="2480" w:type="dxa"/>
            <w:vAlign w:val="bottom"/>
            <w:tcBorders>
              <w:bottom w:val="single" w:sz="8" w:color="808080"/>
            </w:tcBorders>
            <w:gridSpan w:val="5"/>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r>
      <w:tr>
        <w:trPr>
          <w:trHeight w:val="357"/>
        </w:trPr>
        <w:tc>
          <w:tcPr>
            <w:tcW w:w="144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gridSpan w:val="5"/>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r>
        <w:trPr>
          <w:trHeight w:val="278"/>
        </w:trPr>
        <w:tc>
          <w:tcPr>
            <w:tcW w:w="1440" w:type="dxa"/>
            <w:vAlign w:val="bottom"/>
          </w:tcPr>
          <w:p>
            <w:pPr>
              <w:spacing w:after="0"/>
              <w:rPr>
                <w:sz w:val="24"/>
                <w:szCs w:val="24"/>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Middle Market Loan Origination Activity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3"/>
        </w:trPr>
        <w:tc>
          <w:tcPr>
            <w:tcW w:w="144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gridSpan w:val="3"/>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r>
      <w:tr>
        <w:trPr>
          <w:trHeight w:val="274"/>
        </w:trPr>
        <w:tc>
          <w:tcPr>
            <w:tcW w:w="1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560" w:type="dxa"/>
            <w:vAlign w:val="bottom"/>
          </w:tcPr>
          <w:p>
            <w:pPr>
              <w:jc w:val="center"/>
              <w:ind w:right="7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188"/>
        </w:trPr>
        <w:tc>
          <w:tcPr>
            <w:tcW w:w="1440" w:type="dxa"/>
            <w:vAlign w:val="bottom"/>
          </w:tcPr>
          <w:p>
            <w:pPr>
              <w:ind w:left="120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Reviewed</w:t>
            </w:r>
          </w:p>
        </w:tc>
        <w:tc>
          <w:tcPr>
            <w:tcW w:w="560" w:type="dxa"/>
            <w:vAlign w:val="bottom"/>
          </w:tcPr>
          <w:p>
            <w:pPr>
              <w:jc w:val="center"/>
              <w:ind w:right="77"/>
              <w:spacing w:after="0"/>
              <w:rPr>
                <w:sz w:val="20"/>
                <w:szCs w:val="20"/>
                <w:color w:val="auto"/>
              </w:rPr>
            </w:pPr>
            <w:r>
              <w:rPr>
                <w:rFonts w:ascii="Times New Roman" w:cs="Times New Roman" w:eastAsia="Times New Roman" w:hAnsi="Times New Roman"/>
                <w:sz w:val="10"/>
                <w:szCs w:val="10"/>
                <w:b w:val="1"/>
                <w:bCs w:val="1"/>
                <w:color w:val="auto"/>
              </w:rPr>
              <w:t>Invested</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73"/>
        </w:trPr>
        <w:tc>
          <w:tcPr>
            <w:tcW w:w="144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r>
      <w:tr>
        <w:trPr>
          <w:trHeight w:val="26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2003</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28.6%</w:t>
            </w:r>
          </w:p>
        </w:tc>
      </w:tr>
      <w:tr>
        <w:trPr>
          <w:trHeight w:val="188"/>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2004</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21.3%</w:t>
            </w:r>
          </w:p>
        </w:tc>
      </w:tr>
      <w:tr>
        <w:trPr>
          <w:trHeight w:val="188"/>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2005</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w:t>
            </w:r>
          </w:p>
        </w:tc>
      </w:tr>
      <w:tr>
        <w:trPr>
          <w:trHeight w:val="188"/>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As of 6/30/06.</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-1363980</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-1363980</wp:posOffset>
            </wp:positionV>
            <wp:extent cx="190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1808480</wp:posOffset>
            </wp:positionH>
            <wp:positionV relativeFrom="paragraph">
              <wp:posOffset>-1363980</wp:posOffset>
            </wp:positionV>
            <wp:extent cx="1905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-1363980</wp:posOffset>
            </wp:positionV>
            <wp:extent cx="190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-1363980</wp:posOffset>
            </wp:positionV>
            <wp:extent cx="1905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-1363980</wp:posOffset>
            </wp:positionV>
            <wp:extent cx="1905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-1363980</wp:posOffset>
            </wp:positionV>
            <wp:extent cx="1905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-1363980</wp:posOffset>
            </wp:positionV>
            <wp:extent cx="1905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-1363980</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-1124585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-1124585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54610</wp:posOffset>
            </wp:positionV>
            <wp:extent cx="158813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88135" cy="635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400" w:space="700"/>
            <w:col w:w="5360"/>
          </w:cols>
          <w:pgMar w:left="220" w:top="695" w:right="219" w:bottom="1440" w:gutter="0" w:footer="0" w:header="0"/>
          <w:type w:val="continuous"/>
        </w:sectPr>
      </w:pPr>
    </w:p>
    <w:p>
      <w:pPr>
        <w:spacing w:after="0"/>
        <w:tabs>
          <w:tab w:leader="none" w:pos="3340" w:val="left"/>
          <w:tab w:leader="none" w:pos="4260" w:val="left"/>
          <w:tab w:leader="none" w:pos="4920" w:val="left"/>
          <w:tab w:leader="none" w:pos="6080" w:val="left"/>
          <w:tab w:leader="none" w:pos="9420" w:val="left"/>
          <w:tab w:leader="none" w:pos="10420" w:val="left"/>
          <w:tab w:leader="none" w:pos="10980" w:val="left"/>
        </w:tabs>
        <w:rPr>
          <w:sz w:val="20"/>
          <w:szCs w:val="20"/>
          <w:color w:val="auto"/>
        </w:rPr>
      </w:pPr>
      <w:r>
        <w:rPr>
          <w:rFonts w:ascii="Times New Roman" w:cs="Times New Roman" w:eastAsia="Times New Roman" w:hAnsi="Times New Roman"/>
          <w:sz w:val="14"/>
          <w:szCs w:val="14"/>
          <w:b w:val="1"/>
          <w:bCs w:val="1"/>
          <w:color w:val="auto"/>
        </w:rPr>
        <w:t>Total</w:t>
      </w:r>
      <w:r>
        <w:rPr>
          <w:sz w:val="20"/>
          <w:szCs w:val="20"/>
          <w:color w:val="auto"/>
        </w:rPr>
        <w:tab/>
      </w:r>
      <w:r>
        <w:rPr>
          <w:rFonts w:ascii="Times New Roman" w:cs="Times New Roman" w:eastAsia="Times New Roman" w:hAnsi="Times New Roman"/>
          <w:sz w:val="14"/>
          <w:szCs w:val="14"/>
          <w:b w:val="1"/>
          <w:bCs w:val="1"/>
          <w:color w:val="auto"/>
        </w:rPr>
        <w:t>787</w:t>
      </w:r>
      <w:r>
        <w:rPr>
          <w:sz w:val="20"/>
          <w:szCs w:val="20"/>
          <w:color w:val="auto"/>
        </w:rPr>
        <w:tab/>
      </w:r>
      <w:r>
        <w:rPr>
          <w:rFonts w:ascii="Times New Roman" w:cs="Times New Roman" w:eastAsia="Times New Roman" w:hAnsi="Times New Roman"/>
          <w:sz w:val="14"/>
          <w:szCs w:val="14"/>
          <w:b w:val="1"/>
          <w:bCs w:val="1"/>
          <w:color w:val="auto"/>
        </w:rPr>
        <w:t>232</w:t>
      </w:r>
      <w:r>
        <w:rPr>
          <w:sz w:val="20"/>
          <w:szCs w:val="20"/>
          <w:color w:val="auto"/>
        </w:rPr>
        <w:tab/>
      </w:r>
      <w:r>
        <w:rPr>
          <w:rFonts w:ascii="Times New Roman" w:cs="Times New Roman" w:eastAsia="Times New Roman" w:hAnsi="Times New Roman"/>
          <w:sz w:val="14"/>
          <w:szCs w:val="14"/>
          <w:b w:val="1"/>
          <w:bCs w:val="1"/>
          <w:color w:val="auto"/>
        </w:rPr>
        <w:t>29.5%</w:t>
      </w:r>
      <w:r>
        <w:rPr>
          <w:sz w:val="20"/>
          <w:szCs w:val="20"/>
          <w:color w:val="auto"/>
        </w:rPr>
        <w:tab/>
      </w:r>
      <w:r>
        <w:rPr>
          <w:rFonts w:ascii="Times New Roman" w:cs="Times New Roman" w:eastAsia="Times New Roman" w:hAnsi="Times New Roman"/>
          <w:sz w:val="14"/>
          <w:szCs w:val="14"/>
          <w:b w:val="1"/>
          <w:bCs w:val="1"/>
          <w:color w:val="auto"/>
        </w:rPr>
        <w:t>Total</w:t>
      </w:r>
      <w:r>
        <w:rPr>
          <w:sz w:val="20"/>
          <w:szCs w:val="20"/>
          <w:color w:val="auto"/>
        </w:rPr>
        <w:tab/>
      </w:r>
      <w:r>
        <w:rPr>
          <w:rFonts w:ascii="Times New Roman" w:cs="Times New Roman" w:eastAsia="Times New Roman" w:hAnsi="Times New Roman"/>
          <w:sz w:val="14"/>
          <w:szCs w:val="14"/>
          <w:b w:val="1"/>
          <w:bCs w:val="1"/>
          <w:color w:val="auto"/>
        </w:rPr>
        <w:t>307</w:t>
      </w:r>
      <w:r>
        <w:rPr>
          <w:sz w:val="20"/>
          <w:szCs w:val="20"/>
          <w:color w:val="auto"/>
        </w:rPr>
        <w:tab/>
      </w:r>
      <w:r>
        <w:rPr>
          <w:rFonts w:ascii="Times New Roman" w:cs="Times New Roman" w:eastAsia="Times New Roman" w:hAnsi="Times New Roman"/>
          <w:sz w:val="14"/>
          <w:szCs w:val="14"/>
          <w:b w:val="1"/>
          <w:bCs w:val="1"/>
          <w:color w:val="auto"/>
        </w:rPr>
        <w:t>46</w:t>
      </w:r>
      <w:r>
        <w:rPr>
          <w:sz w:val="20"/>
          <w:szCs w:val="20"/>
          <w:color w:val="auto"/>
        </w:rPr>
        <w:tab/>
      </w:r>
      <w:r>
        <w:rPr>
          <w:rFonts w:ascii="Times New Roman" w:cs="Times New Roman" w:eastAsia="Times New Roman" w:hAnsi="Times New Roman"/>
          <w:sz w:val="12"/>
          <w:szCs w:val="12"/>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83450"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3450" cy="1905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type w:val="continuous"/>
        </w:sectPr>
      </w:pPr>
    </w:p>
    <w:bookmarkStart w:id="55" w:name="page56"/>
    <w:bookmarkEnd w:id="55"/>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Mezzanine Lending</w:t>
      </w:r>
    </w:p>
    <w:p>
      <w:pPr>
        <w:spacing w:after="0" w:line="19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GSC Group’s mezzanine group provides mezzanine lending in the form of subordinated debt and preferred equity to support financial sponsors, corporations and others seeking to finance leveraged buyouts, strategic acquisitions, growth strategies or recapitalizations in Western Europe. This group, which includes 12 investment professionals, manages two funds with over $1.3 billion of assets as of June 30, 2006. GSC European Mezzanine Fund I, which closed in July 2000, has made 45 investments across 14 jurisdictions, 17 industries and 26 sponsors. GSC European Mezzanine Fund II had its first close in April 2005 and had its final close in April 2006. This fund has made six investments as of June 30, 2006.</w:t>
      </w:r>
    </w:p>
    <w:p>
      <w:pPr>
        <w:spacing w:after="0" w:line="171" w:lineRule="exact"/>
        <w:rPr>
          <w:sz w:val="20"/>
          <w:szCs w:val="20"/>
          <w:color w:val="auto"/>
        </w:rPr>
      </w:pPr>
    </w:p>
    <w:p>
      <w:pPr>
        <w:ind w:right="280" w:firstLine="209"/>
        <w:spacing w:after="0" w:line="270" w:lineRule="auto"/>
        <w:rPr>
          <w:sz w:val="20"/>
          <w:szCs w:val="20"/>
          <w:color w:val="auto"/>
        </w:rPr>
      </w:pPr>
      <w:r>
        <w:rPr>
          <w:rFonts w:ascii="Times New Roman" w:cs="Times New Roman" w:eastAsia="Times New Roman" w:hAnsi="Times New Roman"/>
          <w:sz w:val="14"/>
          <w:szCs w:val="14"/>
          <w:color w:val="auto"/>
        </w:rPr>
        <w:t>Due to the significant increase in capital committed to private equity, the resulting growth of sponsored buyouts in Western Europe, and the lack of a fully developed high-yield bond market, mezzanine funds have become an attractive source of capital for corporate acquisitions and restructurings in Western Europe.</w:t>
      </w:r>
    </w:p>
    <w:p>
      <w:pPr>
        <w:spacing w:after="0" w:line="136" w:lineRule="exact"/>
        <w:rPr>
          <w:sz w:val="20"/>
          <w:szCs w:val="20"/>
          <w:color w:val="auto"/>
        </w:rPr>
      </w:pPr>
    </w:p>
    <w:p>
      <w:pPr>
        <w:jc w:val="center"/>
        <w:ind w:right="9860"/>
        <w:spacing w:after="0"/>
        <w:rPr>
          <w:sz w:val="20"/>
          <w:szCs w:val="20"/>
          <w:color w:val="auto"/>
        </w:rPr>
      </w:pPr>
      <w:r>
        <w:rPr>
          <w:rFonts w:ascii="Times New Roman" w:cs="Times New Roman" w:eastAsia="Times New Roman" w:hAnsi="Times New Roman"/>
          <w:sz w:val="12"/>
          <w:szCs w:val="12"/>
          <w:b w:val="1"/>
          <w:bCs w:val="1"/>
          <w:u w:val="single" w:color="auto"/>
          <w:color w:val="auto"/>
        </w:rPr>
        <w:t>Distressed Investing Group</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Control Distressed Debt</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GSC Group’s distressed investing group is comprised of 20 investment professionals who manage three control distressed debt funds and a credit strategies hedge fund.</w:t>
      </w:r>
    </w:p>
    <w:p>
      <w:pPr>
        <w:spacing w:after="0" w:line="195" w:lineRule="exact"/>
        <w:rPr>
          <w:sz w:val="20"/>
          <w:szCs w:val="20"/>
          <w:color w:val="auto"/>
        </w:rPr>
      </w:pPr>
    </w:p>
    <w:p>
      <w:pPr>
        <w:ind w:right="40" w:firstLine="209"/>
        <w:spacing w:after="0" w:line="256" w:lineRule="auto"/>
        <w:rPr>
          <w:sz w:val="20"/>
          <w:szCs w:val="20"/>
          <w:color w:val="auto"/>
        </w:rPr>
      </w:pPr>
      <w:r>
        <w:rPr>
          <w:rFonts w:ascii="Times New Roman" w:cs="Times New Roman" w:eastAsia="Times New Roman" w:hAnsi="Times New Roman"/>
          <w:sz w:val="14"/>
          <w:szCs w:val="14"/>
          <w:color w:val="auto"/>
        </w:rPr>
        <w:t>GSC Group’s control distressed debt investment strategy targets companies which GSC Group believes are operationally sound, but are overburdened with high levels of debt. This group is comprised of 17 investment professionals and manages approximately $1.0 billion of assets as of June 30, 2006. GSC Group seeks to restore the companies’ balance sheets to health through bankruptcy or consensual financial restructuring. The acquired debt securities often are converted into new “restructured” equity at a cost basis that GSC Group believes represents attractive acquisition valuations. Post restructuring, GSC Group seeks to further enhance value through direct investment and strategic and financial value optimization initiatives.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Credit Strategies Hedge Fund</w:t>
      </w:r>
    </w:p>
    <w:p>
      <w:pPr>
        <w:spacing w:after="0" w:line="199" w:lineRule="exact"/>
        <w:rPr>
          <w:sz w:val="20"/>
          <w:szCs w:val="20"/>
          <w:color w:val="auto"/>
        </w:rPr>
      </w:pPr>
    </w:p>
    <w:p>
      <w:pPr>
        <w:ind w:right="560" w:firstLine="209"/>
        <w:spacing w:after="0" w:line="270" w:lineRule="auto"/>
        <w:rPr>
          <w:sz w:val="20"/>
          <w:szCs w:val="20"/>
          <w:color w:val="auto"/>
        </w:rPr>
      </w:pPr>
      <w:r>
        <w:rPr>
          <w:rFonts w:ascii="Times New Roman" w:cs="Times New Roman" w:eastAsia="Times New Roman" w:hAnsi="Times New Roman"/>
          <w:sz w:val="14"/>
          <w:szCs w:val="14"/>
          <w:color w:val="auto"/>
        </w:rPr>
        <w:t>GSC Group’s credit strategies hedge fund invests in distressed, stressed, capital arbitrage, industry arbitrage, and quality assets. The fund utilizes GSC Group’s investment platform to capitalize on opportunities within and beyond GSC Group’s investment mandates. The fund manages approximately $80 million as of September 30, 2006.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Real Estate Group</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GSC Group’s real estate group consists of the structured finance group and GSC Group’s real estate investment trust (REIT).</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Structured Finance Group</w:t>
      </w:r>
    </w:p>
    <w:p>
      <w:pPr>
        <w:spacing w:after="0" w:line="199" w:lineRule="exact"/>
        <w:rPr>
          <w:sz w:val="20"/>
          <w:szCs w:val="20"/>
          <w:color w:val="auto"/>
        </w:rPr>
      </w:pPr>
    </w:p>
    <w:p>
      <w:pPr>
        <w:ind w:right="240" w:firstLine="209"/>
        <w:spacing w:after="0" w:line="256" w:lineRule="auto"/>
        <w:rPr>
          <w:sz w:val="20"/>
          <w:szCs w:val="20"/>
          <w:color w:val="auto"/>
        </w:rPr>
      </w:pPr>
      <w:r>
        <w:rPr>
          <w:rFonts w:ascii="Times New Roman" w:cs="Times New Roman" w:eastAsia="Times New Roman" w:hAnsi="Times New Roman"/>
          <w:sz w:val="14"/>
          <w:szCs w:val="14"/>
          <w:color w:val="auto"/>
        </w:rPr>
        <w:t>GSC Group’s structured finance group invests in a full range of asset-backed securities (“ABS”), commercial mortgage-backed securities (“CMBS”) and mortgage-backed securities (“MBS”), offering funds, CDOs and separate accounts tailored to the risk preferences of its investors. This group, which includes 11 investment professionals, manages approximately $6.7 billion of assets as of June 30, 2006. GSC Group believes its competitive advantage is derived from its credit selection capability, through due diligence and extensive knowledge of CDO structures. GSC Group’s hedged strategies focus on investments in CDO equity, using carefully targeted short positions to reduce undesirable risk exposures.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Real Estate Investment Trust (REIT)</w:t>
      </w:r>
    </w:p>
    <w:p>
      <w:pPr>
        <w:spacing w:after="0" w:line="199" w:lineRule="exact"/>
        <w:rPr>
          <w:sz w:val="20"/>
          <w:szCs w:val="20"/>
          <w:color w:val="auto"/>
        </w:rPr>
      </w:pPr>
    </w:p>
    <w:p>
      <w:pPr>
        <w:ind w:right="240" w:firstLine="209"/>
        <w:spacing w:after="0" w:line="270" w:lineRule="auto"/>
        <w:rPr>
          <w:sz w:val="20"/>
          <w:szCs w:val="20"/>
          <w:color w:val="auto"/>
        </w:rPr>
      </w:pPr>
      <w:r>
        <w:rPr>
          <w:rFonts w:ascii="Times New Roman" w:cs="Times New Roman" w:eastAsia="Times New Roman" w:hAnsi="Times New Roman"/>
          <w:sz w:val="14"/>
          <w:szCs w:val="14"/>
          <w:color w:val="auto"/>
        </w:rPr>
        <w:t>GSC Group sponsors an externally managed REIT called GSC Capital Corp. GSC Capital Corp. invests a substantial majority of its portfolio in real estate related investments. Other investments include bank loans, ABS and leverage finance instruments.</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Our investment adviser</w:t>
      </w:r>
    </w:p>
    <w:p>
      <w:pPr>
        <w:spacing w:after="0" w:line="199" w:lineRule="exact"/>
        <w:rPr>
          <w:sz w:val="20"/>
          <w:szCs w:val="20"/>
          <w:color w:val="auto"/>
        </w:rPr>
      </w:pPr>
    </w:p>
    <w:p>
      <w:pPr>
        <w:ind w:firstLine="209"/>
        <w:spacing w:after="0" w:line="323" w:lineRule="auto"/>
        <w:rPr>
          <w:sz w:val="20"/>
          <w:szCs w:val="20"/>
          <w:color w:val="auto"/>
        </w:rPr>
      </w:pPr>
      <w:r>
        <w:rPr>
          <w:rFonts w:ascii="Times New Roman" w:cs="Times New Roman" w:eastAsia="Times New Roman" w:hAnsi="Times New Roman"/>
          <w:sz w:val="12"/>
          <w:szCs w:val="12"/>
          <w:color w:val="auto"/>
        </w:rPr>
        <w:t>We will be externally managed and advised by our investment adviser, GSCP (NJ), L.P., an SEC- registered investment adviser. Under our investment advisory and management agreement, we have agreed to pay our investment adviser an annual base management fee based on our total assets, as defined under the 1940 Act (other than cash and cash equivalents but including assets purchased with borrowed funds), and an incentive fee based on our performance. See “Management—Investment advisory and management agreement.” Our investment adviser, together with certain affiliates, does business as GSC Group.</w:t>
      </w:r>
    </w:p>
    <w:p>
      <w:pPr>
        <w:spacing w:after="0" w:line="134" w:lineRule="exact"/>
        <w:rPr>
          <w:sz w:val="20"/>
          <w:szCs w:val="20"/>
          <w:color w:val="auto"/>
        </w:rPr>
      </w:pPr>
    </w:p>
    <w:p>
      <w:pPr>
        <w:ind w:right="100" w:firstLine="209"/>
        <w:spacing w:after="0" w:line="304" w:lineRule="auto"/>
        <w:rPr>
          <w:sz w:val="20"/>
          <w:szCs w:val="20"/>
          <w:color w:val="auto"/>
        </w:rPr>
      </w:pPr>
      <w:r>
        <w:rPr>
          <w:rFonts w:ascii="Times New Roman" w:cs="Times New Roman" w:eastAsia="Times New Roman" w:hAnsi="Times New Roman"/>
          <w:sz w:val="12"/>
          <w:szCs w:val="12"/>
          <w:color w:val="auto"/>
        </w:rPr>
        <w:t>Our investment adviser is responsible for administering our business activities and day-to-day operations and will use the resources of GSC Group to support our operations. GSC Group has well-respected and established portfolio management resources and operational expertise across all of our targeted asset classes and a mature infrastructure supporting those resources. We believe that our investment adviser will be able to leverage GSC Group’s current investment platform, resources and existing relationships with financial institutions, financial sponsors, hedge funds and other investment firms to provide us with attractive investments. In addition to deal flow, we expect that the GSC Group investment platform will assist our investment adviser in analyzing and monitoring investments. In particular, these resources provide us with a wide variety of investment opportunities and access to information that assists us in making investment decisions across our targeted asset classes, which we believe provide us with a competitive advantage. GSC Group has substantial experience in investing in senior loans, high-yield bonds and mezzanine debt. In addition to having access to approximately 70 investment professionals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91" w:right="239" w:bottom="1440" w:gutter="0" w:footer="0" w:header="0"/>
        </w:sectPr>
      </w:pPr>
    </w:p>
    <w:bookmarkStart w:id="56" w:name="page57"/>
    <w:bookmarkEnd w:id="56"/>
    <w:p>
      <w:pPr>
        <w:ind w:right="260"/>
        <w:spacing w:after="0" w:line="270" w:lineRule="auto"/>
        <w:rPr>
          <w:sz w:val="20"/>
          <w:szCs w:val="20"/>
          <w:color w:val="auto"/>
        </w:rPr>
      </w:pPr>
      <w:r>
        <w:rPr>
          <w:rFonts w:ascii="Times New Roman" w:cs="Times New Roman" w:eastAsia="Times New Roman" w:hAnsi="Times New Roman"/>
          <w:sz w:val="14"/>
          <w:szCs w:val="14"/>
          <w:color w:val="auto"/>
        </w:rPr>
        <w:t>employed by GSC Group, we will also have access to approximately 100 administrative professionals employed by GSC Group who will provide assistance in accounting, legal and compliance matters and investor relations.</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Our relationship with our investment adviser and GSC Group</w:t>
      </w:r>
    </w:p>
    <w:p>
      <w:pPr>
        <w:spacing w:after="0" w:line="199" w:lineRule="exact"/>
        <w:rPr>
          <w:sz w:val="20"/>
          <w:szCs w:val="20"/>
          <w:color w:val="auto"/>
        </w:rPr>
      </w:pPr>
    </w:p>
    <w:p>
      <w:pPr>
        <w:jc w:val="both"/>
        <w:ind w:firstLine="209"/>
        <w:spacing w:after="0" w:line="260" w:lineRule="auto"/>
        <w:rPr>
          <w:sz w:val="20"/>
          <w:szCs w:val="20"/>
          <w:color w:val="auto"/>
        </w:rPr>
      </w:pPr>
      <w:r>
        <w:rPr>
          <w:rFonts w:ascii="Times New Roman" w:cs="Times New Roman" w:eastAsia="Times New Roman" w:hAnsi="Times New Roman"/>
          <w:sz w:val="14"/>
          <w:szCs w:val="14"/>
          <w:color w:val="auto"/>
        </w:rPr>
        <w:t>We intend to utilize the personnel, infrastructure, relationships and experience of GSC Group and our investment adviser to enhance the growth of our business. We currently have no employees, and each of our executive officers is also an officer of GSC Group. Following completion of this offering GSC Group will own shares of common stock, which it will have received in exchange for the contribution of its interests in CDO Fund III in connection with the Contribution. See “Contribution.”</w:t>
      </w:r>
    </w:p>
    <w:p>
      <w:pPr>
        <w:spacing w:after="0" w:line="168" w:lineRule="exact"/>
        <w:rPr>
          <w:sz w:val="20"/>
          <w:szCs w:val="20"/>
          <w:color w:val="auto"/>
        </w:rPr>
      </w:pPr>
    </w:p>
    <w:p>
      <w:pPr>
        <w:ind w:right="20" w:firstLine="209"/>
        <w:spacing w:after="0" w:line="312" w:lineRule="auto"/>
        <w:rPr>
          <w:sz w:val="20"/>
          <w:szCs w:val="20"/>
          <w:color w:val="auto"/>
        </w:rPr>
      </w:pPr>
      <w:r>
        <w:rPr>
          <w:rFonts w:ascii="Times New Roman" w:cs="Times New Roman" w:eastAsia="Times New Roman" w:hAnsi="Times New Roman"/>
          <w:sz w:val="12"/>
          <w:szCs w:val="12"/>
          <w:color w:val="auto"/>
        </w:rPr>
        <w:t>We recently entered into an investment advisory and management agreement with our investment adviser. The initial term of the investment advisory and management agreement shall be for two years, with automatic, one-year renewals at the end of each year subject to certain approvals by our board of directors and/or our stockholders. Pursuant to the investment advisory and management agreement, our investment adviser implements our business strategy on a day-to-day basis and performs certain services for us, subject to oversight by our board of directors. Our investment adviser is responsible for, among other duties, performing all of our day-to-day functions, determining investment criteria, sourcing, analyzing and executing investments, asset sales, financings and performing asset management duties.</w:t>
      </w:r>
    </w:p>
    <w:p>
      <w:pPr>
        <w:spacing w:after="0" w:line="141" w:lineRule="exact"/>
        <w:rPr>
          <w:sz w:val="20"/>
          <w:szCs w:val="20"/>
          <w:color w:val="auto"/>
        </w:rPr>
      </w:pPr>
    </w:p>
    <w:p>
      <w:pPr>
        <w:ind w:right="20" w:firstLine="209"/>
        <w:spacing w:after="0" w:line="300" w:lineRule="auto"/>
        <w:rPr>
          <w:sz w:val="20"/>
          <w:szCs w:val="20"/>
          <w:color w:val="auto"/>
        </w:rPr>
      </w:pPr>
      <w:r>
        <w:rPr>
          <w:rFonts w:ascii="Times New Roman" w:cs="Times New Roman" w:eastAsia="Times New Roman" w:hAnsi="Times New Roman"/>
          <w:sz w:val="12"/>
          <w:szCs w:val="12"/>
          <w:color w:val="auto"/>
        </w:rPr>
        <w:t>Pursuant to our investment advisory and management agreement, our investment adviser has formed an investment committee to advise and consult with our investment adviser’s senior management team with respect to our investment policies, investment portfolio holdings, financing and leveraging strategies and investment guidelines. We believe that the cumulative experience of our investment committee members across a variety of fixed income asset classes will benefit us. Our investment committee will consist of members of GSC Group’s senior investment staff, including Thomas Inglesby, our Chief Executive Officer, Richard Hayden, our Chairman, Robert Cummings, Jr., Thomas Libassi and Daniel Castro, Jr. All of the members of this committee are senior officers in various divisions of GSC Group. Mr. Inglesby is Senior Managing Director of GSC Group. Mr. Hayden is Vice Chairman of GSC Group, head of the corporate credit group and a member of the GSC Group management committee. Mr. Cummings is Senior Managing Director of GSC Group, Chairman of the risk and conflicts committee, Chairman of the valuation committee and a member of the GSC Group management committee. Mr. Libassi is Senior Managing Director of GSC Group’s control distressed debt business unit. Mr. Castro is Managing Director of GSC Group’s structured finance group and Chief Investment Officer of GSC Capital Corp. Our investment committee will approve all investments in excess of $5 million made by the Company by unanimous consent. Along with the corporate credit group’s investment staff, our investment committee will actively monitor investments in the Portfolio. Sale recommendations made by the corporate credit group’s investment staff must be approved by three out of five investment committee members.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believe the environment for investing in private middle market companies is attractive for the following reasons:</w:t>
      </w:r>
    </w:p>
    <w:p>
      <w:pPr>
        <w:spacing w:after="0" w:line="195" w:lineRule="exact"/>
        <w:rPr>
          <w:sz w:val="20"/>
          <w:szCs w:val="20"/>
          <w:color w:val="auto"/>
        </w:rPr>
      </w:pPr>
    </w:p>
    <w:p>
      <w:pPr>
        <w:ind w:left="420" w:right="400"/>
        <w:spacing w:after="0" w:line="302" w:lineRule="auto"/>
        <w:rPr>
          <w:sz w:val="20"/>
          <w:szCs w:val="20"/>
          <w:color w:val="auto"/>
        </w:rPr>
      </w:pPr>
      <w:r>
        <w:rPr>
          <w:rFonts w:ascii="Times New Roman" w:cs="Times New Roman" w:eastAsia="Times New Roman" w:hAnsi="Times New Roman"/>
          <w:sz w:val="14"/>
          <w:szCs w:val="14"/>
          <w:color w:val="auto"/>
        </w:rPr>
        <w:t>middle market debt securities are attractive compared to more broadly syndicated debt securities because middle market debt securities generally have more conservative capital structures, tighter financial covenants, better security packages and higher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180"/>
        <w:spacing w:after="0" w:line="302" w:lineRule="auto"/>
        <w:rPr>
          <w:sz w:val="20"/>
          <w:szCs w:val="20"/>
          <w:color w:val="auto"/>
        </w:rPr>
      </w:pPr>
      <w:r>
        <w:rPr>
          <w:rFonts w:ascii="Times New Roman" w:cs="Times New Roman" w:eastAsia="Times New Roman" w:hAnsi="Times New Roman"/>
          <w:sz w:val="14"/>
          <w:szCs w:val="14"/>
          <w:color w:val="auto"/>
        </w:rPr>
        <w:t>established relationships create a high barrier to entry in the middle market financing business. Specifically, private middle market companies and their financial sponsors prefer to access capital from and maintain close and longstanding relationships with a small group of well-known capital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57" w:name="page58"/>
    <w:bookmarkEnd w:id="57"/>
    <w:p>
      <w:pPr>
        <w:ind w:left="420" w:right="140"/>
        <w:spacing w:after="0" w:line="302" w:lineRule="auto"/>
        <w:rPr>
          <w:sz w:val="20"/>
          <w:szCs w:val="20"/>
          <w:color w:val="auto"/>
        </w:rPr>
      </w:pPr>
      <w:r>
        <w:rPr>
          <w:rFonts w:ascii="Times New Roman" w:cs="Times New Roman" w:eastAsia="Times New Roman" w:hAnsi="Times New Roman"/>
          <w:sz w:val="14"/>
          <w:szCs w:val="14"/>
          <w:color w:val="auto"/>
        </w:rPr>
        <w:t>many private middle market companies prefer to execute transactions with private capital providers, rather than execute high-yield bond transactions in the public markets, which may necessitate SEC compliance and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60"/>
        <w:spacing w:after="0" w:line="302" w:lineRule="auto"/>
        <w:rPr>
          <w:sz w:val="20"/>
          <w:szCs w:val="20"/>
          <w:color w:val="auto"/>
        </w:rPr>
      </w:pPr>
      <w:r>
        <w:rPr>
          <w:rFonts w:ascii="Times New Roman" w:cs="Times New Roman" w:eastAsia="Times New Roman" w:hAnsi="Times New Roman"/>
          <w:sz w:val="14"/>
          <w:szCs w:val="14"/>
          <w:color w:val="auto"/>
        </w:rPr>
        <w:t>the middle market debt segment is a highly fragmented portion of the leveraged finance market. We believe that many of the largest capital providers in the broader leveraged finance market choose not to participate in middle market lending because of a preference for larger, more liquid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spacing w:after="0" w:line="302" w:lineRule="auto"/>
        <w:rPr>
          <w:sz w:val="20"/>
          <w:szCs w:val="20"/>
          <w:color w:val="auto"/>
        </w:rPr>
      </w:pPr>
      <w:r>
        <w:rPr>
          <w:rFonts w:ascii="Times New Roman" w:cs="Times New Roman" w:eastAsia="Times New Roman" w:hAnsi="Times New Roman"/>
          <w:sz w:val="14"/>
          <w:szCs w:val="14"/>
          <w:color w:val="auto"/>
        </w:rPr>
        <w:t>we expect continued strong leverage buyout activity from private equity firms who currently hold large pools of uninvested capital earmarked for acquisitions of private middle market companies. These private equity firms will continue to seek to leverage their investments by combining their equity capital with senior secured loans and mezzanine debt from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advantages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believe that we have the following competitive advantages over other capital providers to private middle market companies:</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GSC Group’s investment platform</w:t>
      </w:r>
    </w:p>
    <w:p>
      <w:pPr>
        <w:spacing w:after="0" w:line="199" w:lineRule="exact"/>
        <w:rPr>
          <w:sz w:val="20"/>
          <w:szCs w:val="20"/>
          <w:color w:val="auto"/>
        </w:rPr>
      </w:pPr>
    </w:p>
    <w:p>
      <w:pPr>
        <w:ind w:right="60" w:firstLine="209"/>
        <w:spacing w:after="0" w:line="270" w:lineRule="auto"/>
        <w:rPr>
          <w:sz w:val="20"/>
          <w:szCs w:val="20"/>
          <w:color w:val="auto"/>
        </w:rPr>
      </w:pPr>
      <w:r>
        <w:rPr>
          <w:rFonts w:ascii="Times New Roman" w:cs="Times New Roman" w:eastAsia="Times New Roman" w:hAnsi="Times New Roman"/>
          <w:sz w:val="14"/>
          <w:szCs w:val="14"/>
          <w:color w:val="auto"/>
        </w:rPr>
        <w:t>GSC Group has a long history of strong performance across a broad range of asset classes and sectors. The senior investment professionals of GSC Group have extensive experience investing in syndicated loans, high-yield bonds, mezzanine debt and private equity. GSC Group manages approximately $14.7 billion of assets, including $1.8 billion in middle market loans as of June 30, 2006.</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Rapid deployment of offering proceeds</w:t>
      </w:r>
    </w:p>
    <w:p>
      <w:pPr>
        <w:spacing w:after="0" w:line="199" w:lineRule="exact"/>
        <w:rPr>
          <w:sz w:val="20"/>
          <w:szCs w:val="20"/>
          <w:color w:val="auto"/>
        </w:rPr>
      </w:pPr>
    </w:p>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Shortly after the consummation of this offering, we intend to use the net proceeds to fund the purchase of the Portfolio, which consists of approximately $216 million of debt investments that consist of first lien and second lien loans, senior secured bonds and unsecured bonds. We believe that this rapid deployment of offering proceeds into these assets will provide potential for higher initial returns than cash or cash equivalents and distinguishes us from some of our potential competitors.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Experience sourcing and managing middle market loans</w:t>
      </w:r>
    </w:p>
    <w:p>
      <w:pPr>
        <w:spacing w:after="0" w:line="199" w:lineRule="exact"/>
        <w:rPr>
          <w:sz w:val="20"/>
          <w:szCs w:val="20"/>
          <w:color w:val="auto"/>
        </w:rPr>
      </w:pPr>
    </w:p>
    <w:p>
      <w:pPr>
        <w:ind w:right="140" w:firstLine="209"/>
        <w:spacing w:after="0" w:line="254" w:lineRule="auto"/>
        <w:rPr>
          <w:sz w:val="20"/>
          <w:szCs w:val="20"/>
          <w:color w:val="auto"/>
        </w:rPr>
      </w:pPr>
      <w:r>
        <w:rPr>
          <w:rFonts w:ascii="Times New Roman" w:cs="Times New Roman" w:eastAsia="Times New Roman" w:hAnsi="Times New Roman"/>
          <w:sz w:val="14"/>
          <w:szCs w:val="14"/>
          <w:color w:val="auto"/>
        </w:rPr>
        <w:t>GSC Group has historically focused on investments in private middle market companies and we expect to benefit from this experience. Our investment adviser will use GSC Group’s extensive network of relationships with intermediaries focused on private middle market companies to attract well-positioned prospective portfolio company investments. Since 2003, the GSC Group corporate credit group has reviewed over 780 new middle market loan opportunities, approximately 300 of which were second lien loans. Of the loans reviewed, 232 were purchased, including 46 second lien loans. In addition, our investment adviser will work closely with the control distressed debt and European mezzanine groups, which oversee a portfolio of investments in over 45 companies, maintain an extensive network of relationships and possess valuable insights into industry trends.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Experienced management and investment committee</w:t>
      </w:r>
    </w:p>
    <w:p>
      <w:pPr>
        <w:spacing w:after="0" w:line="199" w:lineRule="exact"/>
        <w:rPr>
          <w:sz w:val="20"/>
          <w:szCs w:val="20"/>
          <w:color w:val="auto"/>
        </w:rPr>
      </w:pPr>
    </w:p>
    <w:p>
      <w:pPr>
        <w:ind w:right="80" w:firstLine="209"/>
        <w:spacing w:after="0" w:line="253" w:lineRule="auto"/>
        <w:rPr>
          <w:sz w:val="20"/>
          <w:szCs w:val="20"/>
          <w:color w:val="auto"/>
        </w:rPr>
      </w:pPr>
      <w:r>
        <w:rPr>
          <w:rFonts w:ascii="Times New Roman" w:cs="Times New Roman" w:eastAsia="Times New Roman" w:hAnsi="Times New Roman"/>
          <w:sz w:val="14"/>
          <w:szCs w:val="14"/>
          <w:color w:val="auto"/>
        </w:rPr>
        <w:t>Thomas V. Inglesby, our Chief Executive Officer and Senior Managing Director of GSC Group, has over 19 years of middle market investing experience having managed leveraged loan, high-yield bond, mezzanine debt, distressed debt and private equity portfolios. In addition to Mr. Inglesby, our investment committee consists of Richard M. Hayden, Thomas J, Libassi and Daniel I. Castro, Jr. Mr. Hayden is Vice Chairman of GSC Group, head of the corporate credit group and a member of the GSC Group management committee. Mr. Hayden was previously with Goldman, Sachs &amp; Co. from 1969 until 1999 and was elected a Partner in 1980. Robert Cummings is a Senior Managing Director of GSC Group, Chairman of the risk and conflicts committee, Chairman of the valuation committee and a member of the GSC Group management committee. Mr. Cummings was previously with Goldman, Sachs &amp; Co. from 1973 to 1998. Mr. Libassi is Senior Managing Director of GSC Group in the control distressed debt group and has 22 years of experience managing high-yield and distressed debt portfolios. Mr. Castro is Managing Director of GSC Group in the structured finance group. Mr. Castro has over 23 years of experience investing in debt products and was, until 2004, on the Institutional Investor All-American Fixed Income Research Team every year since its inception in 1992.</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95" w:right="259" w:bottom="1440" w:gutter="0" w:footer="0" w:header="0"/>
        </w:sectPr>
      </w:pPr>
    </w:p>
    <w:bookmarkStart w:id="58" w:name="page59"/>
    <w:bookmarkEnd w:id="58"/>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Diversified credit-oriented investment strategy</w:t>
      </w:r>
    </w:p>
    <w:p>
      <w:pPr>
        <w:spacing w:after="0" w:line="199" w:lineRule="exact"/>
        <w:rPr>
          <w:sz w:val="20"/>
          <w:szCs w:val="20"/>
          <w:color w:val="auto"/>
        </w:rPr>
      </w:pPr>
    </w:p>
    <w:p>
      <w:pPr>
        <w:ind w:right="400" w:firstLine="209"/>
        <w:spacing w:after="0" w:line="270" w:lineRule="auto"/>
        <w:rPr>
          <w:sz w:val="20"/>
          <w:szCs w:val="20"/>
          <w:color w:val="auto"/>
        </w:rPr>
      </w:pPr>
      <w:r>
        <w:rPr>
          <w:rFonts w:ascii="Times New Roman" w:cs="Times New Roman" w:eastAsia="Times New Roman" w:hAnsi="Times New Roman"/>
          <w:sz w:val="14"/>
          <w:szCs w:val="14"/>
          <w:color w:val="auto"/>
        </w:rPr>
        <w:t>Through the use of GSC Group’s credit-based investment approach which relies on detailed business and financial analysis and portfolio diversification, we will seek to minimize principal loss while maximizing risk-adjusted returns. We believe that our affiliation with GSC Group offers an attractive opportunity to invest in middle market first and second lien loans and mezzanine debt.</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Utilizing our broad transaction sourcing network and relationships with middle market lenders</w:t>
      </w:r>
    </w:p>
    <w:p>
      <w:pPr>
        <w:spacing w:after="0" w:line="199" w:lineRule="exact"/>
        <w:rPr>
          <w:sz w:val="20"/>
          <w:szCs w:val="20"/>
          <w:color w:val="auto"/>
        </w:rPr>
      </w:pPr>
    </w:p>
    <w:p>
      <w:pPr>
        <w:ind w:right="260" w:firstLine="209"/>
        <w:spacing w:after="0" w:line="256" w:lineRule="auto"/>
        <w:rPr>
          <w:sz w:val="20"/>
          <w:szCs w:val="20"/>
          <w:color w:val="auto"/>
        </w:rPr>
      </w:pPr>
      <w:r>
        <w:rPr>
          <w:rFonts w:ascii="Times New Roman" w:cs="Times New Roman" w:eastAsia="Times New Roman" w:hAnsi="Times New Roman"/>
          <w:sz w:val="14"/>
          <w:szCs w:val="14"/>
          <w:color w:val="auto"/>
        </w:rPr>
        <w:t>We intend to capitalize on the diverse deal-sourcing opportunities that we believe GSC Group brings to us as a result of its investment experience in our targeted asset classes, track record and extensive network of contacts in the financial community, including financial sponsors, merger &amp; acquisition advisory firms, investment banks, capital markets desks, lenders and other financial intermediaries and sponsors. In addition, through its other activities, GSC Group is regularly in contact with portfolio company management teams that can help provide additional insights on a wide variety of companies and industries.</w:t>
      </w:r>
    </w:p>
    <w:p>
      <w:pPr>
        <w:spacing w:after="0" w:line="171"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In particular, GSC Group has developed its middle market franchise via extensive relationships with middle market loan originators. These relationships have been developed over the past 15 years at multiple levels of management within GSC Group and have resulted in GSC Group’s ability to generate a significant amount of middle market opportunities, including first and second lien loans and mezzanine debt securities. We believe that these relationships will continue to provide GSC Group with access to middle market debt securities.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Extensive industry focus</w:t>
      </w:r>
    </w:p>
    <w:p>
      <w:pPr>
        <w:spacing w:after="0" w:line="199" w:lineRule="exact"/>
        <w:rPr>
          <w:sz w:val="20"/>
          <w:szCs w:val="20"/>
          <w:color w:val="auto"/>
        </w:rPr>
      </w:pPr>
    </w:p>
    <w:p>
      <w:pPr>
        <w:ind w:right="120" w:firstLine="209"/>
        <w:spacing w:after="0" w:line="323" w:lineRule="auto"/>
        <w:rPr>
          <w:sz w:val="20"/>
          <w:szCs w:val="20"/>
          <w:color w:val="auto"/>
        </w:rPr>
      </w:pPr>
      <w:r>
        <w:rPr>
          <w:rFonts w:ascii="Times New Roman" w:cs="Times New Roman" w:eastAsia="Times New Roman" w:hAnsi="Times New Roman"/>
          <w:sz w:val="12"/>
          <w:szCs w:val="12"/>
          <w:color w:val="auto"/>
        </w:rPr>
        <w:t>Since its founding in 1999, GSC Group has invested in over 950 companies and over this time has developed long-term relationships with management teams and management consultants. We expect that the experience of GSC Group’s investment professionals in investing across the aerospace, automotive, broadcasting/cable, consumer products, environmental services, technology, telecom and diversified manufacturing industries, throughout various stages of the economic cycle, will provide our investment adviser with access to ongoing market insights and favorable investment opportunities.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Disciplined investment process</w:t>
      </w:r>
    </w:p>
    <w:p>
      <w:pPr>
        <w:spacing w:after="0" w:line="199" w:lineRule="exact"/>
        <w:rPr>
          <w:sz w:val="20"/>
          <w:szCs w:val="20"/>
          <w:color w:val="auto"/>
        </w:rPr>
      </w:pPr>
    </w:p>
    <w:p>
      <w:pPr>
        <w:ind w:right="40" w:firstLine="209"/>
        <w:spacing w:after="0" w:line="254" w:lineRule="auto"/>
        <w:rPr>
          <w:sz w:val="20"/>
          <w:szCs w:val="20"/>
          <w:color w:val="auto"/>
        </w:rPr>
      </w:pPr>
      <w:r>
        <w:rPr>
          <w:rFonts w:ascii="Times New Roman" w:cs="Times New Roman" w:eastAsia="Times New Roman" w:hAnsi="Times New Roman"/>
          <w:sz w:val="14"/>
          <w:szCs w:val="14"/>
          <w:color w:val="auto"/>
        </w:rPr>
        <w:t>In making its investment decisions, our investment adviser intends to apply GSC Group’s rigorous and consistent investment process. Upon receiving an investment opportunity, GSC Group’s corporate credit group performs an initial screening of the potential investment which includes an analysis of the company, industry, financial sponsor and deal structure. If the investment is suitable for further analysis, GSC Group’s investment staff conducts a more intensive analysis which includes in-depth research on competitive dynamics in the industry, customer and supplier research, cost and growth drivers, cash flow characteristics, management capability, balance sheet strength, covenant analysis and a distressed recovery analysis. Our investment approach will emphasize capital preservation and minimization of downside risk.</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Flexible transaction structuring</w:t>
      </w:r>
    </w:p>
    <w:p>
      <w:pPr>
        <w:spacing w:after="0" w:line="199" w:lineRule="exact"/>
        <w:rPr>
          <w:sz w:val="20"/>
          <w:szCs w:val="20"/>
          <w:color w:val="auto"/>
        </w:rPr>
      </w:pPr>
    </w:p>
    <w:p>
      <w:pPr>
        <w:jc w:val="both"/>
        <w:ind w:right="100" w:firstLine="209"/>
        <w:spacing w:after="0" w:line="260" w:lineRule="auto"/>
        <w:rPr>
          <w:sz w:val="20"/>
          <w:szCs w:val="20"/>
          <w:color w:val="auto"/>
        </w:rPr>
      </w:pPr>
      <w:r>
        <w:rPr>
          <w:rFonts w:ascii="Times New Roman" w:cs="Times New Roman" w:eastAsia="Times New Roman" w:hAnsi="Times New Roman"/>
          <w:sz w:val="14"/>
          <w:szCs w:val="14"/>
          <w:color w:val="auto"/>
        </w:rPr>
        <w:t>We expect to be flexible in structuring investments, the types of securities in which we invest and the terms associated with such investments. The principals of GSC Group have extensive experience in a wide variety of securities for leveraged companies with a diverse set of terms and conditions. This approach and experience should enable our investment adviser to identify attractive investment opportunities throughout various economic cycles and across a company’s capital structure so that we can make investments consistent with our stated objectives.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91" w:right="259" w:bottom="1440" w:gutter="0" w:footer="0" w:header="0"/>
        </w:sectPr>
      </w:pPr>
    </w:p>
    <w:bookmarkStart w:id="59" w:name="page60"/>
    <w:bookmarkEnd w:id="59"/>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Access to GSC Group’s infrastructure</w:t>
      </w:r>
    </w:p>
    <w:p>
      <w:pPr>
        <w:spacing w:after="0" w:line="199" w:lineRule="exact"/>
        <w:rPr>
          <w:sz w:val="20"/>
          <w:szCs w:val="20"/>
          <w:color w:val="auto"/>
        </w:rPr>
      </w:pPr>
    </w:p>
    <w:p>
      <w:pPr>
        <w:ind w:right="80" w:firstLine="209"/>
        <w:spacing w:after="0" w:line="254" w:lineRule="auto"/>
        <w:rPr>
          <w:sz w:val="20"/>
          <w:szCs w:val="20"/>
          <w:color w:val="auto"/>
        </w:rPr>
      </w:pPr>
      <w:r>
        <w:rPr>
          <w:rFonts w:ascii="Times New Roman" w:cs="Times New Roman" w:eastAsia="Times New Roman" w:hAnsi="Times New Roman"/>
          <w:sz w:val="14"/>
          <w:szCs w:val="14"/>
          <w:color w:val="auto"/>
        </w:rPr>
        <w:t>We will have access to GSC Group’s finance and administration function which addresses legal, compliance, and operational matters, and promulgates and administers comprehensive policies and procedures regarding important investment adviser matters, including portfolio management, trading allocation and execution, securities valuation, risk management and information technologies in connection with the performance of our investment adviser’s duties hereunder. We believe that the finance and administrative infrastructure established by GSC Group is an important component of a complex investment vehicle such as a BDC. These systems support, and are integrated with, our portfolio management functions. GSC Group has over 170 employees, including over 70 investment professionals, who will be available to support our operations.</w:t>
      </w:r>
    </w:p>
    <w:p>
      <w:pPr>
        <w:spacing w:after="0" w:line="174" w:lineRule="exact"/>
        <w:rPr>
          <w:sz w:val="20"/>
          <w:szCs w:val="20"/>
          <w:color w:val="auto"/>
        </w:rPr>
      </w:pPr>
    </w:p>
    <w:p>
      <w:pPr>
        <w:ind w:right="140" w:firstLine="209"/>
        <w:spacing w:after="0" w:line="270" w:lineRule="auto"/>
        <w:rPr>
          <w:sz w:val="20"/>
          <w:szCs w:val="20"/>
          <w:color w:val="auto"/>
        </w:rPr>
      </w:pPr>
      <w:r>
        <w:rPr>
          <w:rFonts w:ascii="Times New Roman" w:cs="Times New Roman" w:eastAsia="Times New Roman" w:hAnsi="Times New Roman"/>
          <w:sz w:val="14"/>
          <w:szCs w:val="14"/>
          <w:color w:val="auto"/>
        </w:rPr>
        <w:t>We will also have the benefit of the experience of GSC Group’s senior professionals and members of its advisory board, many of whom have served on public and private company boards and/or served in other senior management roles. We believe that this experience will also be valuable to our investment adviser and to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Prospective investments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The Portfolio</w:t>
      </w:r>
    </w:p>
    <w:p>
      <w:pPr>
        <w:spacing w:after="0" w:line="199" w:lineRule="exact"/>
        <w:rPr>
          <w:sz w:val="20"/>
          <w:szCs w:val="20"/>
          <w:color w:val="auto"/>
        </w:rPr>
      </w:pPr>
    </w:p>
    <w:p>
      <w:pPr>
        <w:ind w:right="80" w:firstLine="209"/>
        <w:spacing w:after="0" w:line="252" w:lineRule="auto"/>
        <w:rPr>
          <w:sz w:val="20"/>
          <w:szCs w:val="20"/>
          <w:color w:val="auto"/>
        </w:rPr>
      </w:pPr>
      <w:r>
        <w:rPr>
          <w:rFonts w:ascii="Times New Roman" w:cs="Times New Roman" w:eastAsia="Times New Roman" w:hAnsi="Times New Roman"/>
          <w:sz w:val="14"/>
          <w:szCs w:val="14"/>
          <w:color w:val="auto"/>
        </w:rPr>
        <w:t>We have entered into a portfolio acquisition agreement with CDO Fund III that grants us the exclusive right to purchase the Portfolio for approximately $216 million in cash (subject to certain adjustments) plus accrued interest on the assets in the Portfolio. GSC Group has engaged an independent valuation firm to assist our board of directors in valuing each investment to be included in our initial portfolio. We have agreed to pay the independent valuation firm approximately $2,500 per individual position. GSC Group has provided the valuation firm with detailed information on each investment, including prices for each investment in the Portfolio that it believes represent fair value. The independent valuation firm will determine the fair value of each liquid investment in the portfolio by obtaining one or more market quotations. The independent valuation firm will also determine the fair value of each illiquid investment in the Portfolio for which there are no readily available market quotations. The independent valuation firm has conducted a preliminary valuation analysis on each asset in the Portfolio and is of the opinion that the prices proposed for such assets seem reasonable. The independent valuation firm is still in the process of conducting its analysis on these investments and will provide an opinion as to the fair value of each of these investments based upon the most current information available on or about the date of the closing of this offering and will update its opinion on or about the date of the closing of the sale of such investments to us based upon the then most current information available. While the independent valuation firm is of the opinion, based on its preliminary analysis, that the final fair value of the Portfolio will be consistent with the prices that GSC has proposed, it is still conducting its reviews and analyses, and has not formed a final opinion.</w:t>
      </w:r>
    </w:p>
    <w:p>
      <w:pPr>
        <w:spacing w:after="0" w:line="173"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The purchase price will be the sum of the valuations ascribed to each asset in the Portfolio. The term of the portfolio acquisition agreement provides for a final valuation of the investments and a corresponding price adjustment prior to the closing of the purchase of the Portfolio. Consents are generally not required with respect to the transfer or assignment of many of the investments in the Portfolio, except in the case of a limited number of the Portfolio assets, which consents we expect to receive prior to the purchase of the Portfolio. If a consent is required and not obtained from any portfolio company in the Portfolio as of the closing of the purchase, the purchase price will be reduced by the amount ascribed to such asset and we will purchase only the portion of the Portfolio for which we have received the necessary consents and acknowledgements. If the consent is received within 60 days following the closing, we will purchase the assets at the final valuation amount plus accrued interest. In compliance with our future obligations as a BDC, we will offer to provide each of the companies in the Portfolio our significant managerial assistance. The portfolio acquisition agreement contains customary representations and warranties, including those relating to good title to the investments to be purchased. In addition, CDO Fund III will agree to indemnify us for one year following the closing of the portfolio acquisition agreement for any losses resulting from the breach by CDO Fund III of its obligations under the portfolio acquisition agreement.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1" w:right="219" w:bottom="1440" w:gutter="0" w:footer="0" w:header="0"/>
        </w:sectPr>
      </w:pPr>
    </w:p>
    <w:bookmarkStart w:id="60" w:name="page61"/>
    <w:bookmarkEnd w:id="60"/>
    <w:p>
      <w:pPr>
        <w:ind w:right="40" w:firstLine="209"/>
        <w:spacing w:after="0" w:line="294" w:lineRule="auto"/>
        <w:rPr>
          <w:sz w:val="20"/>
          <w:szCs w:val="20"/>
          <w:color w:val="auto"/>
        </w:rPr>
      </w:pPr>
      <w:r>
        <w:rPr>
          <w:rFonts w:ascii="Times New Roman" w:cs="Times New Roman" w:eastAsia="Times New Roman" w:hAnsi="Times New Roman"/>
          <w:sz w:val="12"/>
          <w:szCs w:val="12"/>
          <w:color w:val="auto"/>
        </w:rPr>
        <w:t>Our ability to purchase the Portfolio is conditioned upon the successful covenant defeasance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retirement) of the secured notes of CDO Fund III, which is expected to occur immediately following the consummation of this offering. Under the indenture governing the secured notes issued by CDO Fund III, CDO Fund III is required to place on deposit with the indenture trustee, an aggregate of $480 million, which is an amount sufficient to allow the defeasance of the secured notes issued by CDO Fund III under the indenture. CDO Fund III expects to fund the required deposit amount from its available cash, together with the CDO Fund III Credit Facility, which will be a separate short-term senior secured credit facility of up $480 million provided by each of Citibank, N.A., an affiliate of Citigroup Global Markets Inc., and JPMorgan Chase Bank, N.A., an affiliate of J.P. Morgan Securities Inc. Both Citigroup Global Markets Inc. and J.P. Morgan Securities Inc. are underwriters in this offering. Prior to the closing of this offering, CDO Fund III expects to receive a commitment from each of Citibank, N.A. and JPMorgan Chase Bank, N.A. to provide the CDO Fund III Credit Facility, which will be conditioned on the receipt of a</w:t>
      </w:r>
    </w:p>
    <w:p>
      <w:pPr>
        <w:jc w:val="both"/>
        <w:ind w:right="260"/>
        <w:spacing w:after="0" w:line="342" w:lineRule="auto"/>
        <w:rPr>
          <w:sz w:val="20"/>
          <w:szCs w:val="20"/>
          <w:color w:val="auto"/>
        </w:rPr>
      </w:pPr>
      <w:r>
        <w:rPr>
          <w:rFonts w:ascii="Times New Roman" w:cs="Times New Roman" w:eastAsia="Times New Roman" w:hAnsi="Times New Roman"/>
          <w:sz w:val="12"/>
          <w:szCs w:val="12"/>
          <w:color w:val="auto"/>
        </w:rPr>
        <w:t>minimum of $ million of gross proceeds from this offering and other customary conditions to closing. If sufficient funding under the CDO Fund III Credit Facility is not available for any reason, CDO Fund III will need to arrange alternative capital to fund the required deposit in order to retire the secured notes and thereby allow the Portfolio to be delivered to us under the portfolio acquisition agreement.</w:t>
      </w:r>
    </w:p>
    <w:p>
      <w:pPr>
        <w:spacing w:after="0" w:line="122" w:lineRule="exact"/>
        <w:rPr>
          <w:sz w:val="20"/>
          <w:szCs w:val="20"/>
          <w:color w:val="auto"/>
        </w:rPr>
      </w:pPr>
    </w:p>
    <w:p>
      <w:pPr>
        <w:jc w:val="both"/>
        <w:ind w:right="220" w:firstLine="209"/>
        <w:spacing w:after="0" w:line="260" w:lineRule="auto"/>
        <w:rPr>
          <w:sz w:val="20"/>
          <w:szCs w:val="20"/>
          <w:color w:val="auto"/>
        </w:rPr>
      </w:pPr>
      <w:r>
        <w:rPr>
          <w:rFonts w:ascii="Times New Roman" w:cs="Times New Roman" w:eastAsia="Times New Roman" w:hAnsi="Times New Roman"/>
          <w:sz w:val="14"/>
          <w:szCs w:val="14"/>
          <w:color w:val="auto"/>
        </w:rPr>
        <w:t>Because of our interests in CDO Fund III as a result of the Contribution, the sale of the CDO Fund III assets (including the Portfolio to be purchased by the Company) will result in cash proceeds for the equity investors in CDO Fund III, including the Company, and we also expect to receive an incentive fee of 20% of the profits of such third party equity investors. Moreover, prior to liquidation, we will also earn a fee as collateral manager for CDO Fund III. See “Contribution.”</w:t>
      </w:r>
    </w:p>
    <w:p>
      <w:pPr>
        <w:spacing w:after="0" w:line="168" w:lineRule="exact"/>
        <w:rPr>
          <w:sz w:val="20"/>
          <w:szCs w:val="20"/>
          <w:color w:val="auto"/>
        </w:rPr>
      </w:pPr>
    </w:p>
    <w:p>
      <w:pPr>
        <w:ind w:right="300" w:firstLine="209"/>
        <w:spacing w:after="0" w:line="356" w:lineRule="auto"/>
        <w:rPr>
          <w:sz w:val="20"/>
          <w:szCs w:val="20"/>
          <w:color w:val="auto"/>
        </w:rPr>
      </w:pPr>
      <w:r>
        <w:rPr>
          <w:rFonts w:ascii="Times New Roman" w:cs="Times New Roman" w:eastAsia="Times New Roman" w:hAnsi="Times New Roman"/>
          <w:sz w:val="12"/>
          <w:szCs w:val="12"/>
          <w:color w:val="auto"/>
        </w:rPr>
        <w:t>The Portfolio is primarily comprised of first and second lien loans, senior secured bonds and unsecured bonds. As described above, we have engaged an independent valuation firm to provide indicative market value quotations for the investments in the Portfolio. The Portfolio and the companies described below under “—Prospective investments” currently constitute all of our prospective investments.</w:t>
      </w:r>
    </w:p>
    <w:p>
      <w:pPr>
        <w:spacing w:after="0" w:line="114" w:lineRule="exact"/>
        <w:rPr>
          <w:sz w:val="20"/>
          <w:szCs w:val="20"/>
          <w:color w:val="auto"/>
        </w:rPr>
      </w:pPr>
    </w:p>
    <w:p>
      <w:pPr>
        <w:ind w:right="140" w:firstLine="209"/>
        <w:spacing w:after="0" w:line="270" w:lineRule="auto"/>
        <w:rPr>
          <w:sz w:val="20"/>
          <w:szCs w:val="20"/>
          <w:color w:val="auto"/>
        </w:rPr>
      </w:pPr>
      <w:r>
        <w:rPr>
          <w:rFonts w:ascii="Times New Roman" w:cs="Times New Roman" w:eastAsia="Times New Roman" w:hAnsi="Times New Roman"/>
          <w:sz w:val="14"/>
          <w:szCs w:val="14"/>
          <w:color w:val="auto"/>
        </w:rPr>
        <w:t>Based on due diligence conducted to date, we believe that a majority of the prospective portfolio investments in the Portfolio are BDC qualifying assets that satisfy our general investment objectives. After purchasing the Portfolio, our investment adviser will be responsible for monitoring and servicing the investments.</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Our board of directors (including a majority of the non-interested directors) has approved the portfolio acquisition agreement and determined that:</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terms thereof, including the consideration to be paid, are reasonable and fair to our stockholders and do not involve overreaching of any party;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proposed transaction is consistent with the interests of our stockholders and is consistent with our investment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right="40" w:firstLine="209"/>
        <w:spacing w:after="0" w:line="270" w:lineRule="auto"/>
        <w:rPr>
          <w:sz w:val="20"/>
          <w:szCs w:val="20"/>
          <w:color w:val="auto"/>
        </w:rPr>
      </w:pPr>
      <w:r>
        <w:rPr>
          <w:rFonts w:ascii="Times New Roman" w:cs="Times New Roman" w:eastAsia="Times New Roman" w:hAnsi="Times New Roman"/>
          <w:sz w:val="14"/>
          <w:szCs w:val="14"/>
          <w:color w:val="auto"/>
        </w:rPr>
        <w:t>The following table provides certain information about the investments included in the Portfolio and reflects data as of September 30, 2006. The following information was obtained from sources we believe to be reliable. Assuming we purchase all of the securities in the Portfolio, we will not control any of the businesses included in the Portfolio.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Portfolio Assets Contracted to be Purchased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Estimated</w:t>
            </w:r>
          </w:p>
        </w:tc>
      </w:t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Fair Market</w:t>
            </w:r>
          </w:p>
        </w:tc>
      </w:t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Value</w:t>
            </w:r>
          </w:p>
        </w:tc>
      </w:tr>
      <w:tr>
        <w:trPr>
          <w:trHeight w:val="139"/>
        </w:trPr>
        <w:tc>
          <w:tcPr>
            <w:tcW w:w="370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Name of Portfolio Company</w:t>
            </w:r>
          </w:p>
        </w:tc>
        <w:tc>
          <w:tcPr>
            <w:tcW w:w="220" w:type="dxa"/>
            <w:vAlign w:val="bottom"/>
          </w:tcPr>
          <w:p>
            <w:pPr>
              <w:spacing w:after="0"/>
              <w:rPr>
                <w:sz w:val="12"/>
                <w:szCs w:val="12"/>
                <w:color w:val="auto"/>
              </w:rPr>
            </w:pPr>
          </w:p>
        </w:tc>
        <w:tc>
          <w:tcPr>
            <w:tcW w:w="3720" w:type="dxa"/>
            <w:vAlign w:val="bottom"/>
          </w:tcPr>
          <w:p>
            <w:pPr>
              <w:ind w:left="1440"/>
              <w:spacing w:after="0"/>
              <w:rPr>
                <w:sz w:val="20"/>
                <w:szCs w:val="20"/>
                <w:color w:val="auto"/>
              </w:rPr>
            </w:pPr>
            <w:r>
              <w:rPr>
                <w:rFonts w:ascii="Times New Roman" w:cs="Times New Roman" w:eastAsia="Times New Roman" w:hAnsi="Times New Roman"/>
                <w:sz w:val="10"/>
                <w:szCs w:val="10"/>
                <w:b w:val="1"/>
                <w:bCs w:val="1"/>
                <w:color w:val="auto"/>
              </w:rPr>
              <w:t>Nature of Business</w:t>
            </w:r>
          </w:p>
        </w:tc>
        <w:tc>
          <w:tcPr>
            <w:tcW w:w="220" w:type="dxa"/>
            <w:vAlign w:val="bottom"/>
          </w:tcPr>
          <w:p>
            <w:pPr>
              <w:spacing w:after="0"/>
              <w:rPr>
                <w:sz w:val="12"/>
                <w:szCs w:val="12"/>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20" w:type="dxa"/>
            <w:vAlign w:val="bottom"/>
          </w:tcPr>
          <w:p>
            <w:pPr>
              <w:spacing w:after="0"/>
              <w:rPr>
                <w:sz w:val="12"/>
                <w:szCs w:val="1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millions)</w:t>
            </w:r>
          </w:p>
        </w:tc>
      </w:tr>
      <w:tr>
        <w:trPr>
          <w:trHeight w:val="73"/>
        </w:trPr>
        <w:tc>
          <w:tcPr>
            <w:tcW w:w="37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r>
    </w:tbl>
    <w:p>
      <w:pPr>
        <w:spacing w:after="0" w:line="27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First Lien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91197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11975" cy="635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Aero Products International, Inc.</w:t>
            </w:r>
          </w:p>
        </w:tc>
        <w:tc>
          <w:tcPr>
            <w:tcW w:w="408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Personal and Nondurable Consumer</w:t>
            </w:r>
          </w:p>
        </w:tc>
        <w:tc>
          <w:tcPr>
            <w:tcW w:w="19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L + 5.00%</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12/19/08</w:t>
            </w: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580" w:type="dxa"/>
            <w:vAlign w:val="bottom"/>
          </w:tcPr>
          <w:p>
            <w:pPr>
              <w:spacing w:after="0"/>
              <w:rPr>
                <w:sz w:val="15"/>
                <w:szCs w:val="15"/>
                <w:color w:val="auto"/>
              </w:rPr>
            </w:pPr>
          </w:p>
        </w:tc>
      </w:tr>
      <w:tr>
        <w:trPr>
          <w:trHeight w:val="188"/>
        </w:trPr>
        <w:tc>
          <w:tcPr>
            <w:tcW w:w="2900" w:type="dxa"/>
            <w:vAlign w:val="bottom"/>
          </w:tcPr>
          <w:p>
            <w:pPr>
              <w:spacing w:after="0"/>
              <w:rPr>
                <w:sz w:val="16"/>
                <w:szCs w:val="16"/>
                <w:color w:val="auto"/>
              </w:rPr>
            </w:pPr>
          </w:p>
        </w:tc>
        <w:tc>
          <w:tcPr>
            <w:tcW w:w="40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Products</w:t>
            </w:r>
          </w:p>
        </w:tc>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86"/>
        </w:trPr>
        <w:tc>
          <w:tcPr>
            <w:tcW w:w="2900" w:type="dxa"/>
            <w:vAlign w:val="bottom"/>
            <w:tcBorders>
              <w:bottom w:val="single" w:sz="8" w:color="808080"/>
            </w:tcBorders>
          </w:tcPr>
          <w:p>
            <w:pPr>
              <w:spacing w:after="0"/>
              <w:rPr>
                <w:sz w:val="7"/>
                <w:szCs w:val="7"/>
                <w:color w:val="auto"/>
              </w:rPr>
            </w:pPr>
          </w:p>
        </w:tc>
        <w:tc>
          <w:tcPr>
            <w:tcW w:w="4080" w:type="dxa"/>
            <w:vAlign w:val="bottom"/>
            <w:tcBorders>
              <w:bottom w:val="single" w:sz="8" w:color="808080"/>
            </w:tcBorders>
          </w:tcPr>
          <w:p>
            <w:pPr>
              <w:spacing w:after="0"/>
              <w:rPr>
                <w:sz w:val="7"/>
                <w:szCs w:val="7"/>
                <w:color w:val="auto"/>
              </w:rPr>
            </w:pPr>
          </w:p>
        </w:tc>
        <w:tc>
          <w:tcPr>
            <w:tcW w:w="19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r>
      <w:tr>
        <w:trPr>
          <w:trHeight w:val="26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American Driveline Systems, Inc.</w:t>
            </w:r>
          </w:p>
        </w:tc>
        <w:tc>
          <w:tcPr>
            <w:tcW w:w="408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Automobile</w:t>
            </w:r>
          </w:p>
        </w:tc>
        <w:tc>
          <w:tcPr>
            <w:tcW w:w="19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L + 3.50%</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08/09/12</w:t>
            </w:r>
          </w:p>
        </w:tc>
        <w:tc>
          <w:tcPr>
            <w:tcW w:w="5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580" w:type="dxa"/>
            <w:vAlign w:val="bottom"/>
          </w:tcPr>
          <w:p>
            <w:pPr>
              <w:spacing w:after="0"/>
              <w:rPr>
                <w:sz w:val="22"/>
                <w:szCs w:val="22"/>
                <w:color w:val="auto"/>
              </w:rPr>
            </w:pPr>
          </w:p>
        </w:tc>
      </w:tr>
      <w:tr>
        <w:trPr>
          <w:trHeight w:val="86"/>
        </w:trPr>
        <w:tc>
          <w:tcPr>
            <w:tcW w:w="2900" w:type="dxa"/>
            <w:vAlign w:val="bottom"/>
            <w:tcBorders>
              <w:bottom w:val="single" w:sz="8" w:color="808080"/>
            </w:tcBorders>
          </w:tcPr>
          <w:p>
            <w:pPr>
              <w:spacing w:after="0"/>
              <w:rPr>
                <w:sz w:val="7"/>
                <w:szCs w:val="7"/>
                <w:color w:val="auto"/>
              </w:rPr>
            </w:pPr>
          </w:p>
        </w:tc>
        <w:tc>
          <w:tcPr>
            <w:tcW w:w="4080" w:type="dxa"/>
            <w:vAlign w:val="bottom"/>
            <w:tcBorders>
              <w:bottom w:val="single" w:sz="8" w:color="808080"/>
            </w:tcBorders>
          </w:tcPr>
          <w:p>
            <w:pPr>
              <w:spacing w:after="0"/>
              <w:rPr>
                <w:sz w:val="7"/>
                <w:szCs w:val="7"/>
                <w:color w:val="auto"/>
              </w:rPr>
            </w:pPr>
          </w:p>
        </w:tc>
        <w:tc>
          <w:tcPr>
            <w:tcW w:w="19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r>
      <w:tr>
        <w:trPr>
          <w:trHeight w:val="407"/>
        </w:trPr>
        <w:tc>
          <w:tcPr>
            <w:tcW w:w="2900" w:type="dxa"/>
            <w:vAlign w:val="bottom"/>
          </w:tcPr>
          <w:p>
            <w:pPr>
              <w:spacing w:after="0"/>
              <w:rPr>
                <w:sz w:val="24"/>
                <w:szCs w:val="24"/>
                <w:color w:val="auto"/>
              </w:rPr>
            </w:pPr>
          </w:p>
        </w:tc>
        <w:tc>
          <w:tcPr>
            <w:tcW w:w="4080" w:type="dxa"/>
            <w:vAlign w:val="bottom"/>
          </w:tcPr>
          <w:p>
            <w:pPr>
              <w:jc w:val="right"/>
              <w:ind w:right="1112"/>
              <w:spacing w:after="0"/>
              <w:rPr>
                <w:sz w:val="20"/>
                <w:szCs w:val="20"/>
                <w:color w:val="auto"/>
              </w:rPr>
            </w:pPr>
            <w:r>
              <w:rPr>
                <w:rFonts w:ascii="Times New Roman" w:cs="Times New Roman" w:eastAsia="Times New Roman" w:hAnsi="Times New Roman"/>
                <w:sz w:val="14"/>
                <w:szCs w:val="14"/>
                <w:color w:val="auto"/>
              </w:rPr>
              <w:t>55</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46"/>
        </w:trPr>
        <w:tc>
          <w:tcPr>
            <w:tcW w:w="290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460"/>
          </w:cols>
          <w:pgMar w:left="220" w:top="693" w:right="2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Estimated</w:t>
            </w:r>
          </w:p>
        </w:tc>
      </w:t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Fair Market</w:t>
            </w:r>
          </w:p>
        </w:tc>
      </w:t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Value</w:t>
            </w:r>
          </w:p>
        </w:tc>
      </w:tr>
      <w:tr>
        <w:trPr>
          <w:trHeight w:val="139"/>
        </w:trPr>
        <w:tc>
          <w:tcPr>
            <w:tcW w:w="370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Name of Portfolio Company</w:t>
            </w:r>
          </w:p>
        </w:tc>
        <w:tc>
          <w:tcPr>
            <w:tcW w:w="220" w:type="dxa"/>
            <w:vAlign w:val="bottom"/>
          </w:tcPr>
          <w:p>
            <w:pPr>
              <w:spacing w:after="0"/>
              <w:rPr>
                <w:sz w:val="12"/>
                <w:szCs w:val="12"/>
                <w:color w:val="auto"/>
              </w:rPr>
            </w:pPr>
          </w:p>
        </w:tc>
        <w:tc>
          <w:tcPr>
            <w:tcW w:w="3720" w:type="dxa"/>
            <w:vAlign w:val="bottom"/>
          </w:tcPr>
          <w:p>
            <w:pPr>
              <w:ind w:left="1440"/>
              <w:spacing w:after="0"/>
              <w:rPr>
                <w:sz w:val="20"/>
                <w:szCs w:val="20"/>
                <w:color w:val="auto"/>
              </w:rPr>
            </w:pPr>
            <w:r>
              <w:rPr>
                <w:rFonts w:ascii="Times New Roman" w:cs="Times New Roman" w:eastAsia="Times New Roman" w:hAnsi="Times New Roman"/>
                <w:sz w:val="10"/>
                <w:szCs w:val="10"/>
                <w:b w:val="1"/>
                <w:bCs w:val="1"/>
                <w:color w:val="auto"/>
              </w:rPr>
              <w:t>Nature of Business</w:t>
            </w:r>
          </w:p>
        </w:tc>
        <w:tc>
          <w:tcPr>
            <w:tcW w:w="220" w:type="dxa"/>
            <w:vAlign w:val="bottom"/>
          </w:tcPr>
          <w:p>
            <w:pPr>
              <w:spacing w:after="0"/>
              <w:rPr>
                <w:sz w:val="12"/>
                <w:szCs w:val="12"/>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millions)</w:t>
            </w:r>
          </w:p>
        </w:tc>
      </w:tr>
      <w:tr>
        <w:trPr>
          <w:trHeight w:val="73"/>
        </w:trPr>
        <w:tc>
          <w:tcPr>
            <w:tcW w:w="37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Ascend Media Holdings, LLC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Printing, Publishing, and Broadcasting</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01/31/12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CFF Acquisition, LLC (dba California</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Leisure, Amusement and</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08/31/13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8"/>
        </w:trPr>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Family Fitness)</w:t>
            </w: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Entertainment</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Contec, LLC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Electronics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06/15/12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Convergeone Holdings Corp.</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Telecommunications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05/31/12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Cortz,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Personal, Food and Miscellaneous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11/30/09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Cortz,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Personal, Food and Miscellaneous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11/30/10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Cygnus Business Media,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Printing, Publishing, and Broadcasting</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07/13/09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DCS Business Services,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Finance</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02/04/11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Flakeboard Company Limited</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Diversified/Conglomerate</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08/23/12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Manufacturing</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Flavor and Fragrance Group Holdings,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Personal and Nondurable Consumer</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06/30/10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Flavor and Fragrance Group Holdings,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Personal and Nondurable Consumer</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06/30/11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Flavor and Fragrance Group Holdings,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Personal and Nondurable Consumer</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+ 7.00%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12/31/11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Infor Enterprise Solutions Holdings,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Diversified/Conglomerate Service</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07/28/12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Insight Pharmaceuticals LLC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Personal, Food and Miscellaneous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03/31/11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Insight Pharmaceuticals LLC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Personal, Food and Miscellaneous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+ 4.38%</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03/31/12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Legacy Cabinets,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08/31/12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Lincoln Industrial Corporation</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Machinery (Non Agriculture, Non</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04/01/10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Construction, Non Electronic)</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Lincoln Industrial Corporation</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Machinery (Non Agriculture, Non</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04/01/11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Construction, Non Electronic)</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Miller Heiman Acquisition Corp.</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Diversified/Conglomerate Service</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06/01/10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Miller Heiman Acquisition Corp.</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Diversified/Conglomerate Service</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06/01/12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MW Industries,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Diversified/Conglomerate</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02/04/10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Manufacturing</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MW Industries,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Diversified/Conglomerate</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02/04/11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Manufacturing</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Questex Media Group,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Printing, Publishing, and Broadcasting</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05/23/12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Soil Safe,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Ecological</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+ 3.50%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09/15/12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Switch &amp; Data Holdings,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Telecommunications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10/13/11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449"/>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Second Lien Term Loan</w:t>
            </w: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ABP Corporation (Au Bon Pain)</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Restaurant</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+ 4.50%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07/15/10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Bankruptcy Management Solutions,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Finance</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+ 6.25%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07/31/13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Convergeone Holdings Corp.</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Telecommunications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+ 6.50%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05/31/13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Decrane Aircraft Holdings,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11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11.00%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06/30/08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Energy Alloys LLC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Metals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+ 6.50%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09/13/11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Group Dekko</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Electronics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+ 6.25%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01/20/12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Hopkins Manufacturing Corporation</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Personal and Nondurable Consumer</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+ 7.00%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01/26/12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Legacy Cabinets,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L + 7.50%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08/31/13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Stronghaven,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Containers, Packaging and Glass</w:t>
            </w:r>
          </w:p>
        </w:tc>
        <w:tc>
          <w:tcPr>
            <w:tcW w:w="11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11.00%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10/31/10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r>
    </w:tbl>
    <w:p>
      <w:pPr>
        <w:sectPr>
          <w:pgSz w:w="11900" w:h="16838" w:orient="portrait"/>
          <w:cols w:equalWidth="0" w:num="1">
            <w:col w:w="10880"/>
          </w:cols>
          <w:pgMar w:left="220" w:top="503" w:right="799" w:bottom="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691197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11975"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USS Mergerco, Inc.</w:t>
            </w:r>
          </w:p>
        </w:tc>
        <w:tc>
          <w:tcPr>
            <w:tcW w:w="28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Ecological</w:t>
            </w:r>
          </w:p>
        </w:tc>
        <w:tc>
          <w:tcPr>
            <w:tcW w:w="34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L + 4.25%</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06/29/13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580" w:type="dxa"/>
            <w:vAlign w:val="bottom"/>
          </w:tcPr>
          <w:p>
            <w:pPr>
              <w:spacing w:after="0"/>
              <w:rPr>
                <w:sz w:val="15"/>
                <w:szCs w:val="15"/>
                <w:color w:val="auto"/>
              </w:rPr>
            </w:pPr>
          </w:p>
        </w:tc>
      </w:tr>
      <w:tr>
        <w:trPr>
          <w:trHeight w:val="86"/>
        </w:trPr>
        <w:tc>
          <w:tcPr>
            <w:tcW w:w="2600" w:type="dxa"/>
            <w:vAlign w:val="bottom"/>
            <w:tcBorders>
              <w:bottom w:val="single" w:sz="8" w:color="808080"/>
            </w:tcBorders>
          </w:tcPr>
          <w:p>
            <w:pPr>
              <w:spacing w:after="0"/>
              <w:rPr>
                <w:sz w:val="7"/>
                <w:szCs w:val="7"/>
                <w:color w:val="auto"/>
              </w:rPr>
            </w:pPr>
          </w:p>
        </w:tc>
        <w:tc>
          <w:tcPr>
            <w:tcW w:w="28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r>
      <w:tr>
        <w:trPr>
          <w:trHeight w:val="261"/>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Wastequip, Inc.</w:t>
            </w:r>
          </w:p>
        </w:tc>
        <w:tc>
          <w:tcPr>
            <w:tcW w:w="28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Ecological</w:t>
            </w:r>
          </w:p>
        </w:tc>
        <w:tc>
          <w:tcPr>
            <w:tcW w:w="34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L + 5.50%</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07/15/12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580" w:type="dxa"/>
            <w:vAlign w:val="bottom"/>
          </w:tcPr>
          <w:p>
            <w:pPr>
              <w:spacing w:after="0"/>
              <w:rPr>
                <w:sz w:val="22"/>
                <w:szCs w:val="22"/>
                <w:color w:val="auto"/>
              </w:rPr>
            </w:pPr>
          </w:p>
        </w:tc>
      </w:tr>
      <w:tr>
        <w:trPr>
          <w:trHeight w:val="86"/>
        </w:trPr>
        <w:tc>
          <w:tcPr>
            <w:tcW w:w="2600" w:type="dxa"/>
            <w:vAlign w:val="bottom"/>
            <w:tcBorders>
              <w:bottom w:val="single" w:sz="8" w:color="808080"/>
            </w:tcBorders>
          </w:tcPr>
          <w:p>
            <w:pPr>
              <w:spacing w:after="0"/>
              <w:rPr>
                <w:sz w:val="7"/>
                <w:szCs w:val="7"/>
                <w:color w:val="auto"/>
              </w:rPr>
            </w:pPr>
          </w:p>
        </w:tc>
        <w:tc>
          <w:tcPr>
            <w:tcW w:w="28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r>
      <w:tr>
        <w:trPr>
          <w:trHeight w:val="261"/>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Wyle Laboratories, Inc.</w:t>
            </w:r>
          </w:p>
        </w:tc>
        <w:tc>
          <w:tcPr>
            <w:tcW w:w="28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Aerospace and Defense</w:t>
            </w:r>
          </w:p>
        </w:tc>
        <w:tc>
          <w:tcPr>
            <w:tcW w:w="34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L + 6.50%</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07/28/11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80" w:type="dxa"/>
            <w:vAlign w:val="bottom"/>
          </w:tcPr>
          <w:p>
            <w:pPr>
              <w:spacing w:after="0"/>
              <w:rPr>
                <w:sz w:val="22"/>
                <w:szCs w:val="22"/>
                <w:color w:val="auto"/>
              </w:rPr>
            </w:pPr>
          </w:p>
        </w:tc>
      </w:tr>
      <w:tr>
        <w:trPr>
          <w:trHeight w:val="86"/>
        </w:trPr>
        <w:tc>
          <w:tcPr>
            <w:tcW w:w="2600" w:type="dxa"/>
            <w:vAlign w:val="bottom"/>
            <w:tcBorders>
              <w:bottom w:val="single" w:sz="8" w:color="808080"/>
            </w:tcBorders>
          </w:tcPr>
          <w:p>
            <w:pPr>
              <w:spacing w:after="0"/>
              <w:rPr>
                <w:sz w:val="7"/>
                <w:szCs w:val="7"/>
                <w:color w:val="auto"/>
              </w:rPr>
            </w:pPr>
          </w:p>
        </w:tc>
        <w:tc>
          <w:tcPr>
            <w:tcW w:w="28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r>
      <w:tr>
        <w:trPr>
          <w:trHeight w:val="407"/>
        </w:trPr>
        <w:tc>
          <w:tcPr>
            <w:tcW w:w="2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40" w:type="dxa"/>
            <w:vAlign w:val="bottom"/>
          </w:tcPr>
          <w:p>
            <w:pPr>
              <w:jc w:val="right"/>
              <w:ind w:right="3012"/>
              <w:spacing w:after="0"/>
              <w:rPr>
                <w:sz w:val="20"/>
                <w:szCs w:val="20"/>
                <w:color w:val="auto"/>
              </w:rPr>
            </w:pPr>
            <w:r>
              <w:rPr>
                <w:rFonts w:ascii="Times New Roman" w:cs="Times New Roman" w:eastAsia="Times New Roman" w:hAnsi="Times New Roman"/>
                <w:sz w:val="14"/>
                <w:szCs w:val="14"/>
                <w:color w:val="auto"/>
              </w:rPr>
              <w:t>56</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46"/>
        </w:trPr>
        <w:tc>
          <w:tcPr>
            <w:tcW w:w="26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460"/>
          </w:cols>
          <w:pgMar w:left="220" w:top="245"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Estimated</w:t>
            </w:r>
          </w:p>
        </w:tc>
      </w:t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Fair Market</w:t>
            </w:r>
          </w:p>
        </w:tc>
      </w:tr>
      <w:tr>
        <w:trPr>
          <w:trHeight w:val="115"/>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Value</w:t>
            </w:r>
          </w:p>
        </w:tc>
      </w:tr>
      <w:tr>
        <w:trPr>
          <w:trHeight w:val="139"/>
        </w:trPr>
        <w:tc>
          <w:tcPr>
            <w:tcW w:w="370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Name of Portfolio Company</w:t>
            </w:r>
          </w:p>
        </w:tc>
        <w:tc>
          <w:tcPr>
            <w:tcW w:w="220" w:type="dxa"/>
            <w:vAlign w:val="bottom"/>
          </w:tcPr>
          <w:p>
            <w:pPr>
              <w:spacing w:after="0"/>
              <w:rPr>
                <w:sz w:val="12"/>
                <w:szCs w:val="12"/>
                <w:color w:val="auto"/>
              </w:rPr>
            </w:pPr>
          </w:p>
        </w:tc>
        <w:tc>
          <w:tcPr>
            <w:tcW w:w="3720" w:type="dxa"/>
            <w:vAlign w:val="bottom"/>
          </w:tcPr>
          <w:p>
            <w:pPr>
              <w:ind w:left="1440"/>
              <w:spacing w:after="0"/>
              <w:rPr>
                <w:sz w:val="20"/>
                <w:szCs w:val="20"/>
                <w:color w:val="auto"/>
              </w:rPr>
            </w:pPr>
            <w:r>
              <w:rPr>
                <w:rFonts w:ascii="Times New Roman" w:cs="Times New Roman" w:eastAsia="Times New Roman" w:hAnsi="Times New Roman"/>
                <w:sz w:val="10"/>
                <w:szCs w:val="10"/>
                <w:b w:val="1"/>
                <w:bCs w:val="1"/>
                <w:color w:val="auto"/>
              </w:rPr>
              <w:t>Nature of Business</w:t>
            </w:r>
          </w:p>
        </w:tc>
        <w:tc>
          <w:tcPr>
            <w:tcW w:w="220" w:type="dxa"/>
            <w:vAlign w:val="bottom"/>
          </w:tcPr>
          <w:p>
            <w:pPr>
              <w:spacing w:after="0"/>
              <w:rPr>
                <w:sz w:val="12"/>
                <w:szCs w:val="12"/>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millions)</w:t>
            </w:r>
          </w:p>
        </w:tc>
      </w:tr>
      <w:tr>
        <w:trPr>
          <w:trHeight w:val="73"/>
        </w:trPr>
        <w:tc>
          <w:tcPr>
            <w:tcW w:w="37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X-Rite, Incorporated</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Electronics</w:t>
            </w:r>
          </w:p>
        </w:tc>
        <w:tc>
          <w:tcPr>
            <w:tcW w:w="220" w:type="dxa"/>
            <w:vAlign w:val="bottom"/>
          </w:tcPr>
          <w:p>
            <w:pPr>
              <w:spacing w:after="0"/>
              <w:rPr>
                <w:sz w:val="22"/>
                <w:szCs w:val="22"/>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L + 5.00%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06/30/13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449"/>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Senior Secured Bond</w:t>
            </w: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GFSI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Apparel</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11.00%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06/01/11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MSX International,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Diversified/Conglomerate Service</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11.00%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10/15/07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Strategic Industries</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Diversified/Conglomerate</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12.50%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10/01/07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Manufacturing</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Terphane Holdings Corp.</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Containers, Packaging and Glass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12.50%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06/15/09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Terphane Holdings Corp.</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Containers, Packaging and Glass</w:t>
            </w:r>
          </w:p>
        </w:tc>
        <w:tc>
          <w:tcPr>
            <w:tcW w:w="220" w:type="dxa"/>
            <w:vAlign w:val="bottom"/>
          </w:tcPr>
          <w:p>
            <w:pPr>
              <w:spacing w:after="0"/>
              <w:rPr>
                <w:sz w:val="22"/>
                <w:szCs w:val="22"/>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L + 9.70%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06/15/09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UNO Restaurant</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Restaurant</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10.00%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02/15/11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Vitamin Shoppe Industries,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Retail Store</w:t>
            </w:r>
          </w:p>
        </w:tc>
        <w:tc>
          <w:tcPr>
            <w:tcW w:w="220" w:type="dxa"/>
            <w:vAlign w:val="bottom"/>
          </w:tcPr>
          <w:p>
            <w:pPr>
              <w:spacing w:after="0"/>
              <w:rPr>
                <w:sz w:val="22"/>
                <w:szCs w:val="22"/>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L + 7.50%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11/15/12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449"/>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Unsecured Bond</w:t>
            </w: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Advanced Lighting Technologies,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Electronics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11.00%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03/31/09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Ainsworth Lumber</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Diversified Natural Resources,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7.25%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10/01/12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8"/>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Precious Metals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EuroFresh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Farming and Agriculture</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11.50%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01/15/13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Harry and David Operations</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Farming and Agriculture</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9.00%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03/01/13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Jason Incorporated</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Automobile</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13.00%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11/01/08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Leiner Health Products,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11.00%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06/01/12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NE Restaurant Co.</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Restaurant</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10.75%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07/15/08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Network Communications,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Printing, Publishing, and Broadcasting</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10.75%</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12/01/13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TriMas Corp</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9.88%</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06/15/12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gridSpan w:val="2"/>
          </w:tcPr>
          <w:p>
            <w:pPr>
              <w:spacing w:after="0"/>
              <w:rPr>
                <w:sz w:val="7"/>
                <w:szCs w:val="7"/>
                <w:color w:val="auto"/>
              </w:rPr>
            </w:pPr>
          </w:p>
        </w:tc>
        <w:tc>
          <w:tcPr>
            <w:tcW w:w="1080" w:type="dxa"/>
            <w:vAlign w:val="bottom"/>
            <w:tcBorders>
              <w:bottom w:val="single" w:sz="8" w:color="808080"/>
            </w:tcBorders>
            <w:gridSpan w:val="2"/>
          </w:tcPr>
          <w:p>
            <w:pPr>
              <w:spacing w:after="0"/>
              <w:rPr>
                <w:sz w:val="7"/>
                <w:szCs w:val="7"/>
                <w:color w:val="auto"/>
              </w:rPr>
            </w:pPr>
          </w:p>
        </w:tc>
        <w:tc>
          <w:tcPr>
            <w:tcW w:w="1060" w:type="dxa"/>
            <w:vAlign w:val="bottom"/>
            <w:tcBorders>
              <w:bottom w:val="single" w:sz="8" w:color="808080"/>
            </w:tcBorders>
            <w:gridSpan w:val="2"/>
          </w:tcPr>
          <w:p>
            <w:pPr>
              <w:spacing w:after="0"/>
              <w:rPr>
                <w:sz w:val="7"/>
                <w:szCs w:val="7"/>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WII Components, Inc.</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Buildings and Real Estate</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10.00%</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02/15/12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86"/>
        </w:trPr>
        <w:tc>
          <w:tcPr>
            <w:tcW w:w="3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226060</wp:posOffset>
            </wp:positionV>
            <wp:extent cx="110299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80" w:right="520" w:hanging="576"/>
        <w:spacing w:after="0" w:line="270" w:lineRule="auto"/>
        <w:tabs>
          <w:tab w:leader="none" w:pos="5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 means the London Interbank Offered Rate (LIBOR), which generally at the option of the respective borrowers may be based on LIBOR rates of various terms, depending on the term of the borrowing.</w:t>
      </w:r>
    </w:p>
    <w:p>
      <w:pPr>
        <w:spacing w:after="0" w:line="161" w:lineRule="exact"/>
        <w:rPr>
          <w:sz w:val="20"/>
          <w:szCs w:val="20"/>
          <w:color w:val="auto"/>
        </w:rPr>
      </w:pPr>
    </w:p>
    <w:p>
      <w:pPr>
        <w:ind w:right="80" w:firstLine="209"/>
        <w:spacing w:after="0" w:line="356" w:lineRule="auto"/>
        <w:rPr>
          <w:sz w:val="20"/>
          <w:szCs w:val="20"/>
          <w:color w:val="auto"/>
        </w:rPr>
      </w:pPr>
      <w:r>
        <w:rPr>
          <w:rFonts w:ascii="Times New Roman" w:cs="Times New Roman" w:eastAsia="Times New Roman" w:hAnsi="Times New Roman"/>
          <w:sz w:val="12"/>
          <w:szCs w:val="12"/>
          <w:color w:val="auto"/>
        </w:rPr>
        <w:t>Our investment adviser employs a proprietary credit rating system (“CRM”) to categorize our investments. See “—Ongoing relationships with and monitoring of portfolio companies.” We believe that as of September 30, 2006, the weighted average rating of the investments included in the Portfolio is approximately $2.5 billion and the weighted average yield of such investments is approximately 10.7%.</w:t>
      </w:r>
    </w:p>
    <w:p>
      <w:pPr>
        <w:spacing w:after="0" w:line="114" w:lineRule="exact"/>
        <w:rPr>
          <w:sz w:val="20"/>
          <w:szCs w:val="20"/>
          <w:color w:val="auto"/>
        </w:rPr>
      </w:pPr>
    </w:p>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In addition to various risk management and monitoring tools, GSC Group normally grades all investments using a proprietary scoring system. GSC Group utilizes CMR to rate its portfolio companies. The CMR rating consists of two components: (i) a numerical debt score and (ii) a corporate letter rating. The numerical debt score is based on the objective evaluation of six risk categories: (i) leverage, (ii) seniority in the capital structure, (iii) fixed charge coverage ratio, (iv) debt service coverage/liquidity, (v) operating performance, and (vi) business/industry risk.</w:t>
      </w:r>
    </w:p>
    <w:p>
      <w:pPr>
        <w:spacing w:after="0" w:line="168" w:lineRule="exact"/>
        <w:rPr>
          <w:sz w:val="20"/>
          <w:szCs w:val="20"/>
          <w:color w:val="auto"/>
        </w:rPr>
      </w:pPr>
    </w:p>
    <w:p>
      <w:pPr>
        <w:ind w:firstLine="209"/>
        <w:spacing w:after="0" w:line="254" w:lineRule="auto"/>
        <w:rPr>
          <w:sz w:val="20"/>
          <w:szCs w:val="20"/>
          <w:color w:val="auto"/>
        </w:rPr>
      </w:pPr>
      <w:r>
        <w:rPr>
          <w:rFonts w:ascii="Times New Roman" w:cs="Times New Roman" w:eastAsia="Times New Roman" w:hAnsi="Times New Roman"/>
          <w:sz w:val="14"/>
          <w:szCs w:val="14"/>
          <w:color w:val="auto"/>
        </w:rPr>
        <w:t>Each of these six elements is graded on a scale of one through five; a score of greater than 3.5 is considered at risk. Our numerical score is designed to produce higher scores for debt positions that are more subordinate in the capital structure. Therefore, generally second lien loans, high-yield bonds and mezzanine debt will be assigned scores of 2.25 or higher, regardless of operational performance. The CMR also consists of a corporate letter rating, whereby each credit is assigned a letter rating based on several subjective criteria, including perceived financial and operating strength and covenant compliance. The corporate letter ratings range from A through F and are characterized as follows: (A) = strong credit, (B) = satisfactory credit, (C) = special attention credit, (D) = payment default risk, (E) = payment default, (F) = restructured equity security.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503" w:right="2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199" w:lineRule="exact"/>
        <w:rPr>
          <w:sz w:val="20"/>
          <w:szCs w:val="20"/>
          <w:color w:val="auto"/>
        </w:rPr>
      </w:pPr>
    </w:p>
    <w:p>
      <w:pPr>
        <w:ind w:firstLine="209"/>
        <w:spacing w:after="0" w:line="254" w:lineRule="auto"/>
        <w:rPr>
          <w:sz w:val="20"/>
          <w:szCs w:val="20"/>
          <w:color w:val="auto"/>
        </w:rPr>
      </w:pPr>
      <w:r>
        <w:rPr>
          <w:rFonts w:ascii="Times New Roman" w:cs="Times New Roman" w:eastAsia="Times New Roman" w:hAnsi="Times New Roman"/>
          <w:sz w:val="14"/>
          <w:szCs w:val="14"/>
          <w:color w:val="auto"/>
        </w:rPr>
        <w:t>We will seek to create a diversified portfolio that will include first and second lien loans and long-term mezzanine debt by investing up to 5% of capital in each investment, although the investment sizes may be more or less then the targeted range. We also anticipate, to a lesser extent, making equity investments in private middle market companies. Each of these investments will generally be less than 5% of capital and made in conjunction with loans we make to these companies. We expect that our target portfolio over time will include both first and second lien loans and long-term mezzanine debt, and, to a lesser extent, private equity securities. In addition to originating investments, we may acquire investments in the secondary market. We may in the future consider securitizing certain of the portfolio investments out of a wholly-owned subsidiary, subject to our ability to satisfy the 1940 Act restrictions on BDCs, including the qualifying asset and leverage tests.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First lien loans</w:t>
      </w:r>
    </w:p>
    <w:p>
      <w:pPr>
        <w:spacing w:after="0" w:line="199" w:lineRule="exact"/>
        <w:rPr>
          <w:sz w:val="20"/>
          <w:szCs w:val="20"/>
          <w:color w:val="auto"/>
        </w:rPr>
      </w:pPr>
    </w:p>
    <w:p>
      <w:pPr>
        <w:ind w:right="160" w:firstLine="209"/>
        <w:spacing w:after="0" w:line="323" w:lineRule="auto"/>
        <w:rPr>
          <w:sz w:val="20"/>
          <w:szCs w:val="20"/>
          <w:color w:val="auto"/>
        </w:rPr>
      </w:pPr>
      <w:r>
        <w:rPr>
          <w:rFonts w:ascii="Times New Roman" w:cs="Times New Roman" w:eastAsia="Times New Roman" w:hAnsi="Times New Roman"/>
          <w:sz w:val="12"/>
          <w:szCs w:val="12"/>
          <w:color w:val="auto"/>
        </w:rPr>
        <w:t>First lien loans are secured by a first priority perfected security interest on all assets of the borrower and may include a first priority pledge of the capital stock of the borrower. First lien loans hold first priority with regard to right of payment. Generally, first lien loans offer floating rate interest payments, have a stated maturity of five to seven years, and typically have a fixed amortization schedule. First lien loans generally have restrictive financial covenants that govern such items as the maintenance of certain financial ratios, restricted payments, asset sales and additional debt incurrence.</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Second lien loans</w:t>
      </w:r>
    </w:p>
    <w:p>
      <w:pPr>
        <w:spacing w:after="0" w:line="199" w:lineRule="exact"/>
        <w:rPr>
          <w:sz w:val="20"/>
          <w:szCs w:val="20"/>
          <w:color w:val="auto"/>
        </w:rPr>
      </w:pPr>
    </w:p>
    <w:p>
      <w:pPr>
        <w:jc w:val="both"/>
        <w:ind w:right="140" w:firstLine="209"/>
        <w:spacing w:after="0" w:line="260" w:lineRule="auto"/>
        <w:rPr>
          <w:sz w:val="20"/>
          <w:szCs w:val="20"/>
          <w:color w:val="auto"/>
        </w:rPr>
      </w:pPr>
      <w:r>
        <w:rPr>
          <w:rFonts w:ascii="Times New Roman" w:cs="Times New Roman" w:eastAsia="Times New Roman" w:hAnsi="Times New Roman"/>
          <w:sz w:val="14"/>
          <w:szCs w:val="14"/>
          <w:color w:val="auto"/>
        </w:rPr>
        <w:t>Second lien loans are secured by a second perfected priority security interest on all assets of the borrower and may include a second priority pledge of the capital stock of the borrower as well. Second lien loans hold second priority with regard to right of payment. Second lien loans offer either floating rate or fixed rate interest payments that generally have a stated maturity of five to eight years, and may or may not have a fixed amortization schedule. Second lien loans generally have less restrictive financial covenants than those that govern first lien loans.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Mezzanine debt</w:t>
      </w:r>
    </w:p>
    <w:p>
      <w:pPr>
        <w:spacing w:after="0" w:line="199"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Structurally, mezzanine debt usually ranks subordinate in priority of payment to senior loans and is often unsecured. However, mezzanine debt ranks senior to common and preferred equity in a borrowers’ capital structure. Typically, mezzanine debt has elements of both debt and equity instruments, offering the fixed returns in the form of interest payments associated with senior loans, while providing lenders an opportunity to participate in the capital appreciation of a borrower, if any, through an equity interest. This equity interest typically takes the form of warrants. Due to its higher risk profile and often less restrictive covenants as compared to senior loans, mezzanine debt generally earns a higher return than senior secured debt. The warrants associated with mezzanine debt are typically detachable, which allows lenders to receive repayment of their principal on an agreed amortization schedule while retaining their equity interest in the borrower. Mezzanine debt also may include a “put” feature, which permits the holder to sell its equity interest back to the borrower at a price determined through an agreed formula.</w:t>
      </w:r>
    </w:p>
    <w:p>
      <w:pPr>
        <w:spacing w:after="0" w:line="175" w:lineRule="exact"/>
        <w:rPr>
          <w:sz w:val="20"/>
          <w:szCs w:val="20"/>
          <w:color w:val="auto"/>
        </w:rPr>
      </w:pPr>
    </w:p>
    <w:p>
      <w:pPr>
        <w:ind w:right="320" w:firstLine="209"/>
        <w:spacing w:after="0" w:line="270" w:lineRule="auto"/>
        <w:rPr>
          <w:sz w:val="20"/>
          <w:szCs w:val="20"/>
          <w:color w:val="auto"/>
        </w:rPr>
      </w:pPr>
      <w:r>
        <w:rPr>
          <w:rFonts w:ascii="Times New Roman" w:cs="Times New Roman" w:eastAsia="Times New Roman" w:hAnsi="Times New Roman"/>
          <w:sz w:val="14"/>
          <w:szCs w:val="14"/>
          <w:color w:val="auto"/>
        </w:rPr>
        <w:t>We also intend, to a lesser extent, to make equity investments in private middle market companies. In making an investment, in addition to considering the factors discussed below under “—Investment selection,” we also consider the anticipated timing of a liquidity event, such as a public offering, sale of the company or redemption of our equity securities.</w:t>
      </w:r>
    </w:p>
    <w:p>
      <w:pPr>
        <w:spacing w:after="0" w:line="161" w:lineRule="exact"/>
        <w:rPr>
          <w:sz w:val="20"/>
          <w:szCs w:val="20"/>
          <w:color w:val="auto"/>
        </w:rPr>
      </w:pPr>
    </w:p>
    <w:p>
      <w:pPr>
        <w:ind w:right="160" w:firstLine="209"/>
        <w:spacing w:after="0" w:line="260" w:lineRule="auto"/>
        <w:rPr>
          <w:sz w:val="20"/>
          <w:szCs w:val="20"/>
          <w:color w:val="auto"/>
        </w:rPr>
      </w:pPr>
      <w:r>
        <w:rPr>
          <w:rFonts w:ascii="Times New Roman" w:cs="Times New Roman" w:eastAsia="Times New Roman" w:hAnsi="Times New Roman"/>
          <w:sz w:val="14"/>
          <w:szCs w:val="14"/>
          <w:color w:val="auto"/>
        </w:rPr>
        <w:t>We will generally seek to target companies that generate positive cash flows. GSC Group has a staff of 70 investment professionals who specialize in specific industries. We will generally seek to invest in companies from the industries in which GSC Group’s investment professionals have direct expertise. The following is a representative list of the industries in which GSC Group has invested: aerospace and defense, automotive, broadcasting/cable, chemicals, consumer products, energy, environmental services, food and beverage, gaming,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health care, homebuilding, lodging and leisure, metals/mining, paper and forest products, retail, diversified manufacturer, supermarket and drug, technology, wireless telecom and wireline telecom.</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However, we may invest in other industries if we are presented with attractive opportunities.</w:t>
      </w:r>
    </w:p>
    <w:p>
      <w:pPr>
        <w:spacing w:after="0" w:line="195" w:lineRule="exact"/>
        <w:rPr>
          <w:sz w:val="20"/>
          <w:szCs w:val="20"/>
          <w:color w:val="auto"/>
        </w:rPr>
      </w:pPr>
    </w:p>
    <w:p>
      <w:pPr>
        <w:jc w:val="both"/>
        <w:ind w:firstLine="209"/>
        <w:spacing w:after="0" w:line="260" w:lineRule="auto"/>
        <w:rPr>
          <w:sz w:val="20"/>
          <w:szCs w:val="20"/>
          <w:color w:val="auto"/>
        </w:rPr>
      </w:pPr>
      <w:r>
        <w:rPr>
          <w:rFonts w:ascii="Times New Roman" w:cs="Times New Roman" w:eastAsia="Times New Roman" w:hAnsi="Times New Roman"/>
          <w:sz w:val="14"/>
          <w:szCs w:val="14"/>
          <w:color w:val="auto"/>
        </w:rPr>
        <w:t>As a result of regulatory restrictions, we are generally not permitted to invest in any portfolio company in which GSC Group or any affiliate currently has an investment. In addition to such investments, we may invest up to 30% of our assets in opportunistic investments in high-yield bonds, debt and equity securities in CDO vehicles, distressed debt and equity securities of public companies. We also may invest in debt of private middle market companies located outside of the United States.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Prospective Portfolio Company Characteristics</w:t>
      </w:r>
    </w:p>
    <w:p>
      <w:pPr>
        <w:spacing w:after="0" w:line="199" w:lineRule="exact"/>
        <w:rPr>
          <w:sz w:val="20"/>
          <w:szCs w:val="20"/>
          <w:color w:val="auto"/>
        </w:rPr>
      </w:pPr>
    </w:p>
    <w:p>
      <w:pPr>
        <w:ind w:right="300" w:firstLine="209"/>
        <w:spacing w:after="0" w:line="270" w:lineRule="auto"/>
        <w:rPr>
          <w:sz w:val="20"/>
          <w:szCs w:val="20"/>
          <w:color w:val="auto"/>
        </w:rPr>
      </w:pPr>
      <w:r>
        <w:rPr>
          <w:rFonts w:ascii="Times New Roman" w:cs="Times New Roman" w:eastAsia="Times New Roman" w:hAnsi="Times New Roman"/>
          <w:sz w:val="14"/>
          <w:szCs w:val="14"/>
          <w:color w:val="auto"/>
        </w:rPr>
        <w:t>Our investment adviser will utilize the same disciplined investment philosophy as that of GSC Group’s corporate credit group in identifying and selecting portfolio company investments. Our portfolio companies generally will have one of more of the following characteristics: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issuers that have a history of generating stable earnings and strong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issuers that have well constructed balance sheets, including an established tangible liquidation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industry leaders with significant competitive advantages and sustainable market shares in attractive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capital structures that provide appropriate terms and reasonable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management teams that are experienced and that hold meaningful equity ownership in the businesses that they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issuers with reasonable price-to-cash flow multiples;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industries in which GSC Group’s investment professionals historically have had deep investment experience and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macro competitive dynamics in the industry within which each company competes;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adhering to diversification with regard to position sizes, industry groups and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Investment selection</w:t>
      </w:r>
    </w:p>
    <w:p>
      <w:pPr>
        <w:spacing w:after="0" w:line="199" w:lineRule="exact"/>
        <w:rPr>
          <w:sz w:val="20"/>
          <w:szCs w:val="20"/>
          <w:color w:val="auto"/>
        </w:rPr>
      </w:pPr>
    </w:p>
    <w:p>
      <w:pPr>
        <w:ind w:right="300" w:firstLine="209"/>
        <w:spacing w:after="0" w:line="256" w:lineRule="auto"/>
        <w:rPr>
          <w:sz w:val="20"/>
          <w:szCs w:val="20"/>
          <w:color w:val="auto"/>
        </w:rPr>
      </w:pPr>
      <w:r>
        <w:rPr>
          <w:rFonts w:ascii="Times New Roman" w:cs="Times New Roman" w:eastAsia="Times New Roman" w:hAnsi="Times New Roman"/>
          <w:sz w:val="14"/>
          <w:szCs w:val="14"/>
          <w:color w:val="auto"/>
        </w:rPr>
        <w:t>Our investment adviser will employ a rigorous and consistent investment selection process which will be based on extensive quantitative and qualitative analysis. Through this process, we will seek to identify those issuers exhibiting superior fundamental risk-reward profiles and strong defensible business franchises with the goal of minimizing principal losses while maximizing risk-adjusted returns. In managing us, our investment adviser will employ the same investment philosophy and portfolio management methodologies used by the investment professionals of GSC Group in GSC Group’s private investment funds. Our investment adviser’s investment philosophy and portfolio construction will involve the following:</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bottoms-up, company-specific research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with respect to each individual company, an emphasis on capital preservation, low volatility and minimization of downside risk;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00"/>
          </w:cols>
          <w:pgMar w:left="220" w:top="674" w:right="279" w:bottom="1440" w:gutter="0" w:footer="0" w:header="0"/>
        </w:sectPr>
      </w:pPr>
    </w:p>
    <w:bookmarkStart w:id="66" w:name="page67"/>
    <w:bookmarkEnd w:id="66"/>
    <w:p>
      <w:pPr>
        <w:ind w:left="420"/>
        <w:spacing w:after="0"/>
        <w:rPr>
          <w:sz w:val="20"/>
          <w:szCs w:val="20"/>
          <w:color w:val="auto"/>
        </w:rPr>
      </w:pPr>
      <w:r>
        <w:rPr>
          <w:rFonts w:ascii="Times New Roman" w:cs="Times New Roman" w:eastAsia="Times New Roman" w:hAnsi="Times New Roman"/>
          <w:sz w:val="14"/>
          <w:szCs w:val="14"/>
          <w:color w:val="auto"/>
        </w:rPr>
        <w:t>investing with management teams that are experienced and that hold meaningful equity ownership in the businesses that they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GSC Group’s investment process includes the following steps:</w:t>
      </w:r>
    </w:p>
    <w:p>
      <w:pPr>
        <w:spacing w:after="0" w:line="172" w:lineRule="exact"/>
        <w:rPr>
          <w:sz w:val="20"/>
          <w:szCs w:val="20"/>
          <w:color w:val="auto"/>
        </w:rPr>
      </w:pPr>
    </w:p>
    <w:p>
      <w:pPr>
        <w:ind w:left="1160" w:right="140"/>
        <w:spacing w:after="0" w:line="261" w:lineRule="auto"/>
        <w:rPr>
          <w:sz w:val="20"/>
          <w:szCs w:val="20"/>
          <w:color w:val="auto"/>
        </w:rPr>
      </w:pPr>
      <w:r>
        <w:rPr>
          <w:rFonts w:ascii="Times New Roman" w:cs="Times New Roman" w:eastAsia="Times New Roman" w:hAnsi="Times New Roman"/>
          <w:sz w:val="14"/>
          <w:szCs w:val="14"/>
          <w:i w:val="1"/>
          <w:iCs w:val="1"/>
          <w:color w:val="auto"/>
        </w:rPr>
        <w:t>Initial screening</w:t>
      </w:r>
      <w:r>
        <w:rPr>
          <w:rFonts w:ascii="Times New Roman" w:cs="Times New Roman" w:eastAsia="Times New Roman" w:hAnsi="Times New Roman"/>
          <w:sz w:val="14"/>
          <w:szCs w:val="14"/>
          <w:color w:val="auto"/>
        </w:rPr>
        <w:t>. A brief analysis is prepared by the analyst which identifies the investment opportunity and reviews the merits of the transaction. The initial screening memorandum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 a brief discussion of the company, its industry, competitive position, capital structure, equity sponsor and deal economics. If the deal is believed to be attractive by the senior members of the deal team, the opportunity will be more fully analyzed.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-291465</wp:posOffset>
            </wp:positionV>
            <wp:extent cx="58420" cy="584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6" w:lineRule="exact"/>
        <w:rPr>
          <w:sz w:val="20"/>
          <w:szCs w:val="20"/>
          <w:color w:val="auto"/>
        </w:rPr>
      </w:pPr>
    </w:p>
    <w:p>
      <w:pPr>
        <w:ind w:left="1160" w:right="80"/>
        <w:spacing w:after="0" w:line="273" w:lineRule="auto"/>
        <w:rPr>
          <w:sz w:val="20"/>
          <w:szCs w:val="20"/>
          <w:color w:val="auto"/>
        </w:rPr>
      </w:pPr>
      <w:r>
        <w:rPr>
          <w:rFonts w:ascii="Times New Roman" w:cs="Times New Roman" w:eastAsia="Times New Roman" w:hAnsi="Times New Roman"/>
          <w:sz w:val="14"/>
          <w:szCs w:val="14"/>
          <w:i w:val="1"/>
          <w:iCs w:val="1"/>
          <w:color w:val="auto"/>
        </w:rPr>
        <w:t>Full analysis</w:t>
      </w:r>
      <w:r>
        <w:rPr>
          <w:rFonts w:ascii="Times New Roman" w:cs="Times New Roman" w:eastAsia="Times New Roman" w:hAnsi="Times New Roman"/>
          <w:sz w:val="14"/>
          <w:szCs w:val="14"/>
          <w:color w:val="auto"/>
        </w:rPr>
        <w:t>. Once an investment opportunity is viewed to be attractive by the senior members of the deal team, a full analysis is performed by the analyst assigned to the transaction.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 analysis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-190500</wp:posOffset>
            </wp:positionV>
            <wp:extent cx="58420" cy="584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39" w:lineRule="exact"/>
        <w:rPr>
          <w:sz w:val="20"/>
          <w:szCs w:val="20"/>
          <w:color w:val="auto"/>
        </w:rPr>
      </w:pPr>
    </w:p>
    <w:p>
      <w:pPr>
        <w:jc w:val="both"/>
        <w:ind w:left="1740" w:right="440"/>
        <w:spacing w:after="0" w:line="260" w:lineRule="auto"/>
        <w:rPr>
          <w:sz w:val="20"/>
          <w:szCs w:val="20"/>
          <w:color w:val="auto"/>
        </w:rPr>
      </w:pPr>
      <w:r>
        <w:rPr>
          <w:rFonts w:ascii="Times New Roman" w:cs="Times New Roman" w:eastAsia="Times New Roman" w:hAnsi="Times New Roman"/>
          <w:sz w:val="14"/>
          <w:szCs w:val="14"/>
          <w:color w:val="auto"/>
        </w:rPr>
        <w:t>Business and Industry Analysis—GSC Group reviews the targeted investment’s business position, competitive dynamics within the industry, cost and growth drivers and technological and geographic factors. GSC Group’s business and industry research often includes meetings with industry experts, consultants, GSC Group advisory board members, other investors, customers and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-291465</wp:posOffset>
            </wp:positionV>
            <wp:extent cx="58420" cy="584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8" w:lineRule="exact"/>
        <w:rPr>
          <w:sz w:val="20"/>
          <w:szCs w:val="20"/>
          <w:color w:val="auto"/>
        </w:rPr>
      </w:pPr>
    </w:p>
    <w:p>
      <w:pPr>
        <w:ind w:left="1740" w:right="100"/>
        <w:spacing w:after="0" w:line="270" w:lineRule="auto"/>
        <w:rPr>
          <w:sz w:val="20"/>
          <w:szCs w:val="20"/>
          <w:color w:val="auto"/>
        </w:rPr>
      </w:pPr>
      <w:r>
        <w:rPr>
          <w:rFonts w:ascii="Times New Roman" w:cs="Times New Roman" w:eastAsia="Times New Roman" w:hAnsi="Times New Roman"/>
          <w:sz w:val="14"/>
          <w:szCs w:val="14"/>
          <w:color w:val="auto"/>
        </w:rPr>
        <w:t>Company analysis—GSC Group performs an in-depth review of the targeted investment’s historical financial performance, future projections, cash flow characteristics, balance sheet strength, liquidation value, legal, financial and accounting risks, contingent liabilities, market share analysis and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-189230</wp:posOffset>
            </wp:positionV>
            <wp:extent cx="58420" cy="584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1" w:lineRule="exact"/>
        <w:rPr>
          <w:sz w:val="20"/>
          <w:szCs w:val="20"/>
          <w:color w:val="auto"/>
        </w:rPr>
      </w:pPr>
    </w:p>
    <w:p>
      <w:pPr>
        <w:ind w:left="1740" w:right="220"/>
        <w:spacing w:after="0" w:line="270" w:lineRule="auto"/>
        <w:rPr>
          <w:sz w:val="20"/>
          <w:szCs w:val="20"/>
          <w:color w:val="auto"/>
        </w:rPr>
      </w:pPr>
      <w:r>
        <w:rPr>
          <w:rFonts w:ascii="Times New Roman" w:cs="Times New Roman" w:eastAsia="Times New Roman" w:hAnsi="Times New Roman"/>
          <w:sz w:val="14"/>
          <w:szCs w:val="14"/>
          <w:color w:val="auto"/>
        </w:rPr>
        <w:t>Structural/security analysis—GSC Group performs a thorough legal document analysis including but not limited to an assessment of financial covenants, restricted payments, anti-layering protections, enforceability of liens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-189230</wp:posOffset>
            </wp:positionV>
            <wp:extent cx="58420" cy="584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39" w:lineRule="exact"/>
        <w:rPr>
          <w:sz w:val="20"/>
          <w:szCs w:val="20"/>
          <w:color w:val="auto"/>
        </w:rPr>
      </w:pPr>
    </w:p>
    <w:p>
      <w:pPr>
        <w:ind w:left="1160" w:right="60"/>
        <w:spacing w:after="0" w:line="261" w:lineRule="auto"/>
        <w:rPr>
          <w:sz w:val="20"/>
          <w:szCs w:val="20"/>
          <w:color w:val="auto"/>
        </w:rPr>
      </w:pPr>
      <w:r>
        <w:rPr>
          <w:rFonts w:ascii="Times New Roman" w:cs="Times New Roman" w:eastAsia="Times New Roman" w:hAnsi="Times New Roman"/>
          <w:sz w:val="14"/>
          <w:szCs w:val="14"/>
          <w:i w:val="1"/>
          <w:iCs w:val="1"/>
          <w:color w:val="auto"/>
        </w:rPr>
        <w:t>Approval of the group head</w:t>
      </w:r>
      <w:r>
        <w:rPr>
          <w:rFonts w:ascii="Times New Roman" w:cs="Times New Roman" w:eastAsia="Times New Roman" w:hAnsi="Times New Roman"/>
          <w:sz w:val="14"/>
          <w:szCs w:val="14"/>
          <w:color w:val="auto"/>
        </w:rPr>
        <w:t>. After an investment has been identified and diligence has been completed, a credit research and analysis report is prepared. This report will be reviewed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senior investment professional in charge of the potential investment. If such senior investment professional is in favor of the potential investment, then it is presented to the 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-291465</wp:posOffset>
            </wp:positionV>
            <wp:extent cx="58420" cy="584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6" w:lineRule="exact"/>
        <w:rPr>
          <w:sz w:val="20"/>
          <w:szCs w:val="20"/>
          <w:color w:val="auto"/>
        </w:rPr>
      </w:pPr>
    </w:p>
    <w:p>
      <w:pPr>
        <w:ind w:left="1160"/>
        <w:spacing w:after="0" w:line="261" w:lineRule="auto"/>
        <w:rPr>
          <w:sz w:val="20"/>
          <w:szCs w:val="20"/>
          <w:color w:val="auto"/>
        </w:rPr>
      </w:pPr>
      <w:r>
        <w:rPr>
          <w:rFonts w:ascii="Times New Roman" w:cs="Times New Roman" w:eastAsia="Times New Roman" w:hAnsi="Times New Roman"/>
          <w:sz w:val="14"/>
          <w:szCs w:val="14"/>
          <w:i w:val="1"/>
          <w:iCs w:val="1"/>
          <w:color w:val="auto"/>
        </w:rPr>
        <w:t>Approval of the investment committee</w:t>
      </w:r>
      <w:r>
        <w:rPr>
          <w:rFonts w:ascii="Times New Roman" w:cs="Times New Roman" w:eastAsia="Times New Roman" w:hAnsi="Times New Roman"/>
          <w:sz w:val="14"/>
          <w:szCs w:val="14"/>
          <w:color w:val="auto"/>
        </w:rPr>
        <w:t>. After the approval of the group head, the investment is presented to the investment committee. Our investment committee will approve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in excess of $5 million made by the Company by unanimous consent. Additional due diligence with respect to any investment may be conducted on our behalf by attorneys and independent accountants prior to the closing of the investment, as well as by other outside advisers,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-291465</wp:posOffset>
            </wp:positionV>
            <wp:extent cx="58420" cy="584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Investment structure</w:t>
      </w:r>
    </w:p>
    <w:p>
      <w:pPr>
        <w:spacing w:after="0" w:line="199" w:lineRule="exact"/>
        <w:rPr>
          <w:sz w:val="20"/>
          <w:szCs w:val="20"/>
          <w:color w:val="auto"/>
        </w:rPr>
      </w:pPr>
    </w:p>
    <w:p>
      <w:pPr>
        <w:jc w:val="both"/>
        <w:ind w:right="140" w:firstLine="209"/>
        <w:spacing w:after="0" w:line="256" w:lineRule="auto"/>
        <w:rPr>
          <w:sz w:val="20"/>
          <w:szCs w:val="20"/>
          <w:color w:val="auto"/>
        </w:rPr>
      </w:pPr>
      <w:r>
        <w:rPr>
          <w:rFonts w:ascii="Times New Roman" w:cs="Times New Roman" w:eastAsia="Times New Roman" w:hAnsi="Times New Roman"/>
          <w:sz w:val="14"/>
          <w:szCs w:val="14"/>
          <w:color w:val="auto"/>
        </w:rPr>
        <w:t>Once we have determined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expected to perform relative to the other capital in the portfolio company’s capital structure. In instances where we co-invest with GSC Partner funds, while we will invest on the same terms and neither we nor other GSC Group funds may negotiate terms of the transaction other than price, conflicts of interest may arise between GSC Group and us.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Debt investments</w:t>
      </w:r>
    </w:p>
    <w:p>
      <w:pPr>
        <w:spacing w:after="0" w:line="197" w:lineRule="exact"/>
        <w:rPr>
          <w:sz w:val="20"/>
          <w:szCs w:val="20"/>
          <w:color w:val="auto"/>
        </w:rPr>
      </w:pPr>
    </w:p>
    <w:p>
      <w:pPr>
        <w:ind w:right="20" w:firstLine="209"/>
        <w:spacing w:after="0" w:line="260" w:lineRule="auto"/>
        <w:rPr>
          <w:sz w:val="20"/>
          <w:szCs w:val="20"/>
          <w:color w:val="auto"/>
        </w:rPr>
      </w:pPr>
      <w:r>
        <w:rPr>
          <w:rFonts w:ascii="Times New Roman" w:cs="Times New Roman" w:eastAsia="Times New Roman" w:hAnsi="Times New Roman"/>
          <w:sz w:val="14"/>
          <w:szCs w:val="14"/>
          <w:color w:val="auto"/>
        </w:rPr>
        <w:t>We anticipate investing in portfolio companies in the form of first and second lien senior loans. We expect these loans generally to have terms of three to ten years. We generally will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95" w:right="259" w:bottom="1440" w:gutter="0" w:footer="0" w:header="0"/>
        </w:sectPr>
      </w:pPr>
    </w:p>
    <w:bookmarkStart w:id="67" w:name="page68"/>
    <w:bookmarkEnd w:id="67"/>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We anticipate structuring our mezzanine investments primarily as unsecured, subordinated loans that provide for relatively high, fixed interest rates that will provide us with significant current interest income. These loans typically will have interest-only payments in the early years, with amortization of principal deferred to the later years of the mezzanine debt. In some cases, we may enter into loans that, by their terms, convert into equity or additional debt or defer payments of interest (or at least cash interest) for the first few years after our investment.</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Also, in some cases our mezzanine debt will be collateralized by a subordinated lien on some or all of the assets of the borrower.</w:t>
      </w:r>
    </w:p>
    <w:p>
      <w:pPr>
        <w:spacing w:after="0" w:line="195" w:lineRule="exact"/>
        <w:rPr>
          <w:sz w:val="20"/>
          <w:szCs w:val="20"/>
          <w:color w:val="auto"/>
        </w:rPr>
      </w:pPr>
    </w:p>
    <w:p>
      <w:pPr>
        <w:ind w:right="180" w:firstLine="209"/>
        <w:spacing w:after="0" w:line="270" w:lineRule="auto"/>
        <w:rPr>
          <w:sz w:val="20"/>
          <w:szCs w:val="20"/>
          <w:color w:val="auto"/>
        </w:rPr>
      </w:pPr>
      <w:r>
        <w:rPr>
          <w:rFonts w:ascii="Times New Roman" w:cs="Times New Roman" w:eastAsia="Times New Roman" w:hAnsi="Times New Roman"/>
          <w:sz w:val="14"/>
          <w:szCs w:val="14"/>
          <w:color w:val="auto"/>
        </w:rPr>
        <w:t>In some cases our debt investments may provide for a portion of the interest payable to be payment-in-kind interest. To the extent interest is payment-in-kind, it will be payable through the increase of the principal amount of the loan by the amount of interest due on the then-outstanding aggregate principal amount of such loan.</w:t>
      </w:r>
    </w:p>
    <w:p>
      <w:pPr>
        <w:spacing w:after="0" w:line="161"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In the case of our first and second lien loans and mezzanine debt, we will tailor the terms of the investment to the facts and circumstances of the transaction and the prospective portfolio company, negotiating a structure that aims to protect our rights and manage our risk while creating incentives for the portfolio company to achieve its business plan and improve its profitability. For example, in addition to seeking a senior position in the capital structure of our portfolio companies, we will seek, where appropriate, to limit the downside potential of our investments by:</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requiring a total return on our investments (including both interest and potential equity appreciation) that compensates us for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requiring companies to use a portion of their excess cash flow to repay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selecting investments with covenants that incorporate call protection as part of the investment structure;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right="180"/>
        <w:spacing w:after="0" w:line="302" w:lineRule="auto"/>
        <w:rPr>
          <w:sz w:val="20"/>
          <w:szCs w:val="20"/>
          <w:color w:val="auto"/>
        </w:rPr>
      </w:pPr>
      <w:r>
        <w:rPr>
          <w:rFonts w:ascii="Times New Roman" w:cs="Times New Roman" w:eastAsia="Times New Roman" w:hAnsi="Times New Roman"/>
          <w:sz w:val="14"/>
          <w:szCs w:val="14"/>
          <w:color w:val="auto"/>
        </w:rPr>
        <w:t>selecting investments with contractual covenants that may include affirmative and negative covenants, default penalties, lien protection, change of control provisions and board rights, including either observation or participation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9" w:lineRule="exact"/>
        <w:rPr>
          <w:sz w:val="20"/>
          <w:szCs w:val="20"/>
          <w:color w:val="auto"/>
        </w:rPr>
      </w:pPr>
    </w:p>
    <w:p>
      <w:pPr>
        <w:ind w:right="20" w:firstLine="209"/>
        <w:spacing w:after="0" w:line="256" w:lineRule="auto"/>
        <w:rPr>
          <w:sz w:val="20"/>
          <w:szCs w:val="20"/>
          <w:color w:val="auto"/>
        </w:rPr>
      </w:pPr>
      <w:r>
        <w:rPr>
          <w:rFonts w:ascii="Times New Roman" w:cs="Times New Roman" w:eastAsia="Times New Roman" w:hAnsi="Times New Roman"/>
          <w:sz w:val="14"/>
          <w:szCs w:val="14"/>
          <w:color w:val="auto"/>
        </w:rPr>
        <w:t>In general, our investment adviser intends to select investments with financial covenants and terms that require an issuer to reduce leverage, thereby enhancing credit quality. These methods include: (i) maintenance leverage covenants requiring a decreasing ratio of debt to cash flow; (ii) maintenance cash flow covenants requiring an increasing ratio of cash flow to the sum of interest expense and capital expenditures; and (iii) debt incurrence prohibitions, limiting a company’s ability to re-lever. In addition, limitations on asset sales and capital expenditures should prevent a company from changing the nature of its business or capitalization without consent.</w:t>
      </w:r>
    </w:p>
    <w:p>
      <w:pPr>
        <w:spacing w:after="0" w:line="171" w:lineRule="exact"/>
        <w:rPr>
          <w:sz w:val="20"/>
          <w:szCs w:val="20"/>
          <w:color w:val="auto"/>
        </w:rPr>
      </w:pPr>
    </w:p>
    <w:p>
      <w:pPr>
        <w:ind w:right="120" w:firstLine="209"/>
        <w:spacing w:after="0" w:line="254" w:lineRule="auto"/>
        <w:rPr>
          <w:sz w:val="20"/>
          <w:szCs w:val="20"/>
          <w:color w:val="auto"/>
        </w:rPr>
      </w:pPr>
      <w:r>
        <w:rPr>
          <w:rFonts w:ascii="Times New Roman" w:cs="Times New Roman" w:eastAsia="Times New Roman" w:hAnsi="Times New Roman"/>
          <w:sz w:val="14"/>
          <w:szCs w:val="14"/>
          <w:color w:val="auto"/>
        </w:rPr>
        <w:t>Our debt investments may include equity features, such as warrants or options to buy a minority interest in the portfolio company. Warrants we receive with our debt may require only a nominal cost to exercise, and thus, as a portfolio company appreciates in value, we may achieve additional investment return from this equity interest. We may structure the warrants to provide provisions protecting our rights as a minority-interest holder, as well as puts, or rights to sell such securities back to the company, upon the occurrence of specified events. In many cases, we will also obtain registration rights in connection with these equity interests, which may include demand and “piggyback” registration rights. Where we are participating in an investment with other funds managed by GSC Group, we will be limited in our ability to participate in the structuring of the investment.</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Equity investments</w:t>
      </w:r>
    </w:p>
    <w:p>
      <w:pPr>
        <w:spacing w:after="0" w:line="197" w:lineRule="exact"/>
        <w:rPr>
          <w:sz w:val="20"/>
          <w:szCs w:val="20"/>
          <w:color w:val="auto"/>
        </w:rPr>
      </w:pPr>
    </w:p>
    <w:p>
      <w:pPr>
        <w:ind w:right="20" w:firstLine="209"/>
        <w:spacing w:after="0" w:line="270" w:lineRule="auto"/>
        <w:rPr>
          <w:sz w:val="20"/>
          <w:szCs w:val="20"/>
          <w:color w:val="auto"/>
        </w:rPr>
      </w:pPr>
      <w:r>
        <w:rPr>
          <w:rFonts w:ascii="Times New Roman" w:cs="Times New Roman" w:eastAsia="Times New Roman" w:hAnsi="Times New Roman"/>
          <w:sz w:val="14"/>
          <w:szCs w:val="14"/>
          <w:color w:val="auto"/>
        </w:rPr>
        <w:t>Our equity investments may consist of preferred equity that is expected to pay dividends on a current basis or preferred equity that does not pay current dividends. Preferred equity generally has a preference over common equity as to distributions on liquidation and dividends. In some cases, we may acquire common equity. In general,</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95" w:right="239" w:bottom="1440" w:gutter="0" w:footer="0" w:header="0"/>
        </w:sectPr>
      </w:pPr>
    </w:p>
    <w:bookmarkStart w:id="68" w:name="page69"/>
    <w:bookmarkEnd w:id="68"/>
    <w:p>
      <w:pPr>
        <w:ind w:right="340"/>
        <w:spacing w:after="0" w:line="270" w:lineRule="auto"/>
        <w:rPr>
          <w:sz w:val="20"/>
          <w:szCs w:val="20"/>
          <w:color w:val="auto"/>
        </w:rPr>
      </w:pPr>
      <w:r>
        <w:rPr>
          <w:rFonts w:ascii="Times New Roman" w:cs="Times New Roman" w:eastAsia="Times New Roman" w:hAnsi="Times New Roman"/>
          <w:sz w:val="14"/>
          <w:szCs w:val="14"/>
          <w:color w:val="auto"/>
        </w:rPr>
        <w:t>our equity investments will not be control-oriented investments and we expect that in many cases we will acquire equity securities as part of a group of private equity investors in which we are not the lead investor.</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Valuation process</w:t>
      </w:r>
    </w:p>
    <w:p>
      <w:pPr>
        <w:spacing w:after="0" w:line="199" w:lineRule="exact"/>
        <w:rPr>
          <w:sz w:val="20"/>
          <w:szCs w:val="20"/>
          <w:color w:val="auto"/>
        </w:rPr>
      </w:pPr>
    </w:p>
    <w:p>
      <w:pPr>
        <w:ind w:right="200" w:firstLine="209"/>
        <w:spacing w:after="0" w:line="260" w:lineRule="auto"/>
        <w:rPr>
          <w:sz w:val="20"/>
          <w:szCs w:val="20"/>
          <w:color w:val="auto"/>
        </w:rPr>
      </w:pPr>
      <w:r>
        <w:rPr>
          <w:rFonts w:ascii="Times New Roman" w:cs="Times New Roman" w:eastAsia="Times New Roman" w:hAnsi="Times New Roman"/>
          <w:sz w:val="14"/>
          <w:szCs w:val="14"/>
          <w:color w:val="auto"/>
        </w:rPr>
        <w:t>The following is a description of the steps we will take each quarter to determine the value of our portfolio. Investments for which market quotations are readily available will be recorded in our financial statements at such market quotations. With respect to investments for which market quotations are not readily available, our board of directors will undertake a multi-step valuation process each quarter, as described below:</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responsible for the portfolio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Preliminary valuation conclusions will then be documented and discussed with our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 independent valuation firm engaged by our board of directors will review one quarter of our portfolio’s preliminary valuations; as a result, the entire portfolio will be reviewed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-60325</wp:posOffset>
            </wp:positionV>
            <wp:extent cx="58420" cy="584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19" w:lineRule="exact"/>
        <w:rPr>
          <w:sz w:val="20"/>
          <w:szCs w:val="20"/>
          <w:color w:val="auto"/>
        </w:rPr>
      </w:pPr>
    </w:p>
    <w:p>
      <w:pPr>
        <w:ind w:left="420" w:right="60"/>
        <w:spacing w:after="0" w:line="302" w:lineRule="auto"/>
        <w:rPr>
          <w:sz w:val="20"/>
          <w:szCs w:val="20"/>
          <w:color w:val="auto"/>
        </w:rPr>
      </w:pPr>
      <w:r>
        <w:rPr>
          <w:rFonts w:ascii="Times New Roman" w:cs="Times New Roman" w:eastAsia="Times New Roman" w:hAnsi="Times New Roman"/>
          <w:sz w:val="14"/>
          <w:szCs w:val="14"/>
          <w:color w:val="auto"/>
        </w:rPr>
        <w:t>The audit committee of our board of directors will review the preliminary valuation and our investment adviser and independent valuation firm will respond and supplement the preliminary valuation to reflect any comments provided by the audit committee;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80"/>
        <w:spacing w:after="0" w:line="302" w:lineRule="auto"/>
        <w:rPr>
          <w:sz w:val="20"/>
          <w:szCs w:val="20"/>
          <w:color w:val="auto"/>
        </w:rPr>
      </w:pPr>
      <w:r>
        <w:rPr>
          <w:rFonts w:ascii="Times New Roman" w:cs="Times New Roman" w:eastAsia="Times New Roman" w:hAnsi="Times New Roman"/>
          <w:sz w:val="14"/>
          <w:szCs w:val="14"/>
          <w:color w:val="auto"/>
        </w:rPr>
        <w:t>The board of directors will discuss valuations and will determine the fair value of each investment in our portfolio in good faith based on the input of our investment adviser, independent valuation firm and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Resolution of potential conflicts of interest; equitable allocation of investment opportunities</w:t>
      </w:r>
    </w:p>
    <w:p>
      <w:pPr>
        <w:spacing w:after="0" w:line="199"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Subject to the 1940 Act restrictions on co-investments with affiliates, GSC Group will offer us the right to participate in all investment opportunities that it determines are appropriate for us in view of our investment objectives, policies and strategies and other relevant factors, subject to the exception that, in accordance with GSC Group’s conflict of interest and allocation policies, we might not participate in each individual opportunity but will, on an overall basis, be entitled to equitably participate with GSC Group’s other funds or other clients.</w:t>
      </w:r>
    </w:p>
    <w:p>
      <w:pPr>
        <w:spacing w:after="0" w:line="168" w:lineRule="exact"/>
        <w:rPr>
          <w:sz w:val="20"/>
          <w:szCs w:val="20"/>
          <w:color w:val="auto"/>
        </w:rPr>
      </w:pPr>
    </w:p>
    <w:p>
      <w:pPr>
        <w:ind w:right="60" w:firstLine="209"/>
        <w:spacing w:after="0" w:line="253" w:lineRule="auto"/>
        <w:rPr>
          <w:sz w:val="20"/>
          <w:szCs w:val="20"/>
          <w:color w:val="auto"/>
        </w:rPr>
      </w:pPr>
      <w:r>
        <w:rPr>
          <w:rFonts w:ascii="Times New Roman" w:cs="Times New Roman" w:eastAsia="Times New Roman" w:hAnsi="Times New Roman"/>
          <w:sz w:val="14"/>
          <w:szCs w:val="14"/>
          <w:color w:val="auto"/>
        </w:rPr>
        <w:t>We anticipate that we will be GSC Group’s principal investment vehicle for non-distressed second lien loans and mezzanine debt of U.S. middle market entities. Although existing and future investment vehicles managed or to be managed by GSC Group invest or may invest in mezzanine loans and second lien loans, none of these investment vehicles target non-distressed domestic second lien and mezzanine loans as the core of their portfolios. For example, while funds managed by GSC Group’s control distressed debt group may purchase second lien loans and mezzanine debt of private middle market companies, these funds will typically be interested in these assets in distressed situations, whereas we generally will seek to hold performing debt. Likewise, while funds managed by GSC Group’s structured finance group may purchase second lien loans and mezzanine debt as an aspect of their investment strategies, these funds are largely focused on asset-backed and mortgage-backed loans and debt, not on corporate debt of the type we target. Finally, due to the high amounts of leverage deployed by various CDO funds managed by GSC Group, these funds tend to target first lien loans, while second lien and mezzanine loans are a secondary part of the strategy.</w:t>
      </w:r>
    </w:p>
    <w:p>
      <w:pPr>
        <w:spacing w:after="0" w:line="173" w:lineRule="exact"/>
        <w:rPr>
          <w:sz w:val="20"/>
          <w:szCs w:val="20"/>
          <w:color w:val="auto"/>
        </w:rPr>
      </w:pPr>
    </w:p>
    <w:p>
      <w:pPr>
        <w:ind w:right="80" w:firstLine="209"/>
        <w:spacing w:after="0" w:line="253" w:lineRule="auto"/>
        <w:rPr>
          <w:sz w:val="20"/>
          <w:szCs w:val="20"/>
          <w:color w:val="auto"/>
        </w:rPr>
      </w:pPr>
      <w:r>
        <w:rPr>
          <w:rFonts w:ascii="Times New Roman" w:cs="Times New Roman" w:eastAsia="Times New Roman" w:hAnsi="Times New Roman"/>
          <w:sz w:val="14"/>
          <w:szCs w:val="14"/>
          <w:color w:val="auto"/>
        </w:rPr>
        <w:t>To the extent that we do compete with any of GSC Group’s clients for a particular investment opportunity, our investment adviser will allocate the investment opportunity across the funds for which the investment is appropriate based on its internal conflict of interest and allocation policies consistent with the requirements of the Advisers Act, subject further to the 1940 Act restrictions on co-investments with affiliates and also giving effect to priorities that may be enjoyed by one or more funds based on their investment mandate or guidelines. For example, GSC European Mezzanine Fund II, L.P. has a priority on investments in mezzanine securities, primarily of issuers located in Europe. Subject to the foregoing, GSC Group’s allocation policies are intended to ensure that we may generally share equitably with other GSC Group-managed investment vehicles in investment opportunities, particularly those involving a security with limited supply or involving differing classes of securities of the same issuer, that may be suitable for us and such other investment vehicles.</w:t>
      </w:r>
    </w:p>
    <w:p>
      <w:pPr>
        <w:spacing w:after="0" w:line="175" w:lineRule="exact"/>
        <w:rPr>
          <w:sz w:val="20"/>
          <w:szCs w:val="20"/>
          <w:color w:val="auto"/>
        </w:rPr>
      </w:pPr>
    </w:p>
    <w:p>
      <w:pPr>
        <w:ind w:right="140" w:firstLine="209"/>
        <w:spacing w:after="0" w:line="253" w:lineRule="auto"/>
        <w:rPr>
          <w:sz w:val="20"/>
          <w:szCs w:val="20"/>
          <w:color w:val="auto"/>
        </w:rPr>
      </w:pPr>
      <w:r>
        <w:rPr>
          <w:rFonts w:ascii="Times New Roman" w:cs="Times New Roman" w:eastAsia="Times New Roman" w:hAnsi="Times New Roman"/>
          <w:sz w:val="14"/>
          <w:szCs w:val="14"/>
          <w:color w:val="auto"/>
        </w:rPr>
        <w:t>GSC Group has historically managed investment vehicles with similar or overlapping investment strategies and has a conflict-resolution policy in place that will also address the co-investment restrictions under the 1940 Act. The policy is intended to ensure that we comply with the 1940 Act restrictions on transactions with affiliates. These restrictions will significantly impact our ability to co-invest with other GSC Group’s funds. While the 1940 Act generally prohibits all “joint transactions” between entities that share a common investment adviser, the staff of the SEC has granted no-action relief permitting purchases of a single class of privately-placed securities, provided that the investment adviser negotiates no term other than price and certain other conditions are satisfied. As a result, we only expect to co-invest on a concurrent basis with GSC Group’s funds when each fund will own the same securities of the issuer. If opportunities arise that would otherwise be appropriate for us and for one or more of GSC Group’s other funds to invest in different securities of the same issuer, our investment adviser will need to decide whether we or the other funds will proceed with the investment. See “Regulation—Co-investment.”</w:t>
      </w:r>
    </w:p>
    <w:p>
      <w:pPr>
        <w:spacing w:after="0" w:line="173"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GSC Group’s allocation procedures seek to allocate investment opportunities among the investment vehicles of GSC Group in a manner consistent with its obligations under the Advisers Act. If two or more investment vehicles with similar investment strategies are still in their investment periods, an available investment opportunity will be allocated based on the provisions governing allocations of investment opportunities in the relevant organizational documents.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Portfolio management policies</w:t>
      </w:r>
    </w:p>
    <w:p>
      <w:pPr>
        <w:spacing w:after="0" w:line="199"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GSC Group has designed a compliance program to monitor its conflict-resolution policies and procedures and regularly evaluates the reasonableness of such policies and procedures. This program is governed in part by the requirements of the 1940 Act.</w:t>
      </w:r>
    </w:p>
    <w:p>
      <w:pPr>
        <w:spacing w:after="0" w:line="14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000"/>
          </w:cols>
          <w:pgMar w:left="220" w:top="670" w:right="6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Ongoing relationships with and monitoring of portfolio companies</w:t>
      </w:r>
    </w:p>
    <w:p>
      <w:pPr>
        <w:spacing w:after="0" w:line="199" w:lineRule="exact"/>
        <w:rPr>
          <w:sz w:val="20"/>
          <w:szCs w:val="20"/>
          <w:color w:val="auto"/>
        </w:rPr>
      </w:pPr>
    </w:p>
    <w:p>
      <w:pPr>
        <w:ind w:right="40" w:firstLine="209"/>
        <w:spacing w:after="0" w:line="270" w:lineRule="auto"/>
        <w:rPr>
          <w:sz w:val="20"/>
          <w:szCs w:val="20"/>
          <w:color w:val="auto"/>
        </w:rPr>
      </w:pPr>
      <w:r>
        <w:rPr>
          <w:rFonts w:ascii="Times New Roman" w:cs="Times New Roman" w:eastAsia="Times New Roman" w:hAnsi="Times New Roman"/>
          <w:sz w:val="14"/>
          <w:szCs w:val="14"/>
          <w:color w:val="auto"/>
        </w:rPr>
        <w:t>Our investment adviser will closely monitor each investment the Company makes, maintain a regular dialogue with both the management team and other stockholders and seek specifically tailored financial reporting. In addition, senior investment professionals of GSC Group may take board seats or board observation seats.</w:t>
      </w:r>
    </w:p>
    <w:p>
      <w:pPr>
        <w:spacing w:after="0" w:line="161" w:lineRule="exact"/>
        <w:rPr>
          <w:sz w:val="20"/>
          <w:szCs w:val="20"/>
          <w:color w:val="auto"/>
        </w:rPr>
      </w:pPr>
    </w:p>
    <w:p>
      <w:pPr>
        <w:ind w:right="180" w:firstLine="209"/>
        <w:spacing w:after="0" w:line="260" w:lineRule="auto"/>
        <w:rPr>
          <w:sz w:val="20"/>
          <w:szCs w:val="20"/>
          <w:color w:val="auto"/>
        </w:rPr>
      </w:pPr>
      <w:r>
        <w:rPr>
          <w:rFonts w:ascii="Times New Roman" w:cs="Times New Roman" w:eastAsia="Times New Roman" w:hAnsi="Times New Roman"/>
          <w:sz w:val="14"/>
          <w:szCs w:val="14"/>
          <w:color w:val="auto"/>
        </w:rPr>
        <w:t>Post-investment, in addition to covenants and other contractual rights, GSC Group will seek to exert significant influence through board participation, when appropriate, and by actively working with management on strategic initiatives. GSC Group often introduces managers of companies in which they have invested to other portfolio companies to capitalize on complementary business activities and best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Managerial assistance</w:t>
      </w:r>
    </w:p>
    <w:p>
      <w:pPr>
        <w:spacing w:after="0" w:line="199" w:lineRule="exact"/>
        <w:rPr>
          <w:sz w:val="20"/>
          <w:szCs w:val="20"/>
          <w:color w:val="auto"/>
        </w:rPr>
      </w:pPr>
    </w:p>
    <w:p>
      <w:pPr>
        <w:ind w:right="180" w:firstLine="209"/>
        <w:spacing w:after="0" w:line="254" w:lineRule="auto"/>
        <w:rPr>
          <w:sz w:val="20"/>
          <w:szCs w:val="20"/>
          <w:color w:val="auto"/>
        </w:rPr>
      </w:pPr>
      <w:r>
        <w:rPr>
          <w:rFonts w:ascii="Times New Roman" w:cs="Times New Roman" w:eastAsia="Times New Roman" w:hAnsi="Times New Roman"/>
          <w:sz w:val="14"/>
          <w:szCs w:val="14"/>
          <w:color w:val="auto"/>
        </w:rPr>
        <w:t>As a BDC, we will offer, and must provide upon request, managerial assistance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Pursuant to a separate administration agreement, our investment adviser (to the extent permitted under the 1940 Act) will provide such managerial assistance on our behalf to portfolio companies that request this assistance, recognizing that our involvement with each investment will vary based on factors including the size of the company, the nature of our investment, the company’s overall stage of development and our relative position in the capital structure. We may receive fees for these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99"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Our primary competitors providing financing to private middle market companies will include public and private investment funds, commercial and investment banks, commercial financing companies and private debt funds. Many of our competitors are substantially larger and have considerably greater financial, technical and marketing resources than we do. For example,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once we make our election to be treated as a BDC. We expect to use the industry information of GSC Group’s investment professionals to which we will have access to assess investment risks and determine appropriate pricing for our investments in portfolio companies. In addition, we expect that the relationships of the members of our investment adviser’s investment committees and the senior principals of GSC Group will enable us to learn about, and compete effectively for, financing opportunities with attractive private middle market companies in the industries in which we seek to invest. For additional information concerning the competitive risks we face, see “Risk Factors—Risks related to our business—We operate in a highly competitive market for investment opportunities.”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Staffing</w:t>
      </w:r>
    </w:p>
    <w:p>
      <w:pPr>
        <w:spacing w:after="0" w:line="199" w:lineRule="exact"/>
        <w:rPr>
          <w:sz w:val="20"/>
          <w:szCs w:val="20"/>
          <w:color w:val="auto"/>
        </w:rPr>
      </w:pPr>
    </w:p>
    <w:p>
      <w:pPr>
        <w:ind w:right="260" w:firstLine="209"/>
        <w:spacing w:after="0" w:line="270" w:lineRule="auto"/>
        <w:rPr>
          <w:sz w:val="20"/>
          <w:szCs w:val="20"/>
          <w:color w:val="auto"/>
        </w:rPr>
      </w:pPr>
      <w:r>
        <w:rPr>
          <w:rFonts w:ascii="Times New Roman" w:cs="Times New Roman" w:eastAsia="Times New Roman" w:hAnsi="Times New Roman"/>
          <w:sz w:val="14"/>
          <w:szCs w:val="14"/>
          <w:color w:val="auto"/>
        </w:rPr>
        <w:t>We do not currently have any employees and do not expect to have any employees. Services necessary for our business will be provided by individuals who are employees of our investment adviser and GSC Group, pursuant to the terms of the investment advisory and management agreement and the administration agreement. Each of our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0" w:right="239" w:bottom="1440" w:gutter="0" w:footer="0" w:header="0"/>
        </w:sectPr>
      </w:pPr>
    </w:p>
    <w:bookmarkStart w:id="71" w:name="page72"/>
    <w:bookmarkEnd w:id="71"/>
    <w:p>
      <w:pPr>
        <w:spacing w:after="0" w:line="256" w:lineRule="auto"/>
        <w:rPr>
          <w:sz w:val="20"/>
          <w:szCs w:val="20"/>
          <w:color w:val="auto"/>
        </w:rPr>
      </w:pPr>
      <w:r>
        <w:rPr>
          <w:rFonts w:ascii="Times New Roman" w:cs="Times New Roman" w:eastAsia="Times New Roman" w:hAnsi="Times New Roman"/>
          <w:sz w:val="14"/>
          <w:szCs w:val="14"/>
          <w:color w:val="auto"/>
        </w:rPr>
        <w:t>executive officers described under “Management” is an employee of GSC Group and/or our investment adviser. Our day-to-day investment operations will be managed by our investment adviser. Most of the services necessary for the origination and administration of our investment portfolio will be provided by investment professionals employed by our investment adviser. In addition, we will reimburse GSC Group for our allocable portion of expenses incurred by it in performing its obligations under the administration agreement, including rent and our allocable portion of the cost of our officers and their respective staffs. See “Management—Administration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Properties</w:t>
      </w:r>
    </w:p>
    <w:p>
      <w:pPr>
        <w:spacing w:after="0" w:line="199" w:lineRule="exact"/>
        <w:rPr>
          <w:sz w:val="20"/>
          <w:szCs w:val="20"/>
          <w:color w:val="auto"/>
        </w:rPr>
      </w:pPr>
    </w:p>
    <w:p>
      <w:pPr>
        <w:ind w:right="220" w:firstLine="209"/>
        <w:spacing w:after="0" w:line="356" w:lineRule="auto"/>
        <w:rPr>
          <w:sz w:val="20"/>
          <w:szCs w:val="20"/>
          <w:color w:val="auto"/>
        </w:rPr>
      </w:pPr>
      <w:r>
        <w:rPr>
          <w:rFonts w:ascii="Times New Roman" w:cs="Times New Roman" w:eastAsia="Times New Roman" w:hAnsi="Times New Roman"/>
          <w:sz w:val="12"/>
          <w:szCs w:val="12"/>
          <w:color w:val="auto"/>
        </w:rPr>
        <w:t>Our corporate office is located at 12 East 49th Street, Suite 3200, New York, New York 10017. Our telephone number is (212) 884-6200. We have an additional office located at 500 Campus Drive, Suite 220, Florham Park, New Jersey 07932. In conjunction with our management, our investment adviser may lease additional office facilities in New York to facilitate origination and marketing activities.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Neither we nor our investment adviser are currently subject to any material legal proceedings.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72" w:name="page73"/>
    <w:bookmarkEnd w:id="72"/>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99" w:lineRule="exact"/>
        <w:rPr>
          <w:sz w:val="20"/>
          <w:szCs w:val="20"/>
          <w:color w:val="auto"/>
        </w:rPr>
      </w:pPr>
    </w:p>
    <w:p>
      <w:pPr>
        <w:ind w:right="200" w:firstLine="209"/>
        <w:spacing w:after="0" w:line="270" w:lineRule="auto"/>
        <w:rPr>
          <w:sz w:val="20"/>
          <w:szCs w:val="20"/>
          <w:color w:val="auto"/>
        </w:rPr>
      </w:pPr>
      <w:r>
        <w:rPr>
          <w:rFonts w:ascii="Times New Roman" w:cs="Times New Roman" w:eastAsia="Times New Roman" w:hAnsi="Times New Roman"/>
          <w:sz w:val="14"/>
          <w:szCs w:val="14"/>
          <w:color w:val="auto"/>
        </w:rPr>
        <w:t>Our business and affairs are managed under the direction of our board of directors. The board of directors currently consists of members, of whom are not “interested persons” of GSC Investment LLC as defined in Section 2(a)(19) of the 1940 Act. Our board of directors elects our officers, who will serve at the discretion of the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and board of directors</w:t>
      </w:r>
    </w:p>
    <w:p>
      <w:pPr>
        <w:spacing w:after="0" w:line="19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Under our charter, our directors are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Directors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Information regarding the board of directors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Other Directorships/</w:t>
            </w:r>
          </w:p>
        </w:tc>
      </w:tr>
      <w:tr>
        <w:trPr>
          <w:trHeight w:val="115"/>
        </w:trPr>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2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00" w:type="dxa"/>
            <w:vAlign w:val="bottom"/>
          </w:tcPr>
          <w:p>
            <w:pPr>
              <w:spacing w:after="0"/>
              <w:rPr>
                <w:sz w:val="10"/>
                <w:szCs w:val="10"/>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0"/>
                <w:szCs w:val="10"/>
                <w:b w:val="1"/>
                <w:bCs w:val="1"/>
                <w:color w:val="auto"/>
              </w:rPr>
              <w:t>Principal Occupation(s)</w:t>
            </w:r>
          </w:p>
        </w:tc>
        <w:tc>
          <w:tcPr>
            <w:tcW w:w="10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Trusteeships Held by</w:t>
            </w:r>
          </w:p>
        </w:tc>
      </w:tr>
      <w:tr>
        <w:trPr>
          <w:trHeight w:val="139"/>
        </w:trPr>
        <w:tc>
          <w:tcPr>
            <w:tcW w:w="1880" w:type="dxa"/>
            <w:vAlign w:val="bottom"/>
          </w:tcPr>
          <w:p>
            <w:pPr>
              <w:ind w:left="8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220" w:type="dxa"/>
            <w:vAlign w:val="bottom"/>
          </w:tcPr>
          <w:p>
            <w:pPr>
              <w:spacing w:after="0"/>
              <w:rPr>
                <w:sz w:val="12"/>
                <w:szCs w:val="12"/>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Age</w:t>
            </w:r>
          </w:p>
        </w:tc>
        <w:tc>
          <w:tcPr>
            <w:tcW w:w="200" w:type="dxa"/>
            <w:vAlign w:val="bottom"/>
          </w:tcPr>
          <w:p>
            <w:pPr>
              <w:spacing w:after="0"/>
              <w:rPr>
                <w:sz w:val="12"/>
                <w:szCs w:val="12"/>
                <w:color w:val="auto"/>
              </w:rPr>
            </w:pPr>
          </w:p>
        </w:tc>
        <w:tc>
          <w:tcPr>
            <w:tcW w:w="1900" w:type="dxa"/>
            <w:vAlign w:val="bottom"/>
          </w:tcPr>
          <w:p>
            <w:pPr>
              <w:ind w:left="780"/>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Since</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of Term</w:t>
            </w:r>
          </w:p>
        </w:tc>
        <w:tc>
          <w:tcPr>
            <w:tcW w:w="100" w:type="dxa"/>
            <w:vAlign w:val="bottom"/>
          </w:tcPr>
          <w:p>
            <w:pPr>
              <w:spacing w:after="0"/>
              <w:rPr>
                <w:sz w:val="12"/>
                <w:szCs w:val="12"/>
                <w:color w:val="auto"/>
              </w:rPr>
            </w:pPr>
          </w:p>
        </w:tc>
        <w:tc>
          <w:tcPr>
            <w:tcW w:w="2020" w:type="dxa"/>
            <w:vAlign w:val="bottom"/>
          </w:tcPr>
          <w:p>
            <w:pPr>
              <w:ind w:left="500"/>
              <w:spacing w:after="0"/>
              <w:rPr>
                <w:sz w:val="20"/>
                <w:szCs w:val="20"/>
                <w:color w:val="auto"/>
              </w:rPr>
            </w:pPr>
            <w:r>
              <w:rPr>
                <w:rFonts w:ascii="Times New Roman" w:cs="Times New Roman" w:eastAsia="Times New Roman" w:hAnsi="Times New Roman"/>
                <w:sz w:val="10"/>
                <w:szCs w:val="10"/>
                <w:b w:val="1"/>
                <w:bCs w:val="1"/>
                <w:color w:val="auto"/>
              </w:rPr>
              <w:t>During Last Five Years</w:t>
            </w:r>
          </w:p>
        </w:tc>
        <w:tc>
          <w:tcPr>
            <w:tcW w:w="10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Board Member</w:t>
            </w:r>
          </w:p>
        </w:tc>
      </w:tr>
      <w:tr>
        <w:trPr>
          <w:trHeight w:val="73"/>
        </w:trPr>
        <w:tc>
          <w:tcPr>
            <w:tcW w:w="18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9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40" w:type="dxa"/>
            <w:vAlign w:val="bottom"/>
            <w:tcBorders>
              <w:bottom w:val="single" w:sz="8" w:color="808080"/>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380"/>
          </w:cols>
          <w:pgMar w:left="220" w:top="670" w:right="299" w:bottom="144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8"/>
        </w:trPr>
        <w:tc>
          <w:tcPr>
            <w:tcW w:w="1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Directors (1)</w:t>
            </w:r>
          </w:p>
        </w:tc>
        <w:tc>
          <w:tcPr>
            <w:tcW w:w="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79"/>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Interested Directors</w:t>
            </w:r>
          </w:p>
        </w:tc>
        <w:tc>
          <w:tcPr>
            <w:tcW w:w="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9"/>
        </w:trPr>
        <w:tc>
          <w:tcPr>
            <w:tcW w:w="1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Thomas V.</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49</w:t>
            </w:r>
          </w:p>
        </w:tc>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Chief Executive Officer</w:t>
            </w: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2006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r>
      <w:tr>
        <w:trPr>
          <w:trHeight w:val="188"/>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Inglesby</w:t>
            </w:r>
          </w:p>
        </w:tc>
        <w:tc>
          <w:tcPr>
            <w:tcW w:w="9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69"/>
        </w:trPr>
        <w:tc>
          <w:tcPr>
            <w:tcW w:w="1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Richard M.</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61</w:t>
            </w:r>
          </w:p>
        </w:tc>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Chairman of the Board</w:t>
            </w: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2006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r>
      <w:tr>
        <w:trPr>
          <w:trHeight w:val="196"/>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Hayden</w:t>
            </w:r>
          </w:p>
        </w:tc>
        <w:tc>
          <w:tcPr>
            <w:tcW w:w="980" w:type="dxa"/>
            <w:vAlign w:val="bottom"/>
          </w:tcPr>
          <w:p>
            <w:pPr>
              <w:spacing w:after="0"/>
              <w:rPr>
                <w:sz w:val="17"/>
                <w:szCs w:val="17"/>
                <w:color w:val="auto"/>
              </w:rPr>
            </w:pPr>
          </w:p>
        </w:tc>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 Directors</w:t>
            </w: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Joined GSC Group at its inception in 1999 and has been a Senior Managing Director since . Joined GSC Group in 2000 and has been a Vice Chairman of GSC Group since and is head of the corporate credit group. Prior to 2000, Mr. Hayden was a Partner of Goldman, Sachs &amp; Co., where he was a Managing Director and the Deputy Chairman of Goldman, Sachs &amp; Co. International Ltd., responsible for all European investment banking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COFRA Holdings,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 and Deutsche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Boerse AG</w:t>
      </w:r>
    </w:p>
    <w:p>
      <w:pPr>
        <w:sectPr>
          <w:pgSz w:w="11900" w:h="16838" w:orient="portrait"/>
          <w:cols w:equalWidth="0" w:num="3">
            <w:col w:w="6420" w:space="300"/>
            <w:col w:w="2020" w:space="100"/>
            <w:col w:w="2540"/>
          </w:cols>
          <w:pgMar w:left="220" w:top="670" w:right="29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15"/>
        </w:trPr>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Other Directorships/</w:t>
            </w:r>
          </w:p>
        </w:tc>
      </w:tr>
      <w:tr>
        <w:trPr>
          <w:trHeight w:val="115"/>
        </w:trPr>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2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Principal Occupation(s)</w:t>
            </w:r>
          </w:p>
        </w:tc>
        <w:tc>
          <w:tcPr>
            <w:tcW w:w="22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Trusteeships Held by</w:t>
            </w:r>
          </w:p>
        </w:tc>
      </w:tr>
      <w:tr>
        <w:trPr>
          <w:trHeight w:val="139"/>
        </w:trPr>
        <w:tc>
          <w:tcPr>
            <w:tcW w:w="1860" w:type="dxa"/>
            <w:vAlign w:val="bottom"/>
          </w:tcPr>
          <w:p>
            <w:pPr>
              <w:ind w:left="800"/>
              <w:spacing w:after="0"/>
              <w:rPr>
                <w:sz w:val="20"/>
                <w:szCs w:val="20"/>
                <w:color w:val="auto"/>
              </w:rPr>
            </w:pPr>
            <w:r>
              <w:rPr>
                <w:rFonts w:ascii="Times New Roman" w:cs="Times New Roman" w:eastAsia="Times New Roman" w:hAnsi="Times New Roman"/>
                <w:sz w:val="10"/>
                <w:szCs w:val="10"/>
                <w:b w:val="1"/>
                <w:bCs w:val="1"/>
                <w:color w:val="auto"/>
              </w:rPr>
              <w:t>Name</w:t>
            </w:r>
          </w:p>
        </w:tc>
        <w:tc>
          <w:tcPr>
            <w:tcW w:w="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Age</w:t>
            </w:r>
          </w:p>
        </w:tc>
        <w:tc>
          <w:tcPr>
            <w:tcW w:w="220" w:type="dxa"/>
            <w:vAlign w:val="bottom"/>
          </w:tcPr>
          <w:p>
            <w:pPr>
              <w:spacing w:after="0"/>
              <w:rPr>
                <w:sz w:val="12"/>
                <w:szCs w:val="12"/>
                <w:color w:val="auto"/>
              </w:rPr>
            </w:pPr>
          </w:p>
        </w:tc>
        <w:tc>
          <w:tcPr>
            <w:tcW w:w="1840" w:type="dxa"/>
            <w:vAlign w:val="bottom"/>
          </w:tcPr>
          <w:p>
            <w:pPr>
              <w:ind w:left="740"/>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Since</w:t>
            </w:r>
          </w:p>
        </w:tc>
        <w:tc>
          <w:tcPr>
            <w:tcW w:w="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of Term</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During Last Five Years</w:t>
            </w:r>
          </w:p>
        </w:tc>
        <w:tc>
          <w:tcPr>
            <w:tcW w:w="22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Board Member</w:t>
            </w:r>
          </w:p>
        </w:tc>
      </w:tr>
      <w:tr>
        <w:trPr>
          <w:trHeight w:val="73"/>
        </w:trPr>
        <w:tc>
          <w:tcPr>
            <w:tcW w:w="18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960" w:type="dxa"/>
            <w:vAlign w:val="bottom"/>
            <w:tcBorders>
              <w:bottom w:val="single" w:sz="8" w:color="808080"/>
            </w:tcBorders>
            <w:gridSpan w:val="2"/>
          </w:tcPr>
          <w:p>
            <w:pPr>
              <w:spacing w:after="0"/>
              <w:rPr>
                <w:sz w:val="6"/>
                <w:szCs w:val="6"/>
                <w:color w:val="auto"/>
              </w:rPr>
            </w:pPr>
          </w:p>
        </w:tc>
        <w:tc>
          <w:tcPr>
            <w:tcW w:w="220" w:type="dxa"/>
            <w:vAlign w:val="bottom"/>
          </w:tcPr>
          <w:p>
            <w:pPr>
              <w:spacing w:after="0"/>
              <w:rPr>
                <w:sz w:val="6"/>
                <w:szCs w:val="6"/>
                <w:color w:val="auto"/>
              </w:rPr>
            </w:pPr>
          </w:p>
        </w:tc>
        <w:tc>
          <w:tcPr>
            <w:tcW w:w="1940" w:type="dxa"/>
            <w:vAlign w:val="bottom"/>
            <w:tcBorders>
              <w:bottom w:val="single" w:sz="8" w:color="808080"/>
            </w:tcBorders>
          </w:tcPr>
          <w:p>
            <w:pPr>
              <w:spacing w:after="0"/>
              <w:rPr>
                <w:sz w:val="6"/>
                <w:szCs w:val="6"/>
                <w:color w:val="auto"/>
              </w:rPr>
            </w:pPr>
          </w:p>
        </w:tc>
      </w:tr>
      <w:tr>
        <w:trPr>
          <w:trHeight w:val="232"/>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Robert F.</w:t>
            </w:r>
          </w:p>
        </w:tc>
        <w:tc>
          <w:tcPr>
            <w:tcW w:w="8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56</w:t>
            </w: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8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color w:val="auto"/>
                <w:w w:val="99"/>
              </w:rPr>
              <w:t>2006</w:t>
            </w:r>
          </w:p>
        </w:tc>
        <w:tc>
          <w:tcPr>
            <w:tcW w:w="88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color w:val="auto"/>
                <w:w w:val="92"/>
              </w:rPr>
              <w:t>2009</w:t>
            </w:r>
          </w:p>
        </w:tc>
        <w:tc>
          <w:tcPr>
            <w:tcW w:w="2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Joined GSC Group in 2002 and has</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4"/>
              </w:rPr>
              <w:t>ATSI Holdings, GSC Capital Corp.,</w:t>
            </w:r>
          </w:p>
        </w:tc>
      </w:tr>
      <w:tr>
        <w:trPr>
          <w:trHeight w:val="196"/>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Cummings, Jr</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been a Senior Managing Director</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Precision Partners Inc., RR</w:t>
            </w:r>
          </w:p>
        </w:tc>
      </w:tr>
      <w:tr>
        <w:trPr>
          <w:trHeight w:val="188"/>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since</w:t>
            </w:r>
          </w:p>
        </w:tc>
        <w:tc>
          <w:tcPr>
            <w:tcW w:w="16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7"/>
              </w:rPr>
              <w:t>and Chairman of the Risk</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Donnelley and Sons Co., Corning</w:t>
            </w:r>
          </w:p>
        </w:tc>
      </w:tr>
      <w:tr>
        <w:trPr>
          <w:trHeight w:val="188"/>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&amp; Conflicts Committee and the</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8"/>
              </w:rPr>
              <w:t>Inc., Viasystems Group Inc., and a</w:t>
            </w:r>
          </w:p>
        </w:tc>
      </w:tr>
      <w:tr>
        <w:trPr>
          <w:trHeight w:val="188"/>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Valuation Committee since   .</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member of the Board of Trustees</w:t>
            </w:r>
          </w:p>
        </w:tc>
      </w:tr>
      <w:tr>
        <w:trPr>
          <w:trHeight w:val="188"/>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Prior to joining GSC Group, was a</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of Union College</w:t>
            </w:r>
          </w:p>
        </w:tc>
      </w:tr>
      <w:tr>
        <w:trPr>
          <w:trHeight w:val="188"/>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Partner of Goldman, Sachs &amp; Co.,</w:t>
            </w: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where he was a member of the</w:t>
            </w: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Finance Department,</w:t>
            </w: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1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advising corporate clients on</w:t>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financing, mergers and</w:t>
      </w:r>
    </w:p>
    <w:p>
      <w:pPr>
        <w:spacing w:after="0" w:line="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acquisitions, and strategic financial</w:t>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177800</wp:posOffset>
            </wp:positionV>
            <wp:extent cx="200723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007235" cy="6350"/>
                    </a:xfrm>
                    <a:prstGeom prst="rect">
                      <a:avLst/>
                    </a:prstGeom>
                    <a:noFill/>
                  </pic:spPr>
                </pic:pic>
              </a:graphicData>
            </a:graphic>
          </wp:anchor>
        </w:drawing>
      </w:r>
    </w:p>
    <w:p>
      <w:pPr>
        <w:spacing w:after="0" w:line="345" w:lineRule="exact"/>
        <w:rPr>
          <w:sz w:val="20"/>
          <w:szCs w:val="20"/>
          <w:color w:val="auto"/>
        </w:rPr>
      </w:pPr>
    </w:p>
    <w:p>
      <w:pPr>
        <w:ind w:left="540" w:right="940" w:hanging="536"/>
        <w:spacing w:after="0" w:line="270" w:lineRule="auto"/>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of this offering, we will appoint additional persons who are not interested persons, as defined in section 2(a)(19) of the 1940 Act to serve on our board of directors.</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address for each director is c/o GSC Investment LLC, 12 East 49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Street, New York, New York 10017.</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who are not directors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Information regarding our executive officers who are not directors is as follows:</w:t>
      </w:r>
    </w:p>
    <w:p>
      <w:pPr>
        <w:spacing w:after="0" w:line="171"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0"/>
          <w:szCs w:val="10"/>
          <w:b w:val="1"/>
          <w:bCs w:val="1"/>
          <w:color w:val="auto"/>
        </w:rPr>
        <w:t>Other Directorships/</w:t>
      </w:r>
    </w:p>
    <w:p>
      <w:pPr>
        <w:spacing w:after="0" w:line="14" w:lineRule="exact"/>
        <w:rPr>
          <w:sz w:val="20"/>
          <w:szCs w:val="20"/>
          <w:color w:val="auto"/>
        </w:rPr>
      </w:pPr>
    </w:p>
    <w:p>
      <w:pPr>
        <w:ind w:left="6700"/>
        <w:spacing w:after="0"/>
        <w:tabs>
          <w:tab w:leader="none" w:pos="9260" w:val="left"/>
        </w:tabs>
        <w:rPr>
          <w:sz w:val="20"/>
          <w:szCs w:val="20"/>
          <w:color w:val="auto"/>
        </w:rPr>
      </w:pPr>
      <w:r>
        <w:rPr>
          <w:rFonts w:ascii="Times New Roman" w:cs="Times New Roman" w:eastAsia="Times New Roman" w:hAnsi="Times New Roman"/>
          <w:sz w:val="10"/>
          <w:szCs w:val="10"/>
          <w:b w:val="1"/>
          <w:bCs w:val="1"/>
          <w:color w:val="auto"/>
        </w:rPr>
        <w:t>Principal Occupation(s)</w:t>
      </w:r>
      <w:r>
        <w:rPr>
          <w:sz w:val="20"/>
          <w:szCs w:val="20"/>
          <w:color w:val="auto"/>
        </w:rPr>
        <w:tab/>
      </w:r>
      <w:r>
        <w:rPr>
          <w:rFonts w:ascii="Times New Roman" w:cs="Times New Roman" w:eastAsia="Times New Roman" w:hAnsi="Times New Roman"/>
          <w:sz w:val="10"/>
          <w:szCs w:val="10"/>
          <w:b w:val="1"/>
          <w:bCs w:val="1"/>
          <w:color w:val="auto"/>
        </w:rPr>
        <w:t>Trusteeships Held by</w:t>
      </w:r>
    </w:p>
    <w:p>
      <w:pPr>
        <w:ind w:left="840"/>
        <w:spacing w:after="0"/>
        <w:tabs>
          <w:tab w:leader="none" w:pos="2380" w:val="left"/>
          <w:tab w:leader="none" w:pos="3820" w:val="left"/>
          <w:tab w:leader="none" w:pos="5400" w:val="left"/>
          <w:tab w:leader="none" w:pos="6700" w:val="left"/>
          <w:tab w:leader="none" w:pos="9380" w:val="left"/>
        </w:tabs>
        <w:rPr>
          <w:sz w:val="20"/>
          <w:szCs w:val="20"/>
          <w:color w:val="auto"/>
        </w:rPr>
      </w:pPr>
      <w:r>
        <w:rPr>
          <w:rFonts w:ascii="Times New Roman" w:cs="Times New Roman" w:eastAsia="Times New Roman" w:hAnsi="Times New Roman"/>
          <w:sz w:val="10"/>
          <w:szCs w:val="10"/>
          <w:b w:val="1"/>
          <w:bCs w:val="1"/>
          <w:color w:val="auto"/>
        </w:rPr>
        <w:t>Name</w:t>
      </w:r>
      <w:r>
        <w:rPr>
          <w:sz w:val="20"/>
          <w:szCs w:val="20"/>
          <w:color w:val="auto"/>
        </w:rPr>
        <w:tab/>
      </w:r>
      <w:r>
        <w:rPr>
          <w:rFonts w:ascii="Times New Roman" w:cs="Times New Roman" w:eastAsia="Times New Roman" w:hAnsi="Times New Roman"/>
          <w:sz w:val="10"/>
          <w:szCs w:val="10"/>
          <w:b w:val="1"/>
          <w:bCs w:val="1"/>
          <w:color w:val="auto"/>
        </w:rPr>
        <w:t>Age</w:t>
      </w:r>
      <w:r>
        <w:rPr>
          <w:sz w:val="20"/>
          <w:szCs w:val="20"/>
          <w:color w:val="auto"/>
        </w:rPr>
        <w:tab/>
      </w:r>
      <w:r>
        <w:rPr>
          <w:rFonts w:ascii="Times New Roman" w:cs="Times New Roman" w:eastAsia="Times New Roman" w:hAnsi="Times New Roman"/>
          <w:sz w:val="10"/>
          <w:szCs w:val="10"/>
          <w:b w:val="1"/>
          <w:bCs w:val="1"/>
          <w:color w:val="auto"/>
        </w:rPr>
        <w:t>Position</w:t>
      </w:r>
      <w:r>
        <w:rPr>
          <w:sz w:val="20"/>
          <w:szCs w:val="20"/>
          <w:color w:val="auto"/>
        </w:rPr>
        <w:tab/>
      </w:r>
      <w:r>
        <w:rPr>
          <w:rFonts w:ascii="Times New Roman" w:cs="Times New Roman" w:eastAsia="Times New Roman" w:hAnsi="Times New Roman"/>
          <w:sz w:val="10"/>
          <w:szCs w:val="10"/>
          <w:b w:val="1"/>
          <w:bCs w:val="1"/>
          <w:color w:val="auto"/>
        </w:rPr>
        <w:t>Since</w:t>
      </w:r>
      <w:r>
        <w:rPr>
          <w:sz w:val="20"/>
          <w:szCs w:val="20"/>
          <w:color w:val="auto"/>
        </w:rPr>
        <w:tab/>
      </w:r>
      <w:r>
        <w:rPr>
          <w:rFonts w:ascii="Times New Roman" w:cs="Times New Roman" w:eastAsia="Times New Roman" w:hAnsi="Times New Roman"/>
          <w:sz w:val="10"/>
          <w:szCs w:val="10"/>
          <w:b w:val="1"/>
          <w:bCs w:val="1"/>
          <w:color w:val="auto"/>
        </w:rPr>
        <w:t>During Last Five Years</w:t>
      </w:r>
      <w:r>
        <w:rPr>
          <w:sz w:val="20"/>
          <w:szCs w:val="20"/>
          <w:color w:val="auto"/>
        </w:rPr>
        <w:tab/>
      </w:r>
      <w:r>
        <w:rPr>
          <w:rFonts w:ascii="Times New Roman" w:cs="Times New Roman" w:eastAsia="Times New Roman" w:hAnsi="Times New Roman"/>
          <w:sz w:val="10"/>
          <w:szCs w:val="10"/>
          <w:b w:val="1"/>
          <w:bCs w:val="1"/>
          <w:color w:val="auto"/>
        </w:rPr>
        <w:t>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691197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11975" cy="6350"/>
                    </a:xfrm>
                    <a:prstGeom prst="rect">
                      <a:avLst/>
                    </a:prstGeom>
                    <a:noFill/>
                  </pic:spPr>
                </pic:pic>
              </a:graphicData>
            </a:graphic>
          </wp:anchor>
        </w:drawing>
      </w:r>
    </w:p>
    <w:p>
      <w:pPr>
        <w:sectPr>
          <w:pgSz w:w="11900" w:h="16838" w:orient="portrait"/>
          <w:cols w:equalWidth="0" w:num="1">
            <w:col w:w="10880"/>
          </w:cols>
          <w:pgMar w:left="220" w:top="503" w:right="799" w:bottom="144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David L. Goret</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43</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Vice President and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r>
      <w:tr>
        <w:trPr>
          <w:trHeight w:val="175"/>
        </w:trPr>
        <w:tc>
          <w:tcPr>
            <w:tcW w:w="1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Secretary</w:t>
            </w:r>
          </w:p>
        </w:tc>
        <w:tc>
          <w:tcPr>
            <w:tcW w:w="9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20" w:hanging="125"/>
        <w:spacing w:after="0" w:line="271" w:lineRule="auto"/>
        <w:rPr>
          <w:sz w:val="20"/>
          <w:szCs w:val="20"/>
          <w:color w:val="auto"/>
        </w:rPr>
      </w:pPr>
      <w:r>
        <w:rPr>
          <w:rFonts w:ascii="Times New Roman" w:cs="Times New Roman" w:eastAsia="Times New Roman" w:hAnsi="Times New Roman"/>
          <w:sz w:val="14"/>
          <w:szCs w:val="14"/>
          <w:color w:val="auto"/>
        </w:rPr>
        <w:t>Richard T.</w:t>
      </w:r>
      <w:r>
        <w:rPr>
          <w:sz w:val="20"/>
          <w:szCs w:val="20"/>
          <w:color w:val="auto"/>
        </w:rPr>
        <w:t xml:space="preserve"> </w:t>
      </w:r>
      <w:r>
        <w:rPr>
          <w:rFonts w:ascii="Times New Roman" w:cs="Times New Roman" w:eastAsia="Times New Roman" w:hAnsi="Times New Roman"/>
          <w:sz w:val="14"/>
          <w:szCs w:val="14"/>
          <w:color w:val="auto"/>
        </w:rPr>
        <w:t>34 Chief Financial Officer 2006 Allorto,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Michael J.</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35</w:t>
            </w:r>
          </w:p>
        </w:tc>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Chief Compliance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r>
      <w:tr>
        <w:trPr>
          <w:trHeight w:val="175"/>
        </w:trPr>
        <w:tc>
          <w:tcPr>
            <w:tcW w:w="1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Monticciolo</w:t>
            </w:r>
          </w:p>
        </w:tc>
        <w:tc>
          <w:tcPr>
            <w:tcW w:w="1200" w:type="dxa"/>
            <w:vAlign w:val="bottom"/>
          </w:tcPr>
          <w:p>
            <w:pPr>
              <w:spacing w:after="0"/>
              <w:rPr>
                <w:sz w:val="15"/>
                <w:szCs w:val="15"/>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Officer</w:t>
            </w:r>
          </w:p>
        </w:tc>
        <w:tc>
          <w:tcPr>
            <w:tcW w:w="9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540"/>
        <w:spacing w:after="0" w:line="300" w:lineRule="auto"/>
        <w:rPr>
          <w:sz w:val="20"/>
          <w:szCs w:val="20"/>
          <w:color w:val="auto"/>
        </w:rPr>
      </w:pPr>
      <w:r>
        <w:rPr>
          <w:rFonts w:ascii="Times New Roman" w:cs="Times New Roman" w:eastAsia="Times New Roman" w:hAnsi="Times New Roman"/>
          <w:sz w:val="12"/>
          <w:szCs w:val="12"/>
          <w:color w:val="auto"/>
        </w:rPr>
        <w:t>Joined GSC Group as General Counsel in 2004, where he manages legal, human resources and certain administrative functions at the firm. From 2000 to 2002, Mr. Goret served as managing director and general counsel of Hawk Holdings, LLC. From 2002 to 2003, he served as senior vice president and general counsel of Mercator Software, Inc.</w:t>
      </w:r>
    </w:p>
    <w:p>
      <w:pPr>
        <w:spacing w:after="0" w:line="135"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4"/>
          <w:szCs w:val="14"/>
          <w:color w:val="auto"/>
        </w:rPr>
        <w:t>Joined GSC Group in 2001 and is responsible for overseeing the financial statement preparation and accounting operations relating to the funds managed by GSC Group. Mr. Allorto was with Schering Plough Corp. from 1998 to 2001, where he worked as an Audit Supervisor within the internal audit group with a focus on operational audits of the company’s international subsidiaries.</w:t>
      </w:r>
    </w:p>
    <w:p>
      <w:pPr>
        <w:spacing w:after="0" w:line="3" w:lineRule="exact"/>
        <w:rPr>
          <w:sz w:val="20"/>
          <w:szCs w:val="20"/>
          <w:color w:val="auto"/>
        </w:rPr>
      </w:pPr>
    </w:p>
    <w:p>
      <w:pPr>
        <w:ind w:right="620"/>
        <w:spacing w:after="0" w:line="327" w:lineRule="auto"/>
        <w:rPr>
          <w:sz w:val="20"/>
          <w:szCs w:val="20"/>
          <w:color w:val="auto"/>
        </w:rPr>
      </w:pPr>
      <w:r>
        <w:rPr>
          <w:rFonts w:ascii="Times New Roman" w:cs="Times New Roman" w:eastAsia="Times New Roman" w:hAnsi="Times New Roman"/>
          <w:sz w:val="12"/>
          <w:szCs w:val="12"/>
          <w:color w:val="auto"/>
        </w:rPr>
        <w:t>Joined GSC Group in 2006. From 2000 to 2006, he was with the U.S. Securities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59" w:lineRule="exact"/>
        <w:rPr>
          <w:sz w:val="20"/>
          <w:szCs w:val="20"/>
          <w:color w:val="auto"/>
        </w:rPr>
      </w:pPr>
    </w:p>
    <w:p>
      <w:pPr>
        <w:sectPr>
          <w:pgSz w:w="11900" w:h="16838" w:orient="portrait"/>
          <w:cols w:equalWidth="0" w:num="3">
            <w:col w:w="5680" w:space="420"/>
            <w:col w:w="2800" w:space="720"/>
            <w:col w:w="1260"/>
          </w:cols>
          <w:pgMar w:left="220" w:top="503" w:right="799" w:bottom="1440" w:gutter="0" w:footer="0" w:header="0"/>
          <w:type w:val="continuous"/>
        </w:sectPr>
      </w:pPr>
    </w:p>
    <w:p>
      <w:pPr>
        <w:ind w:left="6100" w:right="2780" w:hanging="5"/>
        <w:spacing w:after="0" w:line="270" w:lineRule="auto"/>
        <w:tabs>
          <w:tab w:leader="none" w:pos="6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Commission as a senior counsel in the Division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517525</wp:posOffset>
            </wp:positionV>
            <wp:extent cx="728345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0880"/>
          </w:cols>
          <w:pgMar w:left="220" w:top="503" w:right="79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15"/>
        </w:trPr>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Other Directorships/</w:t>
            </w:r>
          </w:p>
        </w:tc>
      </w:tr>
      <w:tr>
        <w:trPr>
          <w:trHeight w:val="115"/>
        </w:trPr>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tcPr>
          <w:p>
            <w:pPr>
              <w:ind w:left="620"/>
              <w:spacing w:after="0"/>
              <w:rPr>
                <w:sz w:val="20"/>
                <w:szCs w:val="20"/>
                <w:color w:val="auto"/>
              </w:rPr>
            </w:pPr>
            <w:r>
              <w:rPr>
                <w:rFonts w:ascii="Times New Roman" w:cs="Times New Roman" w:eastAsia="Times New Roman" w:hAnsi="Times New Roman"/>
                <w:sz w:val="10"/>
                <w:szCs w:val="10"/>
                <w:b w:val="1"/>
                <w:bCs w:val="1"/>
                <w:color w:val="auto"/>
              </w:rPr>
              <w:t>Principal Occupation(s)</w:t>
            </w:r>
          </w:p>
        </w:tc>
        <w:tc>
          <w:tcPr>
            <w:tcW w:w="220" w:type="dxa"/>
            <w:vAlign w:val="bottom"/>
          </w:tcPr>
          <w:p>
            <w:pPr>
              <w:spacing w:after="0"/>
              <w:rPr>
                <w:sz w:val="10"/>
                <w:szCs w:val="1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Trusteeships Held by</w:t>
            </w:r>
          </w:p>
        </w:tc>
      </w:tr>
      <w:tr>
        <w:trPr>
          <w:trHeight w:val="139"/>
        </w:trPr>
        <w:tc>
          <w:tcPr>
            <w:tcW w:w="196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Name</w:t>
            </w:r>
          </w:p>
        </w:tc>
        <w:tc>
          <w:tcPr>
            <w:tcW w:w="220" w:type="dxa"/>
            <w:vAlign w:val="bottom"/>
          </w:tcPr>
          <w:p>
            <w:pPr>
              <w:spacing w:after="0"/>
              <w:rPr>
                <w:sz w:val="12"/>
                <w:szCs w:val="12"/>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Age</w:t>
            </w:r>
          </w:p>
        </w:tc>
        <w:tc>
          <w:tcPr>
            <w:tcW w:w="220" w:type="dxa"/>
            <w:vAlign w:val="bottom"/>
          </w:tcPr>
          <w:p>
            <w:pPr>
              <w:spacing w:after="0"/>
              <w:rPr>
                <w:sz w:val="12"/>
                <w:szCs w:val="12"/>
                <w:color w:val="auto"/>
              </w:rPr>
            </w:pPr>
          </w:p>
        </w:tc>
        <w:tc>
          <w:tcPr>
            <w:tcW w:w="1940" w:type="dxa"/>
            <w:vAlign w:val="bottom"/>
          </w:tcPr>
          <w:p>
            <w:pPr>
              <w:ind w:left="780"/>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220" w:type="dxa"/>
            <w:vAlign w:val="bottom"/>
          </w:tcPr>
          <w:p>
            <w:pPr>
              <w:spacing w:after="0"/>
              <w:rPr>
                <w:sz w:val="12"/>
                <w:szCs w:val="12"/>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Since</w:t>
            </w:r>
          </w:p>
        </w:tc>
        <w:tc>
          <w:tcPr>
            <w:tcW w:w="100" w:type="dxa"/>
            <w:vAlign w:val="bottom"/>
          </w:tcPr>
          <w:p>
            <w:pPr>
              <w:spacing w:after="0"/>
              <w:rPr>
                <w:sz w:val="12"/>
                <w:szCs w:val="12"/>
                <w:color w:val="auto"/>
              </w:rPr>
            </w:pPr>
          </w:p>
        </w:tc>
        <w:tc>
          <w:tcPr>
            <w:tcW w:w="232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During Last Five Years</w:t>
            </w:r>
          </w:p>
        </w:tc>
        <w:tc>
          <w:tcPr>
            <w:tcW w:w="2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Board Member</w:t>
            </w:r>
          </w:p>
        </w:tc>
      </w:tr>
      <w:tr>
        <w:trPr>
          <w:trHeight w:val="73"/>
        </w:trPr>
        <w:tc>
          <w:tcPr>
            <w:tcW w:w="19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9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3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320" w:type="dxa"/>
            <w:vAlign w:val="bottom"/>
            <w:tcBorders>
              <w:bottom w:val="single" w:sz="8" w:color="808080"/>
            </w:tcBorders>
          </w:tcPr>
          <w:p>
            <w:pPr>
              <w:spacing w:after="0"/>
              <w:rPr>
                <w:sz w:val="6"/>
                <w:szCs w:val="6"/>
                <w:color w:val="auto"/>
              </w:rPr>
            </w:pPr>
          </w:p>
        </w:tc>
      </w:tr>
      <w:tr>
        <w:trPr>
          <w:trHeight w:val="240"/>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Enforcement where he investigated and</w:t>
            </w: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88"/>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7"/>
              </w:rPr>
              <w:t>prosecuted enforcement matters involving</w:t>
            </w:r>
          </w:p>
        </w:tc>
        <w:tc>
          <w:tcPr>
            <w:tcW w:w="2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broker-dealers, investment advisers,</w:t>
            </w:r>
          </w:p>
        </w:tc>
        <w:tc>
          <w:tcPr>
            <w:tcW w:w="2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88"/>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hedge funds and public companies.</w:t>
            </w:r>
          </w:p>
        </w:tc>
        <w:tc>
          <w:tcPr>
            <w:tcW w:w="220" w:type="dxa"/>
            <w:vAlign w:val="bottom"/>
          </w:tcPr>
          <w:p>
            <w:pPr>
              <w:spacing w:after="0"/>
              <w:rPr>
                <w:sz w:val="16"/>
                <w:szCs w:val="16"/>
                <w:color w:val="auto"/>
              </w:rPr>
            </w:pPr>
          </w:p>
        </w:tc>
        <w:tc>
          <w:tcPr>
            <w:tcW w:w="2320" w:type="dxa"/>
            <w:vAlign w:val="bottom"/>
          </w:tcPr>
          <w:p>
            <w:pPr>
              <w:spacing w:after="0"/>
              <w:rPr>
                <w:sz w:val="16"/>
                <w:szCs w:val="16"/>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Biographical information</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Directors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Our directors have been divided into two groups—independent directors and interested directors. Interested directors are interested persons as defined in the 1940 Act.</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Independent directors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Prior to the closing of this offering, we will appoint additional persons who are not interested persons, as defined in section 2(a)(19) of the 1940 Act to serve on our board of directors.</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Interested directors</w:t>
      </w:r>
    </w:p>
    <w:p>
      <w:pPr>
        <w:spacing w:after="0" w:line="195" w:lineRule="exact"/>
        <w:rPr>
          <w:sz w:val="20"/>
          <w:szCs w:val="20"/>
          <w:color w:val="auto"/>
        </w:rPr>
      </w:pPr>
    </w:p>
    <w:p>
      <w:pPr>
        <w:ind w:right="60" w:firstLine="209"/>
        <w:spacing w:after="0" w:line="256" w:lineRule="auto"/>
        <w:rPr>
          <w:sz w:val="20"/>
          <w:szCs w:val="20"/>
          <w:color w:val="auto"/>
        </w:rPr>
      </w:pPr>
      <w:r>
        <w:rPr>
          <w:rFonts w:ascii="Times New Roman" w:cs="Times New Roman" w:eastAsia="Times New Roman" w:hAnsi="Times New Roman"/>
          <w:sz w:val="14"/>
          <w:szCs w:val="14"/>
          <w:b w:val="1"/>
          <w:bCs w:val="1"/>
          <w:color w:val="auto"/>
        </w:rPr>
        <w:t>Thomas V. lnglesby</w:t>
      </w:r>
      <w:r>
        <w:rPr>
          <w:rFonts w:ascii="Times New Roman" w:cs="Times New Roman" w:eastAsia="Times New Roman" w:hAnsi="Times New Roman"/>
          <w:sz w:val="14"/>
          <w:szCs w:val="14"/>
          <w:color w:val="auto"/>
        </w:rPr>
        <w:t>—Mr. Inglesby is the Chief Executive Officer of GSC Investment LLC. Mr. Inglesby joined GSC Group at its inception in 1999 and is currently a Senior Managing Director. From 1997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1999, Mr. Inglesby was a Managing Director at Greenwich Street Capital Partners. Prior to that, Mr. Inglesby was a Managing Director with Harbour Group in St. Louis, Missouri, an investment firm specializing in the acquisition of manufacturing companies in fragmented industries. In 1986, Mr. Inglesby joined PaineWebber and was a Vice President in the Merchant Banking department from 1989 to 1990. Mr. Inglesby graduated with honors from the University of Maryland with a B.S. degree in Accounting, from the University of Virginia School of Law with a J.D. degree and from the Darden Graduate School of Business Administration with a M.B.A. degree.</w:t>
      </w:r>
    </w:p>
    <w:p>
      <w:pPr>
        <w:spacing w:after="0" w:line="167" w:lineRule="exact"/>
        <w:rPr>
          <w:sz w:val="20"/>
          <w:szCs w:val="20"/>
          <w:color w:val="auto"/>
        </w:rPr>
      </w:pPr>
    </w:p>
    <w:p>
      <w:pPr>
        <w:ind w:firstLine="209"/>
        <w:spacing w:after="0" w:line="254" w:lineRule="auto"/>
        <w:rPr>
          <w:sz w:val="20"/>
          <w:szCs w:val="20"/>
          <w:color w:val="auto"/>
        </w:rPr>
      </w:pPr>
      <w:r>
        <w:rPr>
          <w:rFonts w:ascii="Times New Roman" w:cs="Times New Roman" w:eastAsia="Times New Roman" w:hAnsi="Times New Roman"/>
          <w:sz w:val="14"/>
          <w:szCs w:val="14"/>
          <w:b w:val="1"/>
          <w:bCs w:val="1"/>
          <w:color w:val="auto"/>
        </w:rPr>
        <w:t>Richard M. Hayden</w:t>
      </w:r>
      <w:r>
        <w:rPr>
          <w:rFonts w:ascii="Times New Roman" w:cs="Times New Roman" w:eastAsia="Times New Roman" w:hAnsi="Times New Roman"/>
          <w:sz w:val="14"/>
          <w:szCs w:val="14"/>
          <w:color w:val="auto"/>
        </w:rPr>
        <w:t>—Mr. Hayden is the Chairman of GSC Investment LLC. Mr. Hayden joined GSC Group in 2000 and is currently a Vice Chairman of GSC Group and head of the corporate credit group.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Mr. Hayden was previously with Goldman, Sachs &amp; Co. from 1969 until 1999 and was elected a Partner in 1980. Mr. Hayden transferred to London in 1992, where he was a Managing Director and the Deputy Chairman of Goldman, Sachs &amp; Co. International Ltd., responsible for all European investment banking activities. Mr. Hayden was also Chairman of the Credit Committee from 1991 to 1996, a member of the firm’s Commitment Committee from 1990 to 1995, a member of the firm’s Partnership Committee from 1997 to 1998 and a member of the Goldman, Sachs &amp; Co. International Executive Committee from 1995 to 1998. In 1998, Mr. Hayden retired from Goldman, Sachs &amp; Co. and was retained as an Advisory Director to consult in the Principal Investment Area. Mr. Hayden is a non-executive director of COFRA Holdings, AG and Deutsche Boerse AG. Mr. Hayden is also a member of The Wharton Business School International Advisory Board. Mr. Hayden graduated magna cum laude and Phi Beta Kappa from Georgetown University with a B.A. degree in Economics, and graduated from The Wharton School with a M.B.A. degree.</w:t>
      </w:r>
    </w:p>
    <w:p>
      <w:pPr>
        <w:spacing w:after="0" w:line="168" w:lineRule="exact"/>
        <w:rPr>
          <w:sz w:val="20"/>
          <w:szCs w:val="20"/>
          <w:color w:val="auto"/>
        </w:rPr>
      </w:pPr>
    </w:p>
    <w:p>
      <w:pPr>
        <w:ind w:right="20" w:firstLine="209"/>
        <w:spacing w:after="0" w:line="258" w:lineRule="auto"/>
        <w:rPr>
          <w:sz w:val="20"/>
          <w:szCs w:val="20"/>
          <w:color w:val="auto"/>
        </w:rPr>
      </w:pPr>
      <w:r>
        <w:rPr>
          <w:rFonts w:ascii="Times New Roman" w:cs="Times New Roman" w:eastAsia="Times New Roman" w:hAnsi="Times New Roman"/>
          <w:sz w:val="14"/>
          <w:szCs w:val="14"/>
          <w:b w:val="1"/>
          <w:bCs w:val="1"/>
          <w:color w:val="auto"/>
        </w:rPr>
        <w:t>Robert F. Cummings, Jr</w:t>
      </w:r>
      <w:r>
        <w:rPr>
          <w:rFonts w:ascii="Times New Roman" w:cs="Times New Roman" w:eastAsia="Times New Roman" w:hAnsi="Times New Roman"/>
          <w:sz w:val="14"/>
          <w:szCs w:val="14"/>
          <w:color w:val="auto"/>
        </w:rPr>
        <w:t>.—Mr. Cummings joined GSC Group in 2002 and is currently a Senior Managing Director and Chairman of the Risk &amp; Conflicts Committee and the Valuation Committee. Mr.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Cummings is a former member of the GSC Advisory Board. For the prior 28 years, Mr. Cummings was with Goldman, Sachs &amp; Co., where he was a member of the Corporate Finance Department, advising corporate clients on financing, mergers and acquisitions, and strategic financial issues. Mr. Cummings was named a Partner of Goldman, Sachs &amp; Co. in 1986. Mr. Cummings retired in 1998 and was retained as an Advisory Director by Goldman, Sachs &amp; Co. to work with certain clients on a variety of banking matters. Mr. Cummings is a director of ATSI Holdings, GSC Capital Corp.,</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503" w:right="2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color w:val="auto"/>
        </w:rPr>
        <w:t>Precision Partners Inc., RR Donnelley and Sons Co., Corning Inc., Viasystems Group Inc., and a member of the Board of Trustees of Union College. Mr. Cummings graduated from Union College with a B.A.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degree and from the University of Chicago with a M.B.A. degree.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who are not directors</w:t>
      </w:r>
    </w:p>
    <w:p>
      <w:pPr>
        <w:spacing w:after="0" w:line="195" w:lineRule="exact"/>
        <w:rPr>
          <w:sz w:val="20"/>
          <w:szCs w:val="20"/>
          <w:color w:val="auto"/>
        </w:rPr>
      </w:pPr>
    </w:p>
    <w:p>
      <w:pPr>
        <w:ind w:right="140" w:firstLine="209"/>
        <w:spacing w:after="0" w:line="256" w:lineRule="auto"/>
        <w:rPr>
          <w:sz w:val="20"/>
          <w:szCs w:val="20"/>
          <w:color w:val="auto"/>
        </w:rPr>
      </w:pPr>
      <w:r>
        <w:rPr>
          <w:rFonts w:ascii="Times New Roman" w:cs="Times New Roman" w:eastAsia="Times New Roman" w:hAnsi="Times New Roman"/>
          <w:sz w:val="14"/>
          <w:szCs w:val="14"/>
          <w:b w:val="1"/>
          <w:bCs w:val="1"/>
          <w:color w:val="auto"/>
        </w:rPr>
        <w:t>David L. Goret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Vice President and Secretary</w:t>
      </w:r>
      <w:r>
        <w:rPr>
          <w:rFonts w:ascii="Times New Roman" w:cs="Times New Roman" w:eastAsia="Times New Roman" w:hAnsi="Times New Roman"/>
          <w:sz w:val="14"/>
          <w:szCs w:val="14"/>
          <w:color w:val="auto"/>
        </w:rPr>
        <w:t>—Mr. Goret joined GSC Group in 2004 as managing director, general counsel and chief compliance officer and manages legal, human resources and certain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administrative functions at GSC Group. From 2000 to 2002, Mr. Goret served as managing director and general counsel of Hawk Holdings, LLC, which focused on creating, financing and operating emerging technology infrastructure and service businesses. From 2002 to 2003, he served as senior vice president and general counsel of Mercator Software, Inc., a Nasdaq-listed software company, and has significant expertise in a wide range of legal matters. Mr. Goret graduated magna cum laude from Duke University with a B.A. degree in Religion and Political Science and from the University of Michigan with a J.D. degree.</w:t>
      </w:r>
    </w:p>
    <w:p>
      <w:pPr>
        <w:spacing w:after="0" w:line="167" w:lineRule="exact"/>
        <w:rPr>
          <w:sz w:val="20"/>
          <w:szCs w:val="20"/>
          <w:color w:val="auto"/>
        </w:rPr>
      </w:pPr>
    </w:p>
    <w:p>
      <w:pPr>
        <w:jc w:val="both"/>
        <w:ind w:firstLine="209"/>
        <w:spacing w:after="0" w:line="258" w:lineRule="auto"/>
        <w:rPr>
          <w:sz w:val="20"/>
          <w:szCs w:val="20"/>
          <w:color w:val="auto"/>
        </w:rPr>
      </w:pPr>
      <w:r>
        <w:rPr>
          <w:rFonts w:ascii="Times New Roman" w:cs="Times New Roman" w:eastAsia="Times New Roman" w:hAnsi="Times New Roman"/>
          <w:sz w:val="14"/>
          <w:szCs w:val="14"/>
          <w:b w:val="1"/>
          <w:bCs w:val="1"/>
          <w:color w:val="auto"/>
        </w:rPr>
        <w:t>Richard T. Allorto, Jr.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Chief Financial Officer</w:t>
      </w:r>
      <w:r>
        <w:rPr>
          <w:rFonts w:ascii="Times New Roman" w:cs="Times New Roman" w:eastAsia="Times New Roman" w:hAnsi="Times New Roman"/>
          <w:sz w:val="14"/>
          <w:szCs w:val="14"/>
          <w:color w:val="auto"/>
        </w:rPr>
        <w:t>—Mr. Allorto joined GSC Group in 2001 and is responsible for overseeing the financial statement preparation and accounting operations relating to the funds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managed by GSC Group. Mr. Allorto was previously with Schering Plough Corp. from 1998 to 2001 where he worked as an Audit Supervisor within the internal audit group with a focus on operational audits of the company’s international subsidiaries. From 1994 to 1998, he was with Arthur Andersen as a Supervising Audit Senior with a manufacturing industry focus. Mr. Allorto graduated from Seton Hall University with a B.S. degree in Accounting and is a licensed CPA.</w:t>
      </w:r>
    </w:p>
    <w:p>
      <w:pPr>
        <w:spacing w:after="0" w:line="166" w:lineRule="exact"/>
        <w:rPr>
          <w:sz w:val="20"/>
          <w:szCs w:val="20"/>
          <w:color w:val="auto"/>
        </w:rPr>
      </w:pPr>
    </w:p>
    <w:p>
      <w:pPr>
        <w:jc w:val="both"/>
        <w:ind w:firstLine="209"/>
        <w:spacing w:after="0" w:line="258" w:lineRule="auto"/>
        <w:rPr>
          <w:sz w:val="20"/>
          <w:szCs w:val="20"/>
          <w:color w:val="auto"/>
        </w:rPr>
      </w:pPr>
      <w:r>
        <w:rPr>
          <w:rFonts w:ascii="Times New Roman" w:cs="Times New Roman" w:eastAsia="Times New Roman" w:hAnsi="Times New Roman"/>
          <w:sz w:val="14"/>
          <w:szCs w:val="14"/>
          <w:b w:val="1"/>
          <w:bCs w:val="1"/>
          <w:color w:val="auto"/>
        </w:rPr>
        <w:t>Michael J. Monticciolo</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Chief Compliance Officer</w:t>
      </w:r>
      <w:r>
        <w:rPr>
          <w:rFonts w:ascii="Times New Roman" w:cs="Times New Roman" w:eastAsia="Times New Roman" w:hAnsi="Times New Roman"/>
          <w:sz w:val="14"/>
          <w:szCs w:val="14"/>
          <w:color w:val="auto"/>
        </w:rPr>
        <w:t>—Mr. Monticciolo joined GSC Group in 2006. He was previously with the U.S. Securities &amp; Exchange Commission as a senior counsel in the Division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Enforcement from 2000 to 2006 where he investigated and prosecuted enforcement matters involving broker-dealers, investment advisers, hedge funds and public companies. Prior to that, Mr. Monticciolo was a staff attorney with the Commission’s Office of Compliance Inspections and Examinations from 1998 to 2000. Mr. Monticciolo graduated from the Ohio State University with a B.A. degree in Political Science and graduated from Hofstra University School of Law with a J.D. degree.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committee</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members of our investment adviser’s investment committee include Thomas V. Inglesby, Thomas J. Libassi, Robert F. Cummings, Jr., Daniel I. Castro, Jr., and Richard M. Hayden.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address for each member of our investment adviser’s investment committee is c/o GSC Investment LLC, 12 East 49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4"/>
          <w:szCs w:val="14"/>
          <w:color w:val="auto"/>
        </w:rPr>
        <w:t xml:space="preserve"> Street, New York, New York 10017.</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Members of our investment adviser’s investment committee who are not directors or officers of the Company</w:t>
      </w:r>
    </w:p>
    <w:p>
      <w:pPr>
        <w:spacing w:after="0" w:line="195" w:lineRule="exact"/>
        <w:rPr>
          <w:sz w:val="20"/>
          <w:szCs w:val="20"/>
          <w:color w:val="auto"/>
        </w:rPr>
      </w:pPr>
    </w:p>
    <w:p>
      <w:pPr>
        <w:ind w:right="200" w:firstLine="209"/>
        <w:spacing w:after="0" w:line="255" w:lineRule="auto"/>
        <w:rPr>
          <w:sz w:val="20"/>
          <w:szCs w:val="20"/>
          <w:color w:val="auto"/>
        </w:rPr>
      </w:pPr>
      <w:r>
        <w:rPr>
          <w:rFonts w:ascii="Times New Roman" w:cs="Times New Roman" w:eastAsia="Times New Roman" w:hAnsi="Times New Roman"/>
          <w:sz w:val="14"/>
          <w:szCs w:val="14"/>
          <w:b w:val="1"/>
          <w:bCs w:val="1"/>
          <w:color w:val="auto"/>
        </w:rPr>
        <w:t>Thomas J. Libassi</w:t>
      </w:r>
      <w:r>
        <w:rPr>
          <w:rFonts w:ascii="Times New Roman" w:cs="Times New Roman" w:eastAsia="Times New Roman" w:hAnsi="Times New Roman"/>
          <w:sz w:val="14"/>
          <w:szCs w:val="14"/>
          <w:color w:val="auto"/>
        </w:rPr>
        <w:t>—Mr. Libassi joined GSC Group in 2000 and is currently a Senior Managing Director. Mr. Libassi specializes in the sourcing, evaluating and execution of distressed debt transactions.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that, Mr. Libassi was Senior Vice President and Portfolio Manager at Mitchell Hutchins, a subsidiary of PaineWebber Inc. where he was responsible for managing approximately $1.2 billion of high-yield assets for the Paine Webber Mutual Funds. In 1998, Mr. Libassi developed and launched the approximate $550 million Managed High Yield Plus Fund, a leveraged closed-end fund that was ranked number one by Lipper in its category in 1999. From 1986 to 1994, Mr. Libassi was a Vice President and Portfolio Manager at Keystone Custodian Funds, Inc., with portfolio management responsibilities for three diverse institutional high-yield accounts with $250 million in assets. Mr. Libassi is a director of DTN Holding Company, LLC, Outsourcing Services Group and Scovill Fasteners, Inc. Mr. Libassi graduated from Connecticut College, with a B.A. degree in Economics and Government, and from The Wharton School with a M.B.A. degree.</w:t>
      </w:r>
    </w:p>
    <w:p>
      <w:pPr>
        <w:spacing w:after="0" w:line="167" w:lineRule="exact"/>
        <w:rPr>
          <w:sz w:val="20"/>
          <w:szCs w:val="20"/>
          <w:color w:val="auto"/>
        </w:rPr>
      </w:pPr>
    </w:p>
    <w:p>
      <w:pPr>
        <w:jc w:val="both"/>
        <w:ind w:right="60" w:firstLine="209"/>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Daniel I. Castro, Jr. </w:t>
      </w:r>
      <w:r>
        <w:rPr>
          <w:rFonts w:ascii="Times New Roman" w:cs="Times New Roman" w:eastAsia="Times New Roman" w:hAnsi="Times New Roman"/>
          <w:sz w:val="14"/>
          <w:szCs w:val="14"/>
          <w:color w:val="auto"/>
        </w:rPr>
        <w:t>—Mr. Castro joined GSC Group in 2005 and is currently a Managing Director. Mr. Castro has over 23 years experience in Structured Finance Products. From 1991 to 2004, Mr. Castro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was employed by Merrill Lynch in various capacities, most recently as Managing Director of Structured Finance Research. Prior to Merrill Lynch, he was a Senior Analyst, Structured Transactions at Moody’s Investor’s Service. Mr. Castro also</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76" w:name="page77"/>
    <w:bookmarkEnd w:id="76"/>
    <w:p>
      <w:pPr>
        <w:spacing w:after="0" w:line="260" w:lineRule="auto"/>
        <w:rPr>
          <w:sz w:val="20"/>
          <w:szCs w:val="20"/>
          <w:color w:val="auto"/>
        </w:rPr>
      </w:pPr>
      <w:r>
        <w:rPr>
          <w:rFonts w:ascii="Times New Roman" w:cs="Times New Roman" w:eastAsia="Times New Roman" w:hAnsi="Times New Roman"/>
          <w:sz w:val="14"/>
          <w:szCs w:val="14"/>
          <w:color w:val="auto"/>
        </w:rPr>
        <w:t>spent four years with Citigroup in various capacities. Mr. Castro was a member every year, since its inception in 1992 until he left Merrill Lynch in 2004, of the Institutional Investor All-American Fixed Income Research Team. Mr. Castro also ranked on the first team for ASB Strategy twice. Mr. Castro graduated from University of Notre Dame with a B.A. degree in Government International Relations and from Washington University with a M.B.A. degree.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GSC Group senior management</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 addition to Messrs. Inglesby, Hayden and Cummings, GSC Group senior management includes the individuals listed below.</w:t>
      </w:r>
    </w:p>
    <w:p>
      <w:pPr>
        <w:spacing w:after="0" w:line="191" w:lineRule="exact"/>
        <w:rPr>
          <w:sz w:val="20"/>
          <w:szCs w:val="20"/>
          <w:color w:val="auto"/>
        </w:rPr>
      </w:pPr>
    </w:p>
    <w:p>
      <w:pPr>
        <w:ind w:right="140" w:firstLine="209"/>
        <w:spacing w:after="0" w:line="255" w:lineRule="auto"/>
        <w:rPr>
          <w:sz w:val="20"/>
          <w:szCs w:val="20"/>
          <w:color w:val="auto"/>
        </w:rPr>
      </w:pPr>
      <w:r>
        <w:rPr>
          <w:rFonts w:ascii="Times New Roman" w:cs="Times New Roman" w:eastAsia="Times New Roman" w:hAnsi="Times New Roman"/>
          <w:sz w:val="14"/>
          <w:szCs w:val="14"/>
          <w:b w:val="1"/>
          <w:bCs w:val="1"/>
          <w:color w:val="auto"/>
        </w:rPr>
        <w:t>Alfred C. Eckert III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Chairman and Chief Executive Officer</w:t>
      </w:r>
      <w:r>
        <w:rPr>
          <w:rFonts w:ascii="Times New Roman" w:cs="Times New Roman" w:eastAsia="Times New Roman" w:hAnsi="Times New Roman"/>
          <w:sz w:val="14"/>
          <w:szCs w:val="14"/>
          <w:color w:val="auto"/>
        </w:rPr>
        <w:t>—Mr. Eckert founded GSC Group in 1999. Prior to that, Mr. Eckert was Chairman and Chief Executive Officer of Greenwich Street Capital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Partners which he co-founded in 1994. Mr. Eckert was previously with Goldman, Sachs &amp; Co. from 1973 to 1991, where he was elected as a Partner in 1984. Mr. Eckert founded the firm’s Leveraged Buyout Department in 1983 and had senior management responsibility for it until 1991. Mr. Eckert was Chairman of the Commitments and Credit Committees from 1990 to 1991 and co-head of the Merchant Bank from 1989 to 1991. Mr. Eckert was also the Co- Chairman of the Firm’s Investment Committee from its inception in 1986 until 1991. Mr. Eckert is a director of the New York City Opera, The Willow School, and is Vice Chairman of the Kennedy Center Corporate Fund Board. Mr. Eckert graduated from Northwestern University with a B.S. degree in Engineering and graduated with highest distinction as a Baker Scholar from the Harvard Graduate School of Business Administration with a M.B.A. degree.</w:t>
      </w:r>
    </w:p>
    <w:p>
      <w:pPr>
        <w:spacing w:after="0" w:line="167"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b w:val="1"/>
          <w:bCs w:val="1"/>
          <w:color w:val="auto"/>
        </w:rPr>
        <w:t>Keith W. Abell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Vice Chairman of GSC Group, Chairman of GSC Asia and Co-Chair of Tishman Speyer GSC</w:t>
      </w:r>
      <w:r>
        <w:rPr>
          <w:rFonts w:ascii="Times New Roman" w:cs="Times New Roman" w:eastAsia="Times New Roman" w:hAnsi="Times New Roman"/>
          <w:sz w:val="14"/>
          <w:szCs w:val="14"/>
          <w:color w:val="auto"/>
        </w:rPr>
        <w:t>—Mr. Abell joined GSC Group at its inception in 1999. Prior to that, Mr. Abell was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Greenwich Street Capital Partners which he co-founded in 1994. From 1990 to 1994, Mr. Abell was a Managing Director of The Blackstone Group. In 1993, he was based in Hong Kong, where he headed The Blackstone Group’s Asian private equity business. Mr. Abell was based in Tokyo from 1990 to 1992, where he advised U.S. and Asian clients of The Blackstone Group seeking to make direct investments in Japan, Thailand, China, the Philippines and other parts of Asia. From 1986 to 1990, Mr. Abell was a Vice President at Goldman, Sachs &amp; Co., where he worked in the Corporate Finance and Mergers and Acquisitions Departments. Mr. Abell is a director of China Interactive Media Group, Dukes Place Holdings Limited, National Committee on United States-China Relations, RAM Holdings Ltd., RAM Holdings 2, RAM Reinsurance, and Telex Communications, Inc and on the Board of Governors of The New School for Social Research. Mr. Abell is also a Fellow of The Joseph H. Lauder Institute of Management &amp; International Studies. Mr. Abell graduated with honors from Brown University with a B.A. degree in Semiotics, from The Wharton School with a M.B.A. degree, and from the University of Pennsylvania with a M.A. in International Studies.</w:t>
      </w:r>
    </w:p>
    <w:p>
      <w:pPr>
        <w:spacing w:after="0" w:line="170"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b w:val="1"/>
          <w:bCs w:val="1"/>
          <w:color w:val="auto"/>
        </w:rPr>
        <w:t>Peter R. Frank</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Senior Managing Director and Senior Operating Executive, Control Distressed Debt</w:t>
      </w:r>
      <w:r>
        <w:rPr>
          <w:rFonts w:ascii="Times New Roman" w:cs="Times New Roman" w:eastAsia="Times New Roman" w:hAnsi="Times New Roman"/>
          <w:sz w:val="14"/>
          <w:szCs w:val="14"/>
          <w:color w:val="auto"/>
        </w:rPr>
        <w:t>—Mr. Frank joined GSC Group in 2001, has served as a Senior Operating Executive since 2005 and is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former member of the GSC Advisory Board. Mr. Frank was appointed Chairman of Atlantic Express, Inc. in 2003 and served as their Chief Restructuring Officer from 2002 to 2003. Prior to that, Mr. Frank was the Chief Executive Officer of Ten Hoeve Bros., Inc. and was an investment banker at Goldman, Sachs &amp; Co. Mr. Frank is Chairman of the Board of Atlantic Express Transportation Group, Scovill Fasteners, Inc., Worldtex, Inc., and a director of K-R Automation and North Star Media. Mr. Frank graduated from the University of Michigan with a B.S.E.E. degree, and from the Harvard Graduate School of Business Administration with a M.B.A. degree.</w:t>
      </w:r>
    </w:p>
    <w:p>
      <w:pPr>
        <w:spacing w:after="0" w:line="167" w:lineRule="exact"/>
        <w:rPr>
          <w:sz w:val="20"/>
          <w:szCs w:val="20"/>
          <w:color w:val="auto"/>
        </w:rPr>
      </w:pPr>
    </w:p>
    <w:p>
      <w:pPr>
        <w:ind w:right="20" w:firstLine="209"/>
        <w:spacing w:after="0" w:line="256" w:lineRule="auto"/>
        <w:rPr>
          <w:sz w:val="20"/>
          <w:szCs w:val="20"/>
          <w:color w:val="auto"/>
        </w:rPr>
      </w:pPr>
      <w:r>
        <w:rPr>
          <w:rFonts w:ascii="Times New Roman" w:cs="Times New Roman" w:eastAsia="Times New Roman" w:hAnsi="Times New Roman"/>
          <w:sz w:val="14"/>
          <w:szCs w:val="14"/>
          <w:b w:val="1"/>
          <w:bCs w:val="1"/>
          <w:color w:val="auto"/>
        </w:rPr>
        <w:t>Robert A. Hamwee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Senior Managing Director, Control Distressed Debt</w:t>
      </w:r>
      <w:r>
        <w:rPr>
          <w:rFonts w:ascii="Times New Roman" w:cs="Times New Roman" w:eastAsia="Times New Roman" w:hAnsi="Times New Roman"/>
          <w:sz w:val="14"/>
          <w:szCs w:val="14"/>
          <w:color w:val="auto"/>
        </w:rPr>
        <w:t>—Mr. Hamwee joined GSC Group at its inception in 1999. Mr. Hamwee currently manages the day-to-day activities of the control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distressed debt group and is a member of the firm’s management committee. Mr. Hamwee was a Managing Director at Greenwich Street Capital Partners from 1994 to 1998. Prior to that, Mr. Hamwee was with The Blackstone Group from 1992 to 1994, where he worked on a wide range of assignments in the Restructuring and Merchant Banking Departments. Mr. Hamwee is Chairman of the Board of APW Ltd. and ATSI Holdings, and a director of International Wire Group, Inc., Precision Partners, and Viasystems Group, Inc. He graduated Phi Beta Kappa from the University of Michigan with a B.B.A. degree in Finance and Accounting.</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77" w:name="page78"/>
    <w:bookmarkEnd w:id="77"/>
    <w:p>
      <w:pPr>
        <w:ind w:right="200" w:firstLine="209"/>
        <w:spacing w:after="0" w:line="255" w:lineRule="auto"/>
        <w:rPr>
          <w:sz w:val="20"/>
          <w:szCs w:val="20"/>
          <w:color w:val="auto"/>
        </w:rPr>
      </w:pPr>
      <w:r>
        <w:rPr>
          <w:rFonts w:ascii="Times New Roman" w:cs="Times New Roman" w:eastAsia="Times New Roman" w:hAnsi="Times New Roman"/>
          <w:sz w:val="14"/>
          <w:szCs w:val="14"/>
          <w:b w:val="1"/>
          <w:bCs w:val="1"/>
          <w:color w:val="auto"/>
        </w:rPr>
        <w:t>Frederick H. Horton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Senior Managing Director, Structured Finance</w:t>
      </w:r>
      <w:r>
        <w:rPr>
          <w:rFonts w:ascii="Times New Roman" w:cs="Times New Roman" w:eastAsia="Times New Roman" w:hAnsi="Times New Roman"/>
          <w:sz w:val="14"/>
          <w:szCs w:val="14"/>
          <w:color w:val="auto"/>
        </w:rPr>
        <w:t>—Mr. Horton joined GSC Group in 2005 to head the structured finance business. Prior to GSC, Mr. Horton was at TCW and in 1997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started their asset-backed and mortgage-backed securities structured credit product business. He was involved in creating, marketing and closing 24 CDO funds. Mr. Horton has also held various portfolio management roles in fixed income, primarily involving mortgage products. Prior to joining TCW in 1993, Mr. Horton has also held senior portfolio management positions at Dewey Square Investors and the Putnam Companies in Boston, and headed the mortgage portfolio strategies research group at Drexel Burnham Lambert in New York. Mr. Horton has also held positions at State Street Bank and Chase Investors. Mr. Horton is Chief Executive Officer and a director of GSC Capital Corp. Mr. Horton graduated from Brown University with a B.A. degree in Environmental Studies and graduated from Boston University with a M.B.A. degree in finance.</w:t>
      </w:r>
    </w:p>
    <w:p>
      <w:pPr>
        <w:spacing w:after="0" w:line="167" w:lineRule="exact"/>
        <w:rPr>
          <w:sz w:val="20"/>
          <w:szCs w:val="20"/>
          <w:color w:val="auto"/>
        </w:rPr>
      </w:pPr>
    </w:p>
    <w:p>
      <w:pPr>
        <w:ind w:right="120" w:firstLine="209"/>
        <w:spacing w:after="0" w:line="305" w:lineRule="auto"/>
        <w:rPr>
          <w:sz w:val="20"/>
          <w:szCs w:val="20"/>
          <w:color w:val="auto"/>
        </w:rPr>
      </w:pPr>
      <w:r>
        <w:rPr>
          <w:rFonts w:ascii="Times New Roman" w:cs="Times New Roman" w:eastAsia="Times New Roman" w:hAnsi="Times New Roman"/>
          <w:sz w:val="12"/>
          <w:szCs w:val="12"/>
          <w:b w:val="1"/>
          <w:bCs w:val="1"/>
          <w:color w:val="auto"/>
        </w:rPr>
        <w:t>Matthew C. Kaufman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Senior Managing Director, Equity Portfolio</w:t>
      </w:r>
      <w:r>
        <w:rPr>
          <w:rFonts w:ascii="Times New Roman" w:cs="Times New Roman" w:eastAsia="Times New Roman" w:hAnsi="Times New Roman"/>
          <w:sz w:val="12"/>
          <w:szCs w:val="12"/>
          <w:color w:val="auto"/>
        </w:rPr>
        <w:t>—Mr. Kaufman joined GSC Group at its inception in 1999. Mr. Kaufman currently has day-to-day responsibility for the management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GSC’s portfolio of controlled companies and selected equity investments. Additionally, Mr. Kaufman structures and oversees the provision of cross portfolio initiatives and services. Prior to that, Mr. Kaufman was a Managing Director at Greenwich Street Capital Partners from 1997 to 1999. Mr. Kaufman was previously Director of Corporate Finance with NextWave Telecom, Inc. From 1994 to 1996, Mr. Kaufman was with The Blackstone Group, in the Merchant Banking and Mergers and Acquisitions Departments, and from 1993 to 1994 was with Bear, Stearns &amp; Co. Inc. working primarily in the Mergers &amp; Acquisitions department. Mr. Kaufman is Chairman of the Board of Pacific Aerospace &amp; Electronics, Inc. and a director of Atlantic Express Transportation Group, Burke Industries, Inc., Day International Group, Inc., Dukes Place Holdings Limited, Safety-Kleen Corp., and Worldtex, Inc. Mr. Kaufman graduated from the University of Michigan with a B.B.A. degree and a M.A.C.C. degree.</w:t>
      </w:r>
    </w:p>
    <w:p>
      <w:pPr>
        <w:spacing w:after="0" w:line="141"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b w:val="1"/>
          <w:bCs w:val="1"/>
          <w:color w:val="auto"/>
        </w:rPr>
        <w:t>Robert M. Paine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Senior Managing Director, Distressed Debt</w:t>
      </w:r>
      <w:r>
        <w:rPr>
          <w:rFonts w:ascii="Times New Roman" w:cs="Times New Roman" w:eastAsia="Times New Roman" w:hAnsi="Times New Roman"/>
          <w:sz w:val="14"/>
          <w:szCs w:val="14"/>
          <w:color w:val="auto"/>
        </w:rPr>
        <w:t>—Mr. Paine joined GSC Group in 2006 as a Senior Managing Director. Prior to his current position with GSC, Mr. Paine was the Portfolio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Manager for a distressed debt portfolio that included leveraged loans, high-yield bonds, and emerging equities at Stanfield Capital Partners from 2002 to 2005. Prior to joining Stanfield, Mr. Paine was at Putnam Investments for 15 years. At Putnam, Mr. Paine was responsible for managing over $1 billion of distressed assets. From 1995 to 1999, Mr. Paine served as a Portfolio Manager within Putnam’s High Yield Group, overseeing more than $5 billion of assets. Mr. Paine began his finance career at Putnam Investments as an Analyst in the firm’s High Yield Group. Mr. Paine graduated from Boston University with a B.S. degree in Business Administration and a M.B.A. degree.</w:t>
      </w:r>
    </w:p>
    <w:p>
      <w:pPr>
        <w:spacing w:after="0" w:line="167" w:lineRule="exact"/>
        <w:rPr>
          <w:sz w:val="20"/>
          <w:szCs w:val="20"/>
          <w:color w:val="auto"/>
        </w:rPr>
      </w:pPr>
    </w:p>
    <w:p>
      <w:pPr>
        <w:ind w:right="140" w:firstLine="209"/>
        <w:spacing w:after="0" w:line="258" w:lineRule="auto"/>
        <w:rPr>
          <w:sz w:val="20"/>
          <w:szCs w:val="20"/>
          <w:color w:val="auto"/>
        </w:rPr>
      </w:pPr>
      <w:r>
        <w:rPr>
          <w:rFonts w:ascii="Times New Roman" w:cs="Times New Roman" w:eastAsia="Times New Roman" w:hAnsi="Times New Roman"/>
          <w:sz w:val="14"/>
          <w:szCs w:val="14"/>
          <w:b w:val="1"/>
          <w:bCs w:val="1"/>
          <w:color w:val="auto"/>
        </w:rPr>
        <w:t>Christine K. Vanden Beukel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Senior Managing Director, European Structured Products</w:t>
      </w:r>
      <w:r>
        <w:rPr>
          <w:rFonts w:ascii="Times New Roman" w:cs="Times New Roman" w:eastAsia="Times New Roman" w:hAnsi="Times New Roman"/>
          <w:sz w:val="14"/>
          <w:szCs w:val="14"/>
          <w:color w:val="auto"/>
        </w:rPr>
        <w:t>—Ms. Vanden Beukel joined GSC Group at its inception in 1999. Ms. Vanden Beukel manages the day-to-day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operations of GSC’s European investment activities. Prior to that, Ms. Vanden Beukel was a Managing Director with Greenwich Street Capital Partners from 1994 to 1999. Ms. Vanden Beukel was with Smith Barney Inc. from 1992 to 1994 as an Analyst in the Restructuring and Mergers and Acquisitions Groups, where she worked on a variety of advisory and financing transactions. Ms. Vanden Beukel graduated cum laude from Dartmouth College with an A.B. Degree in Government and Economics.</w:t>
      </w:r>
    </w:p>
    <w:p>
      <w:pPr>
        <w:spacing w:after="0" w:line="166" w:lineRule="exact"/>
        <w:rPr>
          <w:sz w:val="20"/>
          <w:szCs w:val="20"/>
          <w:color w:val="auto"/>
        </w:rPr>
      </w:pPr>
    </w:p>
    <w:p>
      <w:pPr>
        <w:jc w:val="both"/>
        <w:ind w:right="340" w:firstLine="209"/>
        <w:spacing w:after="0" w:line="258" w:lineRule="auto"/>
        <w:rPr>
          <w:sz w:val="20"/>
          <w:szCs w:val="20"/>
          <w:color w:val="auto"/>
        </w:rPr>
      </w:pPr>
      <w:r>
        <w:rPr>
          <w:rFonts w:ascii="Times New Roman" w:cs="Times New Roman" w:eastAsia="Times New Roman" w:hAnsi="Times New Roman"/>
          <w:sz w:val="14"/>
          <w:szCs w:val="14"/>
          <w:b w:val="1"/>
          <w:bCs w:val="1"/>
          <w:color w:val="auto"/>
        </w:rPr>
        <w:t>Andrew J. Wagner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Senior Managing Director and Chief Financial Officer</w:t>
      </w:r>
      <w:r>
        <w:rPr>
          <w:rFonts w:ascii="Times New Roman" w:cs="Times New Roman" w:eastAsia="Times New Roman" w:hAnsi="Times New Roman"/>
          <w:sz w:val="14"/>
          <w:szCs w:val="14"/>
          <w:color w:val="auto"/>
        </w:rPr>
        <w:t>—Mr. Wagner joined GSC Group in 2000 and oversees the Finance and Administration departments and is a member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firm’s management committee. From 1995 to 2000, Mr. Wagner was a General Partner and Chief Financial Officer of RFE Investment Partners, a private equity investment firm located in Connecticut. In addition to being responsible for the financial reporting of the RFE funds, Mr. Wagner was a Director of several RFE portfolio companies. Before joining RFE, Mr. Wagner was the Partner in charge of the Arthur Andersen LLP tax practice in Stamford, Connecticut. Mr. Wagner graduated from the University of Connecticut with a B.S. degree in Accounting.</w:t>
      </w:r>
    </w:p>
    <w:p>
      <w:pPr>
        <w:spacing w:after="0" w:line="166" w:lineRule="exact"/>
        <w:rPr>
          <w:sz w:val="20"/>
          <w:szCs w:val="20"/>
          <w:color w:val="auto"/>
        </w:rPr>
      </w:pPr>
    </w:p>
    <w:p>
      <w:pPr>
        <w:jc w:val="both"/>
        <w:ind w:right="80" w:firstLine="209"/>
        <w:spacing w:after="0" w:line="263" w:lineRule="auto"/>
        <w:rPr>
          <w:sz w:val="20"/>
          <w:szCs w:val="20"/>
          <w:color w:val="auto"/>
        </w:rPr>
      </w:pPr>
      <w:r>
        <w:rPr>
          <w:rFonts w:ascii="Times New Roman" w:cs="Times New Roman" w:eastAsia="Times New Roman" w:hAnsi="Times New Roman"/>
          <w:sz w:val="14"/>
          <w:szCs w:val="14"/>
          <w:b w:val="1"/>
          <w:bCs w:val="1"/>
          <w:color w:val="auto"/>
        </w:rPr>
        <w:t>Joseph H. Wender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Senior Managing Director and Chairman of Finance Committee</w:t>
      </w:r>
      <w:r>
        <w:rPr>
          <w:rFonts w:ascii="Times New Roman" w:cs="Times New Roman" w:eastAsia="Times New Roman" w:hAnsi="Times New Roman"/>
          <w:sz w:val="14"/>
          <w:szCs w:val="14"/>
          <w:color w:val="auto"/>
        </w:rPr>
        <w:t>—Mr. Wender joined GSC Group in 2005 as a Managing Director and is a former member of the GSC Advisory Board.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this, he began with Goldman, Sachs &amp; Co. in 1971 and became a General Partner in 1982, where he headed the Financial Institutions Group for over a decade. Mr. Wender is Chairman of the Board of GSC Capital Corp., Isis Pharmaceuticals, First Coastal Bancshares, Affinity Financial and Neurome. Mr. Wender is also a director of a</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1" w:right="219" w:bottom="1440" w:gutter="0" w:footer="0" w:header="0"/>
        </w:sectPr>
      </w:pPr>
    </w:p>
    <w:bookmarkStart w:id="78" w:name="page79"/>
    <w:bookmarkEnd w:id="78"/>
    <w:p>
      <w:pPr>
        <w:ind w:right="380"/>
        <w:spacing w:after="0" w:line="270" w:lineRule="auto"/>
        <w:rPr>
          <w:sz w:val="20"/>
          <w:szCs w:val="20"/>
          <w:color w:val="auto"/>
        </w:rPr>
      </w:pPr>
      <w:r>
        <w:rPr>
          <w:rFonts w:ascii="Times New Roman" w:cs="Times New Roman" w:eastAsia="Times New Roman" w:hAnsi="Times New Roman"/>
          <w:sz w:val="14"/>
          <w:szCs w:val="14"/>
          <w:color w:val="auto"/>
        </w:rPr>
        <w:t>number of not-for-profit institutions, including COPIA, the St. Helena Hospital, The Joffrey Ballet and the Actors’ Fund. Mr. Wender graduated from Northwestern University with a B.S.B.A. degree and graduated with highest distinction as a Baker Scholar from the Harvard Graduate School of Business Administration with a M.B.A. degree.</w:t>
      </w:r>
    </w:p>
    <w:p>
      <w:pPr>
        <w:spacing w:after="0" w:line="157" w:lineRule="exact"/>
        <w:rPr>
          <w:sz w:val="20"/>
          <w:szCs w:val="20"/>
          <w:color w:val="auto"/>
        </w:rPr>
      </w:pPr>
    </w:p>
    <w:p>
      <w:pPr>
        <w:ind w:firstLine="209"/>
        <w:spacing w:after="0" w:line="254" w:lineRule="auto"/>
        <w:rPr>
          <w:sz w:val="20"/>
          <w:szCs w:val="20"/>
          <w:color w:val="auto"/>
        </w:rPr>
      </w:pPr>
      <w:r>
        <w:rPr>
          <w:rFonts w:ascii="Times New Roman" w:cs="Times New Roman" w:eastAsia="Times New Roman" w:hAnsi="Times New Roman"/>
          <w:sz w:val="14"/>
          <w:szCs w:val="14"/>
          <w:b w:val="1"/>
          <w:bCs w:val="1"/>
          <w:color w:val="auto"/>
        </w:rPr>
        <w:t>Alexander K. Zabik</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Senior Managing Director, Head of High Yield Real Estate</w:t>
      </w:r>
      <w:r>
        <w:rPr>
          <w:rFonts w:ascii="Times New Roman" w:cs="Times New Roman" w:eastAsia="Times New Roman" w:hAnsi="Times New Roman"/>
          <w:sz w:val="14"/>
          <w:szCs w:val="14"/>
          <w:color w:val="auto"/>
        </w:rPr>
        <w:t>—Mr. Zabik joined GSC Group in 2006 as a Senior Managing Director. Prior to GSC, Mr. Zabik served as a Managing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and senior member of the BlackRock, Inc. Real Estate Debt Group, as a member of the Investment Committee and as a member of the Investment Strategy Group. Mr. Zabik also served as an officer of Anthracite Inc., a BlackRock-sponsored mortgage real estate investment trust. Mr. Zabik was responsible for the development and growth of the high-yield commercial real estate debt business at BlackRock, including acting as Head of Originations for all high-yield commercial debt, including bridge loans, mezzanine loans, B- notes and preferred equity. Mr. Zabik also acted as a Portfolio Manager in the successful capital raise and investment of Carbon Capital I, its first mezzanine fund, a $265 million privately managed REIT and Carbon Capital II, a $385 million follow-on fund. Mr. Zabik is a member of the Urban Land Institute, Commercial Mortgage Securities Association and the Real Estate Lenders Association. Mr. Zabik graduated from Boston University with a B.A. degree and from Babson College with a M.B.A. degree in Finance.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Committees of the board of directors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99" w:lineRule="exact"/>
        <w:rPr>
          <w:sz w:val="20"/>
          <w:szCs w:val="20"/>
          <w:color w:val="auto"/>
        </w:rPr>
      </w:pPr>
    </w:p>
    <w:p>
      <w:pPr>
        <w:ind w:right="60" w:firstLine="209"/>
        <w:spacing w:after="0" w:line="256" w:lineRule="auto"/>
        <w:rPr>
          <w:sz w:val="20"/>
          <w:szCs w:val="20"/>
          <w:color w:val="auto"/>
        </w:rPr>
      </w:pPr>
      <w:r>
        <w:rPr>
          <w:rFonts w:ascii="Times New Roman" w:cs="Times New Roman" w:eastAsia="Times New Roman" w:hAnsi="Times New Roman"/>
          <w:sz w:val="14"/>
          <w:szCs w:val="14"/>
          <w:color w:val="auto"/>
        </w:rPr>
        <w:t>The audit committee is responsible for approving our independent accountants, reviewing with our independent accountants the plans and results of the audit engagement, approving professional services provided by our independent accountants, reviewing the independence of our independent accountants and reviewing the adequacy of our internal accounting controls. The audit committee is also responsible for aiding our board of directors in fair value pricing debt and equity securities that are not publicly traded or for which current market values are not readily available. Where appropriate, the board of directors and audit committee may utilize the services of an independent valuation firm to help them determine the fair value of these securities.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Nominating committee</w:t>
      </w:r>
    </w:p>
    <w:p>
      <w:pPr>
        <w:spacing w:after="0" w:line="199" w:lineRule="exact"/>
        <w:rPr>
          <w:sz w:val="20"/>
          <w:szCs w:val="20"/>
          <w:color w:val="auto"/>
        </w:rPr>
      </w:pPr>
    </w:p>
    <w:p>
      <w:pPr>
        <w:ind w:right="20" w:firstLine="209"/>
        <w:spacing w:after="0" w:line="356" w:lineRule="auto"/>
        <w:rPr>
          <w:sz w:val="20"/>
          <w:szCs w:val="20"/>
          <w:color w:val="auto"/>
        </w:rPr>
      </w:pPr>
      <w:r>
        <w:rPr>
          <w:rFonts w:ascii="Times New Roman" w:cs="Times New Roman" w:eastAsia="Times New Roman" w:hAnsi="Times New Roman"/>
          <w:sz w:val="12"/>
          <w:szCs w:val="12"/>
          <w:color w:val="auto"/>
        </w:rPr>
        <w:t>The nominating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will not have a compensation committee because our executive officers will not receive any direct compensation from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99" w:lineRule="exact"/>
        <w:rPr>
          <w:sz w:val="20"/>
          <w:szCs w:val="20"/>
          <w:color w:val="auto"/>
        </w:rPr>
      </w:pPr>
    </w:p>
    <w:p>
      <w:pPr>
        <w:ind w:right="20" w:firstLine="209"/>
        <w:spacing w:after="0" w:line="254" w:lineRule="auto"/>
        <w:rPr>
          <w:sz w:val="20"/>
          <w:szCs w:val="20"/>
          <w:color w:val="auto"/>
        </w:rPr>
      </w:pPr>
      <w:r>
        <w:rPr>
          <w:rFonts w:ascii="Times New Roman" w:cs="Times New Roman" w:eastAsia="Times New Roman" w:hAnsi="Times New Roman"/>
          <w:sz w:val="14"/>
          <w:szCs w:val="14"/>
          <w:color w:val="auto"/>
        </w:rPr>
        <w:t>The independent directors will receive an annual fee of $40,000. They will also receive $2,500 plus reimbursement of reasonable out-of-pocket expenses incurred in connection with attending each board meeting and will receive $1,000 plus reimbursement of reasonable out-of-pocket expenses incurred in connection with attending each committee meeting. In addition, the Chairman of the Audit Committee will receive an annual fee of $5,000 and each chairman of any other committee will receive an annual fee of $2,000 for their additional services in these capacities. In addition, we will purchase directors’ and officers’ liability insurance on behalf of our directors and officers. Independent directors will have the option to receive their directors’ fees paid in our common stock issued at a price per share equal to the greater of net asset value or the market price at the time of payment. No compensation will be paid to directors who are “interested persons.”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4" w:right="2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color w:val="auto"/>
        </w:rPr>
        <w:t>Investment advisory and management agreement</w:t>
      </w:r>
    </w:p>
    <w:p>
      <w:pPr>
        <w:spacing w:after="0" w:line="199" w:lineRule="exact"/>
        <w:rPr>
          <w:sz w:val="20"/>
          <w:szCs w:val="20"/>
          <w:color w:val="auto"/>
        </w:rPr>
      </w:pPr>
    </w:p>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GSCP (NJ), L.P. serves as our investment adviser. Our investment adviser is an SEC-registered investment adviser under the Advisers Act. Subject to the overall supervision of our board of directors, the investment adviser manages our day-to-day operations and provides investment advisory and management services to us. Under the terms of an investment advisory and management agreement, our investment adviser:</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determines the composition of our portfolio, the nature and timing of the changes to our portfolio and the manner of implementing such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identifies, evaluates and negotiates the structure of the investments we make (including performing due diligence on our prospective portfolio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closes and monitors the investments we make;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determines the securities and other assets that we purchase, retain or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Our investment adviser’s services under the investment advisory and management agreement are not exclusive, and it is free to furnish similar services to other entities.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fee and incentive fee</w:t>
      </w:r>
    </w:p>
    <w:p>
      <w:pPr>
        <w:spacing w:after="0" w:line="199" w:lineRule="exact"/>
        <w:rPr>
          <w:sz w:val="20"/>
          <w:szCs w:val="20"/>
          <w:color w:val="auto"/>
        </w:rPr>
      </w:pPr>
    </w:p>
    <w:p>
      <w:pPr>
        <w:ind w:right="560" w:firstLine="209"/>
        <w:spacing w:after="0" w:line="270" w:lineRule="auto"/>
        <w:rPr>
          <w:sz w:val="20"/>
          <w:szCs w:val="20"/>
          <w:color w:val="auto"/>
        </w:rPr>
      </w:pPr>
      <w:r>
        <w:rPr>
          <w:rFonts w:ascii="Times New Roman" w:cs="Times New Roman" w:eastAsia="Times New Roman" w:hAnsi="Times New Roman"/>
          <w:sz w:val="14"/>
          <w:szCs w:val="14"/>
          <w:color w:val="auto"/>
        </w:rPr>
        <w:t>Pursuant to the investment advisory and management agreement, we will pay our investment adviser a fee for investment advisory and management services consisting of two components—a base management fee and an incentive fee.</w:t>
      </w:r>
    </w:p>
    <w:p>
      <w:pPr>
        <w:spacing w:after="0" w:line="161"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The base management fee will be calculated at an annual rate of 1.75% of our total assets (other than cash or cash equivalents but including assets purchased with borrowed funds). For services rendered under the investment advisory and management agreement during the period commencing from the closing of this offering through and including the end of our first calendar quarter, the base management fee will be payable monthly in arrears. For services rendered under the investment advisory and management agreement after that time, the base management fee will be payable quarterly in arrears. Until we have completed our first calendar quarter, the base management fee will be calculated based on the initial value of our total assets after giving effect to the purchase of the Portfolio (other than cash or cash equivalents but including assets purchased with borrowed funds). Subsequently, the base management fee will be calculated based on the average value of our total assets (other than cash or cash equivalents but including assets purchased with borrowed funds) at the end of the two most recently completed calendar quarters, and appropriately adjusted for any share issuances or repurchases during the current calendar quarter. Base management fees for any partial month or quarter will be appropriately pro rated.</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incentive fee will have two parts, as follows:</w:t>
      </w:r>
    </w:p>
    <w:p>
      <w:pPr>
        <w:spacing w:after="0" w:line="195" w:lineRule="exact"/>
        <w:rPr>
          <w:sz w:val="20"/>
          <w:szCs w:val="20"/>
          <w:color w:val="auto"/>
        </w:rPr>
      </w:pPr>
    </w:p>
    <w:p>
      <w:pPr>
        <w:ind w:right="100" w:firstLine="209"/>
        <w:spacing w:after="0" w:line="253" w:lineRule="auto"/>
        <w:rPr>
          <w:sz w:val="20"/>
          <w:szCs w:val="20"/>
          <w:color w:val="auto"/>
        </w:rPr>
      </w:pPr>
      <w:r>
        <w:rPr>
          <w:rFonts w:ascii="Times New Roman" w:cs="Times New Roman" w:eastAsia="Times New Roman" w:hAnsi="Times New Roman"/>
          <w:sz w:val="14"/>
          <w:szCs w:val="14"/>
          <w:color w:val="auto"/>
        </w:rPr>
        <w:t>One part will be calculated and payable quarterly in arrears based on our pre-incentive fee net investment income.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and any interest expense and dividends paid on any outstanding preferred stock, but excluding the incentive fee). Pre-incentive fee net investment income includes, in the case of investments with a deferred interest feature (such as market discount, debt instruments with payment-in-kind interest, preferred stock with payment-in-kind dividends and zero coupon securities), accrued income that we have not yet received in cash. The investment adviser is not under any obligation to reimburse us for any part of the incentive fee it received that was based on accrued income that we fail to receive as a result of a default by an entity on the obligation that resulted in the accrual of such income.</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0" w:right="239" w:bottom="1440" w:gutter="0" w:footer="0" w:header="0"/>
        </w:sectPr>
      </w:pPr>
    </w:p>
    <w:bookmarkStart w:id="80" w:name="page81"/>
    <w:bookmarkEnd w:id="80"/>
    <w:p>
      <w:pPr>
        <w:ind w:firstLine="209"/>
        <w:spacing w:after="0" w:line="260" w:lineRule="auto"/>
        <w:rPr>
          <w:sz w:val="20"/>
          <w:szCs w:val="20"/>
          <w:color w:val="auto"/>
        </w:rPr>
      </w:pPr>
      <w:r>
        <w:rPr>
          <w:rFonts w:ascii="Times New Roman" w:cs="Times New Roman" w:eastAsia="Times New Roman" w:hAnsi="Times New Roman"/>
          <w:sz w:val="14"/>
          <w:szCs w:val="14"/>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where we incur a net loss. For example, if we receive pre-incentive fee net investment income in excess of the hurdle rate for a quarter, we will pay the applicable incentive fee even if we have incurred a net loss in that quarter due to realized and unrealized capital losses.</w:t>
      </w:r>
    </w:p>
    <w:p>
      <w:pPr>
        <w:spacing w:after="0" w:line="168" w:lineRule="exact"/>
        <w:rPr>
          <w:sz w:val="20"/>
          <w:szCs w:val="20"/>
          <w:color w:val="auto"/>
        </w:rPr>
      </w:pPr>
    </w:p>
    <w:p>
      <w:pPr>
        <w:ind w:right="100" w:firstLine="209"/>
        <w:spacing w:after="0" w:line="254" w:lineRule="auto"/>
        <w:rPr>
          <w:sz w:val="20"/>
          <w:szCs w:val="20"/>
          <w:color w:val="auto"/>
        </w:rPr>
      </w:pPr>
      <w:r>
        <w:rPr>
          <w:rFonts w:ascii="Times New Roman" w:cs="Times New Roman" w:eastAsia="Times New Roman" w:hAnsi="Times New Roman"/>
          <w:sz w:val="14"/>
          <w:szCs w:val="14"/>
          <w:color w:val="auto"/>
        </w:rPr>
        <w:t>Pre-incentive fee net investment income, expressed as a rate of return on the value of our net assets at the end of the immediately preceding calendar quarter, will be compared to a fixed “hurdle rate” of 2.00% per quarter (8.0% annualized). If market interest rates rise, we may be able to invest our funds in debt instruments that provide for a higher return, which would increase our pre-incentive fee net investment income and make it easier for our investment adviser to surpass the fixed hurdle rate and receive an incentive fee based on such net investment income. Our pre-incentive fee net investment income used to calculate this part of the incentive fee is also included in the amount of our total assets (other than cash and cash equivalents but including assets purchased with borrowed funds) used to calculate the 1.75% base management fee.</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will pay our investment adviser an incentive fee with respect to our pre-incentive fee net investment income in each calendar quarter as follows:</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no incentive fee in any calendar quarter in which our pre-incentive fee net investment income does not exceed the hurdle rate;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20% of the amount of our pre-incentive fee net investment income, if any, that exceeds 2% in any calendar quarter (8% annualized).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These calculations will be appropriately pro rated for any period of less than three months and adjusted for any share issuances or repurchases during the current quarter.</w:t>
      </w:r>
    </w:p>
    <w:p>
      <w:pPr>
        <w:spacing w:after="0" w:line="195"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The second part of the incentive fee will be determined and payable at the end of each calendar year (or upon termination of the investment advisory and management agreement, as of the termination date), commencing with the calendar year ending on December 31, 2007, and will equal 20% of our realized capital gains on a cumulative basis, if any, computed net of all realized capital losses and unrealized capital depreciation on a cumulative basis; provided that the incentive fee determined as of December 31, 2007 will be calculated for a period of shorter than twelve calendar months to take into account any realized capital gains computed net of all realized capital losses and unrealized capital depreciation for the period ending December 31, 2007.</w:t>
      </w:r>
    </w:p>
    <w:p>
      <w:pPr>
        <w:spacing w:after="0" w:line="171" w:lineRule="exact"/>
        <w:rPr>
          <w:sz w:val="20"/>
          <w:szCs w:val="20"/>
          <w:color w:val="auto"/>
        </w:rPr>
      </w:pPr>
    </w:p>
    <w:p>
      <w:pPr>
        <w:ind w:right="20" w:firstLine="209"/>
        <w:spacing w:after="0" w:line="256" w:lineRule="auto"/>
        <w:rPr>
          <w:sz w:val="20"/>
          <w:szCs w:val="20"/>
          <w:color w:val="auto"/>
        </w:rPr>
      </w:pPr>
      <w:r>
        <w:rPr>
          <w:rFonts w:ascii="Times New Roman" w:cs="Times New Roman" w:eastAsia="Times New Roman" w:hAnsi="Times New Roman"/>
          <w:sz w:val="14"/>
          <w:szCs w:val="14"/>
          <w:color w:val="auto"/>
        </w:rPr>
        <w:t>We will defer cash payment of any incentive fee otherwise earned by our investment adviser if during the most recent four full calendar quarter period ending on or prior to the date such payment is to be made the sum of (a) our aggregate distributions to our stockholders and (b) our change in net assets (defined as total assets less liabilities) is less than 8.0% of our net assets at the beginning of such period. Such incentive fee will become payable on the next date on which such test has been satisfied for the most recent four full calendar quarters. These calculations will be appropriately pro rated and will be adjusted for any share issuances or repurchases.</w:t>
      </w:r>
    </w:p>
    <w:p>
      <w:pPr>
        <w:spacing w:after="0" w:line="171" w:lineRule="exact"/>
        <w:rPr>
          <w:sz w:val="20"/>
          <w:szCs w:val="20"/>
          <w:color w:val="auto"/>
        </w:rPr>
      </w:pPr>
    </w:p>
    <w:p>
      <w:pPr>
        <w:ind w:right="340" w:firstLine="209"/>
        <w:spacing w:after="0" w:line="260" w:lineRule="auto"/>
        <w:rPr>
          <w:sz w:val="20"/>
          <w:szCs w:val="20"/>
          <w:color w:val="auto"/>
        </w:rPr>
      </w:pPr>
      <w:r>
        <w:rPr>
          <w:rFonts w:ascii="Times New Roman" w:cs="Times New Roman" w:eastAsia="Times New Roman" w:hAnsi="Times New Roman"/>
          <w:sz w:val="14"/>
          <w:szCs w:val="14"/>
          <w:color w:val="auto"/>
        </w:rPr>
        <w:t>We will calculate payments of the capital gains portion of the incentive fee using the “cumulative method,” which bases the capital gains fee on the cumulative net realized capital gains less unrealized depreciation as of the date of the calculation, less the aggregate amount of capital gains incentive fees paid to the investment adviser through such date. Under the cumulative method, the calculation of unrealized depreciation of each portfolio security will be based upon the market value of each security as of the date of such calculation compared to its adjusted cost.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95"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Examples of Quarterly Incentive Fee Calculation</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Example 1: Income Related Portion of Incentive Fee(1):</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Hurdle rate(2) =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Management fee(3) = 0.4375%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etc.)(4) = 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Alternative 1</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Additional Assumptions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Pre-incentive fee net investment income (investment income - (management fee + other expenses)) = 0.6125%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-60325</wp:posOffset>
            </wp:positionV>
            <wp:extent cx="58420" cy="584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Pre-incentive fee net investment income does not exceed hurdle rate, therefore there is no incentive fee.</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Alternative 2</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Additional Assumptions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Pre-incentive fee net investment income (investment income - (management fee + other expenses)) = 2.3625%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-60325</wp:posOffset>
            </wp:positionV>
            <wp:extent cx="58420" cy="584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380"/>
          </w:cols>
          <w:pgMar w:left="220" w:top="482" w:right="29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Pre-incentive fee net investment income exceeds hurdle rate, therefore there is an incentive fee.</w:t>
      </w:r>
    </w:p>
    <w:p>
      <w:pPr>
        <w:spacing w:after="0" w:line="2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661670</wp:posOffset>
            </wp:positionV>
            <wp:extent cx="110299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370" w:right="4000" w:hanging="370"/>
        <w:spacing w:after="0" w:line="327" w:lineRule="auto"/>
        <w:tabs>
          <w:tab w:leader="none" w:pos="37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 (pre-incentive fee net investment income - 2.0%)</w:t>
      </w:r>
    </w:p>
    <w:p>
      <w:pPr>
        <w:ind w:left="370" w:hanging="362"/>
        <w:spacing w:after="0"/>
        <w:tabs>
          <w:tab w:leader="none" w:pos="37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(2.3625% - 2%)</w:t>
      </w:r>
    </w:p>
    <w:p>
      <w:pPr>
        <w:spacing w:after="0" w:line="27" w:lineRule="exact"/>
        <w:rPr>
          <w:rFonts w:ascii="Times New Roman" w:cs="Times New Roman" w:eastAsia="Times New Roman" w:hAnsi="Times New Roman"/>
          <w:sz w:val="14"/>
          <w:szCs w:val="14"/>
          <w:color w:val="auto"/>
        </w:rPr>
      </w:pPr>
    </w:p>
    <w:p>
      <w:pPr>
        <w:ind w:left="370" w:hanging="362"/>
        <w:spacing w:after="0"/>
        <w:tabs>
          <w:tab w:leader="none" w:pos="37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(0.3625%)</w:t>
      </w:r>
    </w:p>
    <w:p>
      <w:pPr>
        <w:spacing w:after="0" w:line="27" w:lineRule="exact"/>
        <w:rPr>
          <w:rFonts w:ascii="Times New Roman" w:cs="Times New Roman" w:eastAsia="Times New Roman" w:hAnsi="Times New Roman"/>
          <w:sz w:val="14"/>
          <w:szCs w:val="14"/>
          <w:color w:val="auto"/>
        </w:rPr>
      </w:pPr>
    </w:p>
    <w:p>
      <w:pPr>
        <w:ind w:left="370" w:hanging="362"/>
        <w:spacing w:after="0"/>
        <w:tabs>
          <w:tab w:leader="none" w:pos="37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0.0725%</w:t>
      </w:r>
    </w:p>
    <w:p>
      <w:pPr>
        <w:spacing w:after="0" w:line="200" w:lineRule="exact"/>
        <w:rPr>
          <w:sz w:val="20"/>
          <w:szCs w:val="20"/>
          <w:color w:val="auto"/>
        </w:rPr>
      </w:pPr>
    </w:p>
    <w:p>
      <w:pPr>
        <w:sectPr>
          <w:pgSz w:w="11900" w:h="16838" w:orient="portrait"/>
          <w:cols w:equalWidth="0" w:num="2">
            <w:col w:w="5200" w:space="210"/>
            <w:col w:w="5970"/>
          </w:cols>
          <w:pgMar w:left="220" w:top="482" w:right="299" w:bottom="1440" w:gutter="0" w:footer="0" w:header="0"/>
          <w:type w:val="continuous"/>
        </w:sectPr>
      </w:pPr>
    </w:p>
    <w:p>
      <w:pPr>
        <w:spacing w:after="0" w:line="173" w:lineRule="exact"/>
        <w:rPr>
          <w:sz w:val="20"/>
          <w:szCs w:val="20"/>
          <w:color w:val="auto"/>
        </w:rPr>
      </w:pPr>
    </w:p>
    <w:p>
      <w:pPr>
        <w:jc w:val="both"/>
        <w:ind w:left="580" w:hanging="576"/>
        <w:spacing w:after="0" w:line="260" w:lineRule="auto"/>
        <w:tabs>
          <w:tab w:leader="none" w:pos="5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hypothetical amount of pre-incentive fee net investment income shown is based on a percentage of total net assets. In addition, the example assumes that during the most recent four full calendar quarter period ending on or prior to the date the payment set forth in the example is to be made, the sum of (a) our aggregate distributions to our stockholders and (b) our change in net assets (defined as total assets less liabilities) is at least 8.0% of our net assets at the beginning of such period (as adjusted for any share issuances or repurchases).</w:t>
      </w:r>
    </w:p>
    <w:p>
      <w:pPr>
        <w:spacing w:after="0" w:line="167" w:lineRule="exact"/>
        <w:rPr>
          <w:rFonts w:ascii="Times New Roman" w:cs="Times New Roman" w:eastAsia="Times New Roman" w:hAnsi="Times New Roman"/>
          <w:sz w:val="14"/>
          <w:szCs w:val="14"/>
          <w:color w:val="auto"/>
        </w:rPr>
      </w:pPr>
    </w:p>
    <w:p>
      <w:pPr>
        <w:ind w:left="580" w:hanging="576"/>
        <w:spacing w:after="0"/>
        <w:tabs>
          <w:tab w:leader="none" w:pos="5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8.0% annualized hurdle rate.</w:t>
      </w:r>
    </w:p>
    <w:p>
      <w:pPr>
        <w:spacing w:after="0" w:line="194" w:lineRule="exact"/>
        <w:rPr>
          <w:rFonts w:ascii="Times New Roman" w:cs="Times New Roman" w:eastAsia="Times New Roman" w:hAnsi="Times New Roman"/>
          <w:sz w:val="14"/>
          <w:szCs w:val="14"/>
          <w:color w:val="auto"/>
        </w:rPr>
      </w:pPr>
    </w:p>
    <w:p>
      <w:pPr>
        <w:ind w:left="580" w:hanging="576"/>
        <w:spacing w:after="0"/>
        <w:tabs>
          <w:tab w:leader="none" w:pos="5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1.75% annualized management fee. For the purposes of this example, we have assumed that we have not incurred any indebtedness and that we maintain no cash or cash equivalents.</w:t>
      </w:r>
    </w:p>
    <w:p>
      <w:pPr>
        <w:spacing w:after="0" w:line="217" w:lineRule="exact"/>
        <w:rPr>
          <w:rFonts w:ascii="Times New Roman" w:cs="Times New Roman" w:eastAsia="Times New Roman" w:hAnsi="Times New Roman"/>
          <w:sz w:val="12"/>
          <w:szCs w:val="12"/>
          <w:color w:val="auto"/>
        </w:rPr>
      </w:pPr>
    </w:p>
    <w:p>
      <w:pPr>
        <w:ind w:left="580" w:hanging="576"/>
        <w:spacing w:after="0"/>
        <w:tabs>
          <w:tab w:leader="none" w:pos="5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organizational and offering expenses.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80"/>
          </w:cols>
          <w:pgMar w:left="220" w:top="482" w:right="2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Example 2: Capital Gains Portion of Incentive Fee:</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Alternative 1:</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1: $20 million investment made in Company A (“Investment A”), and $30 million investment made in Company B (“Investment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2: Investment A is sold for $50 million and fair market value (“FMV”) of Investment B determined to be $32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3: FMV of Investment B determined to be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4: Investment B sold for $31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capital gains portion of the incentive fee, if any, calculated under the cumulative method would be:</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1: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2: $6 million (20% multiplied by $30 million realized capital gains on sale of Investment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3: None; $5 million (20% multiplied by ($30 million realized cumulative capital gains less $5 million cumulative capital depreciation)) less $6 million (capital gains incentive fee paid in Year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-60325</wp:posOffset>
            </wp:positionV>
            <wp:extent cx="58420" cy="584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4: $200,000; $6.2 million (20% multiplied by $31 million cumulative realized capital gains) less $6 million (capital gains incentive fee paid in Year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Alternative 2</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Year 1: $20 million investment made in Company A (“Investment A”), $30 million investment made in Company B (“Investment B”) and $25 million investment made in Company C (“Investment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-60325</wp:posOffset>
            </wp:positionV>
            <wp:extent cx="58420" cy="584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2: Investment A sold for $50 million, FMV of Investment B determined to be $25 million and FMV of Investment C determined to be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3: FMV of Investment B determined to be $27 million and Investment C sold for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4: FMV of Investment B determined to be $35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5: Investment B sold for $20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capital gains portion of the incentive fee, if any, calculated under the cumulative method would be:</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1: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2: $5 million (20% multiplied by $25 million ($30 million realized capital gains on Investment A less $5 million unrealized capital depreciation on Investment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right="60"/>
        <w:spacing w:after="0" w:line="302" w:lineRule="auto"/>
        <w:rPr>
          <w:sz w:val="20"/>
          <w:szCs w:val="20"/>
          <w:color w:val="auto"/>
        </w:rPr>
      </w:pPr>
      <w:r>
        <w:rPr>
          <w:rFonts w:ascii="Times New Roman" w:cs="Times New Roman" w:eastAsia="Times New Roman" w:hAnsi="Times New Roman"/>
          <w:sz w:val="14"/>
          <w:szCs w:val="14"/>
          <w:color w:val="auto"/>
        </w:rPr>
        <w:t>Year 3: $1.4 million ($6.4 million (20% multiplied by $32 million ($35 million cumulative realized capital gains less $3 million unrealized capital depreciation)) less $5 million (capital gains incentive fee paid in Year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Year 4: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80"/>
          </w:cols>
          <w:pgMar w:left="220" w:top="482" w:right="299" w:bottom="1440" w:gutter="0" w:footer="0" w:header="0"/>
        </w:sectPr>
      </w:pPr>
    </w:p>
    <w:bookmarkStart w:id="83" w:name="page84"/>
    <w:bookmarkEnd w:id="83"/>
    <w:p>
      <w:pPr>
        <w:ind w:left="420"/>
        <w:spacing w:after="0" w:line="302" w:lineRule="auto"/>
        <w:rPr>
          <w:sz w:val="20"/>
          <w:szCs w:val="20"/>
          <w:color w:val="auto"/>
        </w:rPr>
      </w:pPr>
      <w:r>
        <w:rPr>
          <w:rFonts w:ascii="Times New Roman" w:cs="Times New Roman" w:eastAsia="Times New Roman" w:hAnsi="Times New Roman"/>
          <w:sz w:val="14"/>
          <w:szCs w:val="14"/>
          <w:color w:val="auto"/>
        </w:rPr>
        <w:t>Year 5: None ($5 million (20% multiplied by $25 million (cumulative realized capital gains of $35 million less realized capital losses of $10 million)) less $6.4 million (cumulative capital gains incentive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investment advisory and management agreement was approved by the board of directors at an in-person meeting of the directors held on ________, 2006, including a majority of the directors who are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parties to the agreement or interested persons of any such party (as such term is defined in the 1940 Act).</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approving this agreement, the directors considered, among other things, (i) the investment objective and policies of the Company, (ii) the teams of investment advisory personnel assigned to the Company,</w:t>
      </w:r>
    </w:p>
    <w:p>
      <w:pPr>
        <w:spacing w:after="0" w:line="37" w:lineRule="exact"/>
        <w:rPr>
          <w:sz w:val="20"/>
          <w:szCs w:val="20"/>
          <w:color w:val="auto"/>
        </w:rPr>
      </w:pPr>
    </w:p>
    <w:p>
      <w:pPr>
        <w:ind w:right="120" w:firstLine="4"/>
        <w:spacing w:after="0" w:line="316" w:lineRule="auto"/>
        <w:tabs>
          <w:tab w:leader="none" w:pos="23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nature, allocation and anticipated quality of the services to be provided to the Company by the investment adviser, (iv) the Company’s fee and expense data as compared to various benchmarks and a peer group of BDC’s and private investment funds with similar investment strategies as the Company’s, (v) the investment adviser’s expected profitability with respect to the management of the Company, (vi) the organizational capability and financial condition of the investment adviser and its affiliates and (vii) the direct and indirect benefits to the investment adviser from its relationships with the Company.</w:t>
      </w:r>
    </w:p>
    <w:p>
      <w:pPr>
        <w:spacing w:after="0" w:line="138" w:lineRule="exact"/>
        <w:rPr>
          <w:sz w:val="20"/>
          <w:szCs w:val="20"/>
          <w:color w:val="auto"/>
        </w:rPr>
      </w:pPr>
    </w:p>
    <w:p>
      <w:pPr>
        <w:ind w:right="220" w:firstLine="209"/>
        <w:spacing w:after="0" w:line="260" w:lineRule="auto"/>
        <w:rPr>
          <w:sz w:val="20"/>
          <w:szCs w:val="20"/>
          <w:color w:val="auto"/>
        </w:rPr>
      </w:pPr>
      <w:r>
        <w:rPr>
          <w:rFonts w:ascii="Times New Roman" w:cs="Times New Roman" w:eastAsia="Times New Roman" w:hAnsi="Times New Roman"/>
          <w:sz w:val="14"/>
          <w:szCs w:val="14"/>
          <w:color w:val="auto"/>
        </w:rPr>
        <w:t>During its deliberations, the directors focused on the experience, resources and strengths of the investment adviser in managing investment companies and private investment funds. The directors also focused on the quality of the compliance and administrative staff at the investment adviser. The directors also focused on the Company’s base and incentive advisory fee rate and anticipated expense ratios as compared to those of comparable BDC’s and private funds identified by the investment adviser.</w:t>
      </w:r>
    </w:p>
    <w:p>
      <w:pPr>
        <w:spacing w:after="0" w:line="168" w:lineRule="exact"/>
        <w:rPr>
          <w:sz w:val="20"/>
          <w:szCs w:val="20"/>
          <w:color w:val="auto"/>
        </w:rPr>
      </w:pPr>
    </w:p>
    <w:p>
      <w:pPr>
        <w:jc w:val="both"/>
        <w:ind w:right="20" w:firstLine="209"/>
        <w:spacing w:after="0" w:line="256" w:lineRule="auto"/>
        <w:rPr>
          <w:sz w:val="20"/>
          <w:szCs w:val="20"/>
          <w:color w:val="auto"/>
        </w:rPr>
      </w:pPr>
      <w:r>
        <w:rPr>
          <w:rFonts w:ascii="Times New Roman" w:cs="Times New Roman" w:eastAsia="Times New Roman" w:hAnsi="Times New Roman"/>
          <w:sz w:val="14"/>
          <w:szCs w:val="14"/>
          <w:color w:val="auto"/>
        </w:rPr>
        <w:t>Based on the information reviewed and discussions held with respect to each of the foregoing items, the directors, including a majority of the non-interested directors, concluded that it was satisfied with the nature and quality of the services to be provided by the investment adviser to the Company and that the advisory fee rate was reasonable in relation to such services. A discussion regarding the basis for approval by the directors of our investment advisory and management agreement with the investment adviser will be available in our report to stockholders for the period ending _____________, 2006. The non-interested directors were represented by independent counsel who assisted them in their deliberations.</w:t>
      </w:r>
    </w:p>
    <w:p>
      <w:pPr>
        <w:spacing w:after="0" w:line="171" w:lineRule="exact"/>
        <w:rPr>
          <w:sz w:val="20"/>
          <w:szCs w:val="20"/>
          <w:color w:val="auto"/>
        </w:rPr>
      </w:pPr>
    </w:p>
    <w:p>
      <w:pPr>
        <w:ind w:right="20" w:firstLine="209"/>
        <w:spacing w:after="0" w:line="251" w:lineRule="auto"/>
        <w:rPr>
          <w:sz w:val="20"/>
          <w:szCs w:val="20"/>
          <w:color w:val="auto"/>
        </w:rPr>
      </w:pPr>
      <w:r>
        <w:rPr>
          <w:rFonts w:ascii="Times New Roman" w:cs="Times New Roman" w:eastAsia="Times New Roman" w:hAnsi="Times New Roman"/>
          <w:sz w:val="14"/>
          <w:szCs w:val="14"/>
          <w:color w:val="auto"/>
        </w:rPr>
        <w:t>The investment advisory and management agreement was approved by the sole stockholder of the Company as of , 2006. The investment advisory and management agreement will continue in effect for a period of two years from its effective date, and if not sooner terminated, will continue in effect for successive period of 12 months thereafter, provided that each continuance is specifically approved at least annually by both (i) the vote of a majority of the Board members or the vote of a majority of the outstanding voting securities of the Company (as such term is defined in the 1940 Act) and (ii) the vote of a majority of the Board members who are not parties to the investment advisory and management agreement or interested persons (as such term is defined in the 1940 Act) of any such party, cast in person at a meeting called for the purpose of voting on such approval. The investment advisory and management agreement may be terminated as a whole at any time by the Company, without the payment of any penalty, upon the vote of a majority of the Board members or a majority of the outstanding voting securities of the Company or by the investment adviser, on 60 days’ written notice by either party to the other, which notice may be waived by the non-terminating party. The investment advisory and stockholder, employee or any member of their families may take with respect to the same securities. Moreover, the investment adviser may refrain from rendering any advice or services concerning securities of companies of which any of the investment adviser’s (or its affiliates’) partners, officers, directors or employees are directors or officers, or companies as to which the investment adviser or any of its affiliates or the partners, officer, directors and employees of any of them has any substantial economic interest or possesses material non-public information. In addition to its various policies and procedures designed to address these issues, the investment adviser includes disclosure regarding these matters to its clients in both its Form ADV and investment advisory agreements.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507" w:right="219" w:bottom="1440" w:gutter="0" w:footer="0" w:header="0"/>
        </w:sectPr>
      </w:pPr>
    </w:p>
    <w:bookmarkStart w:id="84" w:name="page85"/>
    <w:bookmarkEnd w:id="84"/>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Payment of our expenses</w:t>
      </w:r>
    </w:p>
    <w:p>
      <w:pPr>
        <w:spacing w:after="0" w:line="199" w:lineRule="exact"/>
        <w:rPr>
          <w:sz w:val="20"/>
          <w:szCs w:val="20"/>
          <w:color w:val="auto"/>
        </w:rPr>
      </w:pPr>
    </w:p>
    <w:p>
      <w:pPr>
        <w:ind w:right="80" w:firstLine="209"/>
        <w:spacing w:after="0" w:line="303" w:lineRule="auto"/>
        <w:rPr>
          <w:sz w:val="20"/>
          <w:szCs w:val="20"/>
          <w:color w:val="auto"/>
        </w:rPr>
      </w:pPr>
      <w:r>
        <w:rPr>
          <w:rFonts w:ascii="Times New Roman" w:cs="Times New Roman" w:eastAsia="Times New Roman" w:hAnsi="Times New Roman"/>
          <w:sz w:val="12"/>
          <w:szCs w:val="12"/>
          <w:color w:val="auto"/>
        </w:rPr>
        <w:t>All investment professionals of the investment adviser and their respective staffs, when and to the extent engaged in providing investment advisory and management services, and the compensation and routine overhead expenses of such personnel allocable to such services, are provided and paid for by our investment adviser. We bear all other costs and expenses of our operations and transactions, including those relating to: organization; calculation of our net asset value (including the cost and expenses of any independent valuation firm); expenses incurred by our investment adviser payable to third parties, including agents, consultants or other advisers, in monitoring our financial and legal affairs and in monitoring our investments and performing due diligence on our prospective portfolio companies; interest payable on debt, if any, incurred to finance our investments; offerings of our common stock and other securities; investment advisory and management fees; administration fees; fees payable to third parties, including agents, consultants or other advisers, relating to, or associated with, evaluating and making investments; transfer agent and custodial fees; registration fees, if any; listing fees, if any; taxes; independent directors’ fees and expenses; costs of preparing and filing reports or other documents of the SEC, when applicable; the costs of any reports, proxy statements or other notices to stockholders, including printing costs; to the extent we are covered by any joint insurance policies, our allocable portion of the insurance premiums for such policies; direct costs and expenses of administration, including auditor and legal costs; and all other expenses incurred by us or our investment adviser in connection with administering our business, such as our allocable portion of our administrator’s overhead under the administration agreement, including rent and our allocable portion of the cost of our officers and their respective staffs relating to the performance of services under this agreement (including travel expenses).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Duration and termination</w:t>
      </w:r>
    </w:p>
    <w:p>
      <w:pPr>
        <w:spacing w:after="0" w:line="19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The initial term of the investment advisory and management agreement shall be for two years. Unless terminated earlier as described below, the investment management and advisory agreement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advisory and management agreement will automatically terminate in the event of its assignment. The investment advisory and management agreement may be terminated by either party without penalty upon 60 days’ written notice to the other party.</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99"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The investment advisory and management agreement provides that, absent willful misfeasance, bad faith or gross negligence in the performance of its duties under the investment advisory and management agreement or by reason of the reckless disregard of its duties and obligations pursuant to the investment advisory and management agreement, our investment adviser, its general partner and their respective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our investment adviser’s services under the investment advisory and management agreement or otherwise as our investment adviser. The indemnity covers trade errors, such as errors in the investment decision-making process (e.g., a transaction was effected in violation of the Company’s investment guidelines) or in the trade process (e.g., a buy order was entered instead of a sell order, or the wrong security was purchased or sold, or a security was purchased or sold in an amount or at a price other than the correct amount or price), other than those trade errors resulting from gross negligence, willful misfeasance, bad faith or reckless disregard of its duties and obligations under the investment advisory and management agreement.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Organization of the investment adviser</w:t>
      </w:r>
    </w:p>
    <w:p>
      <w:pPr>
        <w:spacing w:after="0" w:line="199" w:lineRule="exact"/>
        <w:rPr>
          <w:sz w:val="20"/>
          <w:szCs w:val="20"/>
          <w:color w:val="auto"/>
        </w:rPr>
      </w:pPr>
    </w:p>
    <w:p>
      <w:pPr>
        <w:ind w:right="320" w:firstLine="209"/>
        <w:spacing w:after="0" w:line="270" w:lineRule="auto"/>
        <w:rPr>
          <w:sz w:val="20"/>
          <w:szCs w:val="20"/>
          <w:color w:val="auto"/>
        </w:rPr>
      </w:pPr>
      <w:r>
        <w:rPr>
          <w:rFonts w:ascii="Times New Roman" w:cs="Times New Roman" w:eastAsia="Times New Roman" w:hAnsi="Times New Roman"/>
          <w:sz w:val="14"/>
          <w:szCs w:val="14"/>
          <w:color w:val="auto"/>
        </w:rPr>
        <w:t>Our investment adviser is an SEC-registered investment adviser formed in 1999, as a successor to Greenwich Street Capital Partners, which was formed in 1994. The principal executive offices of our investment adviser are located at 500 Campus Drive, Suite 220, Florham Park, New Jersey 07932.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Administration agreement</w:t>
      </w:r>
    </w:p>
    <w:p>
      <w:pPr>
        <w:spacing w:after="0" w:line="199" w:lineRule="exact"/>
        <w:rPr>
          <w:sz w:val="20"/>
          <w:szCs w:val="20"/>
          <w:color w:val="auto"/>
        </w:rPr>
      </w:pPr>
    </w:p>
    <w:p>
      <w:pPr>
        <w:ind w:right="20" w:firstLine="209"/>
        <w:spacing w:after="0" w:line="270" w:lineRule="auto"/>
        <w:rPr>
          <w:sz w:val="20"/>
          <w:szCs w:val="20"/>
          <w:color w:val="auto"/>
        </w:rPr>
      </w:pPr>
      <w:r>
        <w:rPr>
          <w:rFonts w:ascii="Times New Roman" w:cs="Times New Roman" w:eastAsia="Times New Roman" w:hAnsi="Times New Roman"/>
          <w:sz w:val="14"/>
          <w:szCs w:val="14"/>
          <w:color w:val="auto"/>
        </w:rPr>
        <w:t>Pursuant to a separate administration agreement, our investment advisor, who also serves as our administrator, will furnish us with office facilities, equipment and clerical, book-keeping and record keeping services. Under the</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80"/>
          </w:cols>
          <w:pgMar w:left="220" w:top="691" w:right="299" w:bottom="1440" w:gutter="0" w:footer="0" w:header="0"/>
        </w:sectPr>
      </w:pPr>
    </w:p>
    <w:bookmarkStart w:id="85" w:name="page86"/>
    <w:bookmarkEnd w:id="85"/>
    <w:p>
      <w:pPr>
        <w:ind w:right="60"/>
        <w:spacing w:after="0" w:line="252" w:lineRule="auto"/>
        <w:rPr>
          <w:sz w:val="20"/>
          <w:szCs w:val="20"/>
          <w:color w:val="auto"/>
        </w:rPr>
      </w:pPr>
      <w:r>
        <w:rPr>
          <w:rFonts w:ascii="Times New Roman" w:cs="Times New Roman" w:eastAsia="Times New Roman" w:hAnsi="Times New Roman"/>
          <w:sz w:val="14"/>
          <w:szCs w:val="14"/>
          <w:color w:val="auto"/>
        </w:rPr>
        <w:t>administration agreement, our administrator will also perform, or oversee the performance of, our required administrative services, which include, among other things, being responsible for the financial records which we are required to maintain, preparing reports for our stockholders and reports required to be filed with the SEC, when applicable. In addition, our administrator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our administrator’s overhead in performing its obligations under the administration agreement, including rent and our allocable portion of the cost of our officers and their respective staffs relating to the performance of services under this agreement (including travel expenses). Our allocable portion will be based on the proportion that our total assets bears to the total assets administered or managed by our administrator. Under the administration agreement, our administrator will also provide managerial assistance, on our behalf, to those portfolio companies who accept our offer of assistance. The administration agreement may be terminated by either party without penalty upon 60 days’ written notice to the other party.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99" w:lineRule="exact"/>
        <w:rPr>
          <w:sz w:val="20"/>
          <w:szCs w:val="20"/>
          <w:color w:val="auto"/>
        </w:rPr>
      </w:pPr>
    </w:p>
    <w:p>
      <w:pPr>
        <w:ind w:right="40" w:firstLine="209"/>
        <w:spacing w:after="0" w:line="256" w:lineRule="auto"/>
        <w:rPr>
          <w:sz w:val="20"/>
          <w:szCs w:val="20"/>
          <w:color w:val="auto"/>
        </w:rPr>
      </w:pPr>
      <w:r>
        <w:rPr>
          <w:rFonts w:ascii="Times New Roman" w:cs="Times New Roman" w:eastAsia="Times New Roman" w:hAnsi="Times New Roman"/>
          <w:sz w:val="14"/>
          <w:szCs w:val="14"/>
          <w:color w:val="auto"/>
        </w:rPr>
        <w:t>The administration agreement provides that, absent willful misfeasance, bad faith or gross negligence in the performance of its duties or by reason of the reckless disregard of its duties and obligations, our administrator, its general partner and their respective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our administrator’s services under the administration agreement or otherwise as our administrator.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License agreement</w:t>
      </w:r>
    </w:p>
    <w:p>
      <w:pPr>
        <w:spacing w:after="0" w:line="199" w:lineRule="exact"/>
        <w:rPr>
          <w:sz w:val="20"/>
          <w:szCs w:val="20"/>
          <w:color w:val="auto"/>
        </w:rPr>
      </w:pPr>
    </w:p>
    <w:p>
      <w:pPr>
        <w:ind w:right="80" w:firstLine="209"/>
        <w:spacing w:after="0" w:line="256" w:lineRule="auto"/>
        <w:rPr>
          <w:sz w:val="20"/>
          <w:szCs w:val="20"/>
          <w:color w:val="auto"/>
        </w:rPr>
      </w:pPr>
      <w:r>
        <w:rPr>
          <w:rFonts w:ascii="Times New Roman" w:cs="Times New Roman" w:eastAsia="Times New Roman" w:hAnsi="Times New Roman"/>
          <w:sz w:val="14"/>
          <w:szCs w:val="14"/>
          <w:color w:val="auto"/>
        </w:rPr>
        <w:t>We have entered into a license agreement with our investment adviser, pursuant to which our investment adviser has granted us a non-exclusive, royalty-free license to use the name “GSC.” Under this agreement, we have a right to use the “GSC” name, for so long as our investment adviser or one of its affiliates remains our investment adviser and our investment adviser remains an affiliate of GSC Group. Other than with respect to this limited license, we have no legal right to the “GSC” name. GSC Group has the right to terminate the license agreement if its affiliate is no longer acting as our investment adviser. In the event the investment advisory and management agreement is terminated, we would be required to change our name to eliminate the use of the name “GSC.”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Managers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Company’s portfolio will initially be managed by the Corporate Credit Group of GSC Group headed by our Chief Executive Officer, Thomas V. Inglesby, and overseen by our investment committee.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Accounts Managed by Investment Committee</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of June 30, 2006 the Corporate Credit Group managed the following client accounts: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5"/>
        </w:trPr>
        <w:tc>
          <w:tcPr>
            <w:tcW w:w="44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Accounts</w:t>
            </w:r>
          </w:p>
        </w:tc>
        <w:tc>
          <w:tcPr>
            <w:tcW w:w="1200" w:type="dxa"/>
            <w:vAlign w:val="bottom"/>
          </w:tcPr>
          <w:p>
            <w:pPr>
              <w:jc w:val="center"/>
              <w:ind w:left="61"/>
              <w:spacing w:after="0"/>
              <w:rPr>
                <w:sz w:val="20"/>
                <w:szCs w:val="20"/>
                <w:color w:val="auto"/>
              </w:rPr>
            </w:pPr>
            <w:r>
              <w:rPr>
                <w:rFonts w:ascii="Times New Roman" w:cs="Times New Roman" w:eastAsia="Times New Roman" w:hAnsi="Times New Roman"/>
                <w:sz w:val="10"/>
                <w:szCs w:val="10"/>
                <w:b w:val="1"/>
                <w:bCs w:val="1"/>
                <w:color w:val="auto"/>
              </w:rPr>
              <w:t>Assets Subject</w:t>
            </w:r>
          </w:p>
        </w:tc>
        <w:tc>
          <w:tcPr>
            <w:tcW w:w="580" w:type="dxa"/>
            <w:vAlign w:val="bottom"/>
          </w:tcPr>
          <w:p>
            <w:pPr>
              <w:spacing w:after="0"/>
              <w:rPr>
                <w:sz w:val="10"/>
                <w:szCs w:val="10"/>
                <w:color w:val="auto"/>
              </w:rPr>
            </w:pPr>
          </w:p>
        </w:tc>
      </w:tr>
      <w:tr>
        <w:trPr>
          <w:trHeight w:val="115"/>
        </w:trPr>
        <w:tc>
          <w:tcPr>
            <w:tcW w:w="44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Subject to a</w:t>
            </w:r>
          </w:p>
        </w:tc>
        <w:tc>
          <w:tcPr>
            <w:tcW w:w="1200" w:type="dxa"/>
            <w:vAlign w:val="bottom"/>
          </w:tcPr>
          <w:p>
            <w:pPr>
              <w:jc w:val="center"/>
              <w:ind w:left="61"/>
              <w:spacing w:after="0"/>
              <w:rPr>
                <w:sz w:val="20"/>
                <w:szCs w:val="20"/>
                <w:color w:val="auto"/>
              </w:rPr>
            </w:pPr>
            <w:r>
              <w:rPr>
                <w:rFonts w:ascii="Times New Roman" w:cs="Times New Roman" w:eastAsia="Times New Roman" w:hAnsi="Times New Roman"/>
                <w:sz w:val="10"/>
                <w:szCs w:val="10"/>
                <w:b w:val="1"/>
                <w:bCs w:val="1"/>
                <w:color w:val="auto"/>
              </w:rPr>
              <w:t>to a</w:t>
            </w:r>
          </w:p>
        </w:tc>
        <w:tc>
          <w:tcPr>
            <w:tcW w:w="580" w:type="dxa"/>
            <w:vAlign w:val="bottom"/>
          </w:tcPr>
          <w:p>
            <w:pPr>
              <w:spacing w:after="0"/>
              <w:rPr>
                <w:sz w:val="10"/>
                <w:szCs w:val="10"/>
                <w:color w:val="auto"/>
              </w:rPr>
            </w:pPr>
          </w:p>
        </w:tc>
      </w:tr>
      <w:tr>
        <w:trPr>
          <w:trHeight w:val="115"/>
        </w:trPr>
        <w:tc>
          <w:tcPr>
            <w:tcW w:w="4440" w:type="dxa"/>
            <w:vAlign w:val="bottom"/>
          </w:tcPr>
          <w:p>
            <w:pPr>
              <w:spacing w:after="0"/>
              <w:rPr>
                <w:sz w:val="10"/>
                <w:szCs w:val="10"/>
                <w:color w:val="auto"/>
              </w:rPr>
            </w:pPr>
          </w:p>
        </w:tc>
        <w:tc>
          <w:tcPr>
            <w:tcW w:w="2620" w:type="dxa"/>
            <w:vAlign w:val="bottom"/>
          </w:tcPr>
          <w:p>
            <w:pPr>
              <w:jc w:val="center"/>
              <w:ind w:left="1317"/>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Assets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Performance</w:t>
            </w:r>
          </w:p>
        </w:tc>
        <w:tc>
          <w:tcPr>
            <w:tcW w:w="1200" w:type="dxa"/>
            <w:vAlign w:val="bottom"/>
          </w:tcPr>
          <w:p>
            <w:pPr>
              <w:jc w:val="center"/>
              <w:ind w:left="81"/>
              <w:spacing w:after="0"/>
              <w:rPr>
                <w:sz w:val="20"/>
                <w:szCs w:val="20"/>
                <w:color w:val="auto"/>
              </w:rPr>
            </w:pPr>
            <w:r>
              <w:rPr>
                <w:rFonts w:ascii="Times New Roman" w:cs="Times New Roman" w:eastAsia="Times New Roman" w:hAnsi="Times New Roman"/>
                <w:sz w:val="10"/>
                <w:szCs w:val="10"/>
                <w:b w:val="1"/>
                <w:bCs w:val="1"/>
                <w:color w:val="auto"/>
              </w:rPr>
              <w:t>Performance</w:t>
            </w:r>
          </w:p>
        </w:tc>
        <w:tc>
          <w:tcPr>
            <w:tcW w:w="580" w:type="dxa"/>
            <w:vAlign w:val="bottom"/>
          </w:tcPr>
          <w:p>
            <w:pPr>
              <w:spacing w:after="0"/>
              <w:rPr>
                <w:sz w:val="10"/>
                <w:szCs w:val="10"/>
                <w:color w:val="auto"/>
              </w:rPr>
            </w:pPr>
          </w:p>
        </w:tc>
      </w:tr>
      <w:tr>
        <w:trPr>
          <w:trHeight w:val="139"/>
        </w:trPr>
        <w:tc>
          <w:tcPr>
            <w:tcW w:w="4440" w:type="dxa"/>
            <w:vAlign w:val="bottom"/>
          </w:tcPr>
          <w:p>
            <w:pPr>
              <w:ind w:left="2460"/>
              <w:spacing w:after="0"/>
              <w:rPr>
                <w:sz w:val="20"/>
                <w:szCs w:val="20"/>
                <w:color w:val="auto"/>
              </w:rPr>
            </w:pPr>
            <w:r>
              <w:rPr>
                <w:rFonts w:ascii="Times New Roman" w:cs="Times New Roman" w:eastAsia="Times New Roman" w:hAnsi="Times New Roman"/>
                <w:sz w:val="10"/>
                <w:szCs w:val="10"/>
                <w:b w:val="1"/>
                <w:bCs w:val="1"/>
                <w:color w:val="auto"/>
              </w:rPr>
              <w:t>Type of Account</w:t>
            </w:r>
          </w:p>
        </w:tc>
        <w:tc>
          <w:tcPr>
            <w:tcW w:w="2620" w:type="dxa"/>
            <w:vAlign w:val="bottom"/>
          </w:tcPr>
          <w:p>
            <w:pPr>
              <w:jc w:val="center"/>
              <w:ind w:left="1297"/>
              <w:spacing w:after="0"/>
              <w:rPr>
                <w:sz w:val="20"/>
                <w:szCs w:val="20"/>
                <w:color w:val="auto"/>
              </w:rPr>
            </w:pPr>
            <w:r>
              <w:rPr>
                <w:rFonts w:ascii="Times New Roman" w:cs="Times New Roman" w:eastAsia="Times New Roman" w:hAnsi="Times New Roman"/>
                <w:sz w:val="10"/>
                <w:szCs w:val="10"/>
                <w:b w:val="1"/>
                <w:bCs w:val="1"/>
                <w:color w:val="auto"/>
              </w:rPr>
              <w:t>Accounts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Accounts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Fee</w:t>
            </w:r>
          </w:p>
        </w:tc>
        <w:tc>
          <w:tcPr>
            <w:tcW w:w="1200" w:type="dxa"/>
            <w:vAlign w:val="bottom"/>
          </w:tcPr>
          <w:p>
            <w:pPr>
              <w:jc w:val="center"/>
              <w:ind w:left="61"/>
              <w:spacing w:after="0"/>
              <w:rPr>
                <w:sz w:val="20"/>
                <w:szCs w:val="20"/>
                <w:color w:val="auto"/>
              </w:rPr>
            </w:pPr>
            <w:r>
              <w:rPr>
                <w:rFonts w:ascii="Times New Roman" w:cs="Times New Roman" w:eastAsia="Times New Roman" w:hAnsi="Times New Roman"/>
                <w:sz w:val="10"/>
                <w:szCs w:val="10"/>
                <w:b w:val="1"/>
                <w:bCs w:val="1"/>
                <w:color w:val="auto"/>
              </w:rPr>
              <w:t>Fee</w:t>
            </w:r>
          </w:p>
        </w:tc>
        <w:tc>
          <w:tcPr>
            <w:tcW w:w="580" w:type="dxa"/>
            <w:vAlign w:val="bottom"/>
          </w:tcPr>
          <w:p>
            <w:pPr>
              <w:spacing w:after="0"/>
              <w:rPr>
                <w:sz w:val="12"/>
                <w:szCs w:val="12"/>
                <w:color w:val="auto"/>
              </w:rPr>
            </w:pPr>
          </w:p>
        </w:tc>
      </w:tr>
      <w:tr>
        <w:trPr>
          <w:trHeight w:val="73"/>
        </w:trPr>
        <w:tc>
          <w:tcPr>
            <w:tcW w:w="4440" w:type="dxa"/>
            <w:vAlign w:val="bottom"/>
            <w:tcBorders>
              <w:bottom w:val="single" w:sz="8" w:color="808080"/>
            </w:tcBorders>
          </w:tcPr>
          <w:p>
            <w:pPr>
              <w:spacing w:after="0"/>
              <w:rPr>
                <w:sz w:val="6"/>
                <w:szCs w:val="6"/>
                <w:color w:val="auto"/>
              </w:rPr>
            </w:pPr>
          </w:p>
        </w:tc>
        <w:tc>
          <w:tcPr>
            <w:tcW w:w="262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r>
      <w:tr>
        <w:trPr>
          <w:trHeight w:val="261"/>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Registered Investment Companies</w:t>
            </w:r>
          </w:p>
        </w:tc>
        <w:tc>
          <w:tcPr>
            <w:tcW w:w="2620" w:type="dxa"/>
            <w:vAlign w:val="bottom"/>
          </w:tcPr>
          <w:p>
            <w:pPr>
              <w:jc w:val="center"/>
              <w:ind w:left="1297"/>
              <w:spacing w:after="0"/>
              <w:rPr>
                <w:sz w:val="20"/>
                <w:szCs w:val="20"/>
                <w:color w:val="auto"/>
              </w:rPr>
            </w:pPr>
            <w:r>
              <w:rPr>
                <w:rFonts w:ascii="Times New Roman" w:cs="Times New Roman" w:eastAsia="Times New Roman" w:hAnsi="Times New Roman"/>
                <w:sz w:val="14"/>
                <w:szCs w:val="14"/>
                <w:color w:val="auto"/>
                <w:w w:val="85"/>
              </w:rPr>
              <w:t>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22"/>
                <w:szCs w:val="22"/>
                <w:color w:val="auto"/>
              </w:rPr>
            </w:pPr>
          </w:p>
        </w:tc>
        <w:tc>
          <w:tcPr>
            <w:tcW w:w="1200" w:type="dxa"/>
            <w:vAlign w:val="bottom"/>
          </w:tcPr>
          <w:p>
            <w:pPr>
              <w:jc w:val="center"/>
              <w:ind w:left="61"/>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Pr>
          <w:p>
            <w:pPr>
              <w:spacing w:after="0"/>
              <w:rPr>
                <w:sz w:val="22"/>
                <w:szCs w:val="22"/>
                <w:color w:val="auto"/>
              </w:rPr>
            </w:pPr>
          </w:p>
        </w:tc>
      </w:tr>
      <w:tr>
        <w:trPr>
          <w:trHeight w:val="18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Pooled Investment Vehicles</w:t>
            </w:r>
          </w:p>
        </w:tc>
        <w:tc>
          <w:tcPr>
            <w:tcW w:w="2620" w:type="dxa"/>
            <w:vAlign w:val="bottom"/>
          </w:tcPr>
          <w:p>
            <w:pPr>
              <w:jc w:val="center"/>
              <w:ind w:left="1297"/>
              <w:spacing w:after="0"/>
              <w:rPr>
                <w:sz w:val="20"/>
                <w:szCs w:val="20"/>
                <w:color w:val="auto"/>
              </w:rPr>
            </w:pPr>
            <w:r>
              <w:rPr>
                <w:rFonts w:ascii="Times New Roman" w:cs="Times New Roman" w:eastAsia="Times New Roman" w:hAnsi="Times New Roman"/>
                <w:sz w:val="14"/>
                <w:szCs w:val="14"/>
                <w:color w:val="auto"/>
                <w:w w:val="99"/>
              </w:rPr>
              <w:t>14</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$5.7 billion</w:t>
            </w:r>
          </w:p>
        </w:tc>
        <w:tc>
          <w:tcPr>
            <w:tcW w:w="1280" w:type="dxa"/>
            <w:vAlign w:val="bottom"/>
          </w:tcPr>
          <w:p>
            <w:pPr>
              <w:spacing w:after="0"/>
              <w:rPr>
                <w:sz w:val="16"/>
                <w:szCs w:val="16"/>
                <w:color w:val="auto"/>
              </w:rPr>
            </w:pPr>
          </w:p>
        </w:tc>
        <w:tc>
          <w:tcPr>
            <w:tcW w:w="1200" w:type="dxa"/>
            <w:vAlign w:val="bottom"/>
          </w:tcPr>
          <w:p>
            <w:pPr>
              <w:jc w:val="center"/>
              <w:ind w:left="61"/>
              <w:spacing w:after="0"/>
              <w:rPr>
                <w:sz w:val="20"/>
                <w:szCs w:val="20"/>
                <w:color w:val="auto"/>
              </w:rPr>
            </w:pPr>
            <w:r>
              <w:rPr>
                <w:rFonts w:ascii="Times New Roman" w:cs="Times New Roman" w:eastAsia="Times New Roman" w:hAnsi="Times New Roman"/>
                <w:sz w:val="14"/>
                <w:szCs w:val="14"/>
                <w:color w:val="auto"/>
              </w:rPr>
              <w:t>$   billion</w:t>
            </w:r>
          </w:p>
        </w:tc>
        <w:tc>
          <w:tcPr>
            <w:tcW w:w="580" w:type="dxa"/>
            <w:vAlign w:val="bottom"/>
          </w:tcPr>
          <w:p>
            <w:pPr>
              <w:spacing w:after="0"/>
              <w:rPr>
                <w:sz w:val="16"/>
                <w:szCs w:val="16"/>
                <w:color w:val="auto"/>
              </w:rPr>
            </w:pPr>
          </w:p>
        </w:tc>
      </w:tr>
      <w:tr>
        <w:trPr>
          <w:trHeight w:val="18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Other Accounts</w:t>
            </w:r>
          </w:p>
        </w:tc>
        <w:tc>
          <w:tcPr>
            <w:tcW w:w="2620" w:type="dxa"/>
            <w:vAlign w:val="bottom"/>
          </w:tcPr>
          <w:p>
            <w:pPr>
              <w:jc w:val="center"/>
              <w:ind w:left="1297"/>
              <w:spacing w:after="0"/>
              <w:rPr>
                <w:sz w:val="20"/>
                <w:szCs w:val="20"/>
                <w:color w:val="auto"/>
              </w:rPr>
            </w:pPr>
            <w:r>
              <w:rPr>
                <w:rFonts w:ascii="Times New Roman" w:cs="Times New Roman" w:eastAsia="Times New Roman" w:hAnsi="Times New Roman"/>
                <w:sz w:val="14"/>
                <w:szCs w:val="14"/>
                <w:color w:val="auto"/>
                <w:w w:val="85"/>
              </w:rPr>
              <w:t>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6"/>
                <w:szCs w:val="16"/>
                <w:color w:val="auto"/>
              </w:rPr>
            </w:pPr>
          </w:p>
        </w:tc>
        <w:tc>
          <w:tcPr>
            <w:tcW w:w="1200" w:type="dxa"/>
            <w:vAlign w:val="bottom"/>
          </w:tcPr>
          <w:p>
            <w:pPr>
              <w:jc w:val="center"/>
              <w:ind w:left="61"/>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Pr>
          <w:p>
            <w:pPr>
              <w:spacing w:after="0"/>
              <w:rPr>
                <w:sz w:val="16"/>
                <w:szCs w:val="16"/>
                <w:color w:val="auto"/>
              </w:rPr>
            </w:pPr>
          </w:p>
        </w:tc>
      </w:tr>
      <w:tr>
        <w:trPr>
          <w:trHeight w:val="335"/>
        </w:trPr>
        <w:tc>
          <w:tcPr>
            <w:tcW w:w="4440" w:type="dxa"/>
            <w:vAlign w:val="bottom"/>
          </w:tcPr>
          <w:p>
            <w:pPr>
              <w:spacing w:after="0"/>
              <w:rPr>
                <w:sz w:val="24"/>
                <w:szCs w:val="24"/>
                <w:color w:val="auto"/>
              </w:rPr>
            </w:pPr>
          </w:p>
        </w:tc>
        <w:tc>
          <w:tcPr>
            <w:tcW w:w="2620" w:type="dxa"/>
            <w:vAlign w:val="bottom"/>
          </w:tcPr>
          <w:p>
            <w:pPr>
              <w:jc w:val="right"/>
              <w:ind w:right="1197"/>
              <w:spacing w:after="0"/>
              <w:rPr>
                <w:sz w:val="20"/>
                <w:szCs w:val="20"/>
                <w:color w:val="auto"/>
              </w:rPr>
            </w:pPr>
            <w:r>
              <w:rPr>
                <w:rFonts w:ascii="Times New Roman" w:cs="Times New Roman" w:eastAsia="Times New Roman" w:hAnsi="Times New Roman"/>
                <w:sz w:val="14"/>
                <w:szCs w:val="14"/>
                <w:color w:val="auto"/>
              </w:rPr>
              <w:t>79</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46"/>
        </w:trPr>
        <w:tc>
          <w:tcPr>
            <w:tcW w:w="444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color w:val="auto"/>
        </w:rPr>
        <w:t>Compensation of Portfolio Managers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Members of our investment committee are employees of GSC Group and do not receive additional compensation for serving on our investment committee.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Ownership of Portfolio Managers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a result of the Contribution, as of the date of this prospectus, several of the portfolio managers beneficially own securities issued by us.</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0239"/>
          </w:cols>
          <w:pgMar w:left="220" w:top="670" w:right="1440"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CERTAIN RELATIONSHIPS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99" w:lineRule="exact"/>
        <w:rPr>
          <w:sz w:val="20"/>
          <w:szCs w:val="20"/>
          <w:color w:val="auto"/>
        </w:rPr>
      </w:pPr>
    </w:p>
    <w:p>
      <w:pPr>
        <w:ind w:right="40" w:firstLine="209"/>
        <w:spacing w:after="0" w:line="298" w:lineRule="auto"/>
        <w:rPr>
          <w:sz w:val="20"/>
          <w:szCs w:val="20"/>
          <w:color w:val="auto"/>
        </w:rPr>
      </w:pPr>
      <w:r>
        <w:rPr>
          <w:rFonts w:ascii="Times New Roman" w:cs="Times New Roman" w:eastAsia="Times New Roman" w:hAnsi="Times New Roman"/>
          <w:sz w:val="12"/>
          <w:szCs w:val="12"/>
          <w:color w:val="auto"/>
        </w:rPr>
        <w:t>The investment adviser has built a professional working environment, a firm-wide compliance culture and compliance procedures and systems designed to protect against potential incentives that may favor one account over another. The investment adviser has adopted policies and procedures that address the allocation of investment opportunities, execution of portfolio transactions, personal trading by employees and other potential conflicts of interest that are designed to ensure that all client accounts are treated equitably over time. Nevertheless, the investment adviser furnishes advisory services to numerous clients in addition to the Company, and the investment adviser may, consistent with applicable law, make investment recommendations to other clients or accounts (including accounts that are hedge funds or have performance or higher fees paid to the investment adviser or in which portfolio managers have a personal interest in the receipt of such fees) that may be the same as or different from those made to the Company. In addition, the investment adviser, its affiliates and any officer, director, stockholder or employee may or may not have an interest in the securities whose purchase and sale the investment adviser recommends to the Company. Actions with respect to securities of the same kind may be the same as or different from the action that the investment adviser, or any of its affiliates, or any officer, director, stockholder, employee or any member of their families may take with respect to the same securities. Moreover, the investment adviser may refrain from rendering any advice or services concerning securities of companies of which any of the investment adviser’s (or its affiliates’) partners, officers, directors or employees are directors or officers, or companies as to which the investment adviser or any of its affiliates or the partners, officers, directors and employees of any of them has any substantial economic interest or possesses material non-public information. In addition to its various policies and procedures designed to address these issues, the investment adviser includes disclosure regarding these matters to its clients in both its Form ADV and investment advisory agreements.</w:t>
      </w:r>
    </w:p>
    <w:p>
      <w:pPr>
        <w:spacing w:after="0" w:line="317" w:lineRule="exact"/>
        <w:rPr>
          <w:sz w:val="20"/>
          <w:szCs w:val="20"/>
          <w:color w:val="auto"/>
        </w:rPr>
      </w:pPr>
    </w:p>
    <w:p>
      <w:pPr>
        <w:ind w:right="60" w:firstLine="209"/>
        <w:spacing w:after="0" w:line="254" w:lineRule="auto"/>
        <w:rPr>
          <w:sz w:val="20"/>
          <w:szCs w:val="20"/>
          <w:color w:val="auto"/>
        </w:rPr>
      </w:pPr>
      <w:r>
        <w:rPr>
          <w:rFonts w:ascii="Times New Roman" w:cs="Times New Roman" w:eastAsia="Times New Roman" w:hAnsi="Times New Roman"/>
          <w:sz w:val="14"/>
          <w:szCs w:val="14"/>
          <w:color w:val="auto"/>
        </w:rPr>
        <w:t>The investment adviser, its affiliates or their officers and employees similarly serve or may similarly serve entities that operate in the same or related lines of business. Accordingly, these individuals may have obligations to investors in those entities or funds or to other clients, the fulfillment of which might not be in the best interests of the Company. As a result, the investment adviser will face conflicts in the allocation of investment opportunities to the Company and other funds and clients. In order to enable such affiliates to fulfill their fiduciary duties to each of the clients for which they have responsibility, the investment adviser will endeavor to allocate investment opportunities in a fair and equitable manner which may, subject to applicable regulatory constraints, involve pro rata co-investment by the Company and such other clients or may involve a rotation of opportunities among the Company and such other clients.</w:t>
      </w:r>
    </w:p>
    <w:p>
      <w:pPr>
        <w:spacing w:after="0" w:line="174"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While the investment adviser does not believe there will be frequent conflicts of interest, if any, the investment adviser and its affiliates have both subjective and objective procedures and policies in place and designed to manage the potential conflicts of interest between the investment adviser’s fiduciary obligations to the Company and their similar fiduciary obligations to other clients so that, for example, investment opportunities are allocated in a fair and equitable manner among the Company and such other clients. An investment opportunity that is suitable for multiple clients of the investment adviser and its affiliates may not be capable of being shared among some or all of such clients due to the limited scale of the opportunity or other factors, including regulatory restrictions imposed by the 1940 Act. There can be no assurance that the investment adviser’s or its affiliates’ efforts to allocate any particular investment opportunity fairly among all clients for whom such opportunity is appropriate will result in an allocation of all or part of such opportunity to the Company. Not all conflicts of interest can be expected to be resolved in favor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Affiliations</w:t>
      </w:r>
    </w:p>
    <w:p>
      <w:pPr>
        <w:spacing w:after="0" w:line="199" w:lineRule="exact"/>
        <w:rPr>
          <w:sz w:val="20"/>
          <w:szCs w:val="20"/>
          <w:color w:val="auto"/>
        </w:rPr>
      </w:pPr>
    </w:p>
    <w:p>
      <w:pPr>
        <w:ind w:right="180" w:firstLine="209"/>
        <w:spacing w:after="0" w:line="260" w:lineRule="auto"/>
        <w:rPr>
          <w:sz w:val="20"/>
          <w:szCs w:val="20"/>
          <w:color w:val="auto"/>
        </w:rPr>
      </w:pPr>
      <w:r>
        <w:rPr>
          <w:rFonts w:ascii="Times New Roman" w:cs="Times New Roman" w:eastAsia="Times New Roman" w:hAnsi="Times New Roman"/>
          <w:sz w:val="14"/>
          <w:szCs w:val="14"/>
          <w:color w:val="auto"/>
        </w:rPr>
        <w:t>Our Chairman, Chief Executive Officer, Chief Financial Officer, Chief Compliance Officer and Vice President and Secretary also serve as officers of our investment adviser. In addition, certain of our directors are officers of our investment adviser or GSC Group. As a result, the investment advisory and management agreement between us and our investment adviser was negotiated between related parties, and the terms, including fees payable, may not be as favorable to us as if it had been negotiated with an unaffiliated third party. See “Risk Factors—Risks related to our</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0" w:right="239" w:bottom="1440" w:gutter="0" w:footer="0" w:header="0"/>
        </w:sectPr>
      </w:pPr>
    </w:p>
    <w:bookmarkStart w:id="88" w:name="page89"/>
    <w:bookmarkEnd w:id="88"/>
    <w:p>
      <w:pPr>
        <w:jc w:val="both"/>
        <w:ind w:right="200"/>
        <w:spacing w:after="0" w:line="260" w:lineRule="auto"/>
        <w:rPr>
          <w:sz w:val="20"/>
          <w:szCs w:val="20"/>
          <w:color w:val="auto"/>
        </w:rPr>
      </w:pPr>
      <w:r>
        <w:rPr>
          <w:rFonts w:ascii="Times New Roman" w:cs="Times New Roman" w:eastAsia="Times New Roman" w:hAnsi="Times New Roman"/>
          <w:sz w:val="14"/>
          <w:szCs w:val="14"/>
          <w:color w:val="auto"/>
        </w:rPr>
        <w:t>business—There are conflicts of interest in our relationship with our investment adviser and/or GSC Group, which could result in decisions that are not in the best interests of our stockholders” and “Risk Factors—Risks related to our business—Our investment adviser’s liability will be limited under the investment advisory and management agreement, and we will indemnify our investment adviser against certain liabilities, which may lead our investment adviser to act in a riskier manner on our behalf that it would when acting for its own account.”</w:t>
      </w:r>
    </w:p>
    <w:p>
      <w:pPr>
        <w:spacing w:after="0" w:line="168" w:lineRule="exact"/>
        <w:rPr>
          <w:sz w:val="20"/>
          <w:szCs w:val="20"/>
          <w:color w:val="auto"/>
        </w:rPr>
      </w:pPr>
    </w:p>
    <w:p>
      <w:pPr>
        <w:ind w:right="420" w:firstLine="209"/>
        <w:spacing w:after="0" w:line="270" w:lineRule="auto"/>
        <w:rPr>
          <w:sz w:val="20"/>
          <w:szCs w:val="20"/>
          <w:color w:val="auto"/>
        </w:rPr>
      </w:pPr>
      <w:r>
        <w:rPr>
          <w:rFonts w:ascii="Times New Roman" w:cs="Times New Roman" w:eastAsia="Times New Roman" w:hAnsi="Times New Roman"/>
          <w:sz w:val="14"/>
          <w:szCs w:val="14"/>
          <w:color w:val="auto"/>
        </w:rPr>
        <w:t>We have entered into a license agreement with GSC Group, pursuant to which GSC Group has granted us a non-exclusive, royalty-free license to use the “GSC” name. See “Management—License agreement.”</w:t>
      </w:r>
    </w:p>
    <w:p>
      <w:pPr>
        <w:spacing w:after="0" w:line="161" w:lineRule="exact"/>
        <w:rPr>
          <w:sz w:val="20"/>
          <w:szCs w:val="20"/>
          <w:color w:val="auto"/>
        </w:rPr>
      </w:pPr>
    </w:p>
    <w:p>
      <w:pPr>
        <w:ind w:firstLine="209"/>
        <w:spacing w:after="0" w:line="254" w:lineRule="auto"/>
        <w:rPr>
          <w:sz w:val="20"/>
          <w:szCs w:val="20"/>
          <w:color w:val="auto"/>
        </w:rPr>
      </w:pPr>
      <w:r>
        <w:rPr>
          <w:rFonts w:ascii="Times New Roman" w:cs="Times New Roman" w:eastAsia="Times New Roman" w:hAnsi="Times New Roman"/>
          <w:sz w:val="14"/>
          <w:szCs w:val="14"/>
          <w:color w:val="auto"/>
        </w:rPr>
        <w:t>As a result of regulatory restrictions, we are not permitted to invest in any portfolio company in which GSC Group or any affiliate currently has an investment. We may in the future submit an exemptive application to the SEC to permit greater flexibility to negotiate the terms of co-investments because we believe that it will be advantageous for the Company to co-invest with funds managed by GSC Group where such investment is consistent with the investment objectives, investment positions, investment policies, investment strategies, investment restrictions, regulatory requirements and other pertinent factors applicable to the Company. See “Regulation—Co-investment.” There is no assurance that an application for exemptive relief would be granted by the SEC. Accordingly, we cannot assure you that we will be permitted to co-invest with funds managed by GSC Group.</w:t>
      </w:r>
    </w:p>
    <w:p>
      <w:pPr>
        <w:spacing w:after="0" w:line="1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20"/>
          </w:cols>
          <w:pgMar w:left="220" w:top="674" w:right="359" w:bottom="1440" w:gutter="0" w:footer="0" w:header="0"/>
        </w:sectPr>
      </w:pPr>
    </w:p>
    <w:bookmarkStart w:id="89" w:name="page90"/>
    <w:bookmarkEnd w:id="89"/>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CONTROL PERSONS AND PRINCIPAL STOCKHOLDERS</w:t>
      </w:r>
    </w:p>
    <w:p>
      <w:pPr>
        <w:spacing w:after="0" w:line="199" w:lineRule="exact"/>
        <w:rPr>
          <w:sz w:val="20"/>
          <w:szCs w:val="20"/>
          <w:color w:val="auto"/>
        </w:rPr>
      </w:pPr>
    </w:p>
    <w:p>
      <w:pPr>
        <w:ind w:left="220"/>
        <w:spacing w:after="0"/>
        <w:tabs>
          <w:tab w:leader="none" w:pos="4140" w:val="left"/>
          <w:tab w:leader="none" w:pos="9940" w:val="left"/>
        </w:tabs>
        <w:rPr>
          <w:sz w:val="20"/>
          <w:szCs w:val="20"/>
          <w:color w:val="auto"/>
        </w:rPr>
      </w:pPr>
      <w:r>
        <w:rPr>
          <w:rFonts w:ascii="Times New Roman" w:cs="Times New Roman" w:eastAsia="Times New Roman" w:hAnsi="Times New Roman"/>
          <w:sz w:val="14"/>
          <w:szCs w:val="14"/>
          <w:color w:val="auto"/>
        </w:rPr>
        <w:t>Immediately prior to the completion of this offering, there will be</w:t>
      </w:r>
      <w:r>
        <w:rPr>
          <w:sz w:val="20"/>
          <w:szCs w:val="20"/>
          <w:color w:val="auto"/>
        </w:rPr>
        <w:tab/>
      </w:r>
      <w:r>
        <w:rPr>
          <w:rFonts w:ascii="Times New Roman" w:cs="Times New Roman" w:eastAsia="Times New Roman" w:hAnsi="Times New Roman"/>
          <w:sz w:val="14"/>
          <w:szCs w:val="14"/>
          <w:color w:val="auto"/>
        </w:rPr>
        <w:t>shares of our common stock outstanding and one stockholder of record (representing approximately</w:t>
      </w:r>
      <w:r>
        <w:rPr>
          <w:sz w:val="20"/>
          <w:szCs w:val="20"/>
          <w:color w:val="auto"/>
        </w:rPr>
        <w:tab/>
      </w:r>
      <w:r>
        <w:rPr>
          <w:rFonts w:ascii="Times New Roman" w:cs="Times New Roman" w:eastAsia="Times New Roman" w:hAnsi="Times New Roman"/>
          <w:sz w:val="12"/>
          <w:szCs w:val="12"/>
          <w:color w:val="auto"/>
        </w:rPr>
        <w:t>% of our common stock</w:t>
      </w:r>
    </w:p>
    <w:p>
      <w:pPr>
        <w:spacing w:after="0" w:line="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outstanding upon completion of this offering). The following table sets forth certain ownership information with respect to our common stock for those persons who directly or indirectly own, control or hold with the power to vote, 5% or more of our outstanding shares of common stock and all officers and directors, as a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6"/>
          </w:tcPr>
          <w:p>
            <w:pPr>
              <w:ind w:left="800"/>
              <w:spacing w:after="0"/>
              <w:rPr>
                <w:sz w:val="20"/>
                <w:szCs w:val="20"/>
                <w:color w:val="auto"/>
              </w:rPr>
            </w:pPr>
            <w:r>
              <w:rPr>
                <w:rFonts w:ascii="Times New Roman" w:cs="Times New Roman" w:eastAsia="Times New Roman" w:hAnsi="Times New Roman"/>
                <w:sz w:val="10"/>
                <w:szCs w:val="10"/>
                <w:b w:val="1"/>
                <w:bCs w:val="1"/>
                <w:color w:val="auto"/>
              </w:rPr>
              <w:t>Percentage of common stock outstanding</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5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center"/>
              <w:ind w:left="603"/>
              <w:spacing w:after="0"/>
              <w:rPr>
                <w:sz w:val="20"/>
                <w:szCs w:val="20"/>
                <w:color w:val="auto"/>
              </w:rPr>
            </w:pPr>
            <w:r>
              <w:rPr>
                <w:rFonts w:ascii="Times New Roman" w:cs="Times New Roman" w:eastAsia="Times New Roman" w:hAnsi="Times New Roman"/>
                <w:sz w:val="10"/>
                <w:szCs w:val="10"/>
                <w:b w:val="1"/>
                <w:bCs w:val="1"/>
                <w:color w:val="auto"/>
              </w:rPr>
              <w:t>Immediately</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Immediately</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tcPr>
          <w:p>
            <w:pPr>
              <w:jc w:val="center"/>
              <w:ind w:left="603"/>
              <w:spacing w:after="0"/>
              <w:rPr>
                <w:sz w:val="20"/>
                <w:szCs w:val="20"/>
                <w:color w:val="auto"/>
              </w:rPr>
            </w:pPr>
            <w:r>
              <w:rPr>
                <w:rFonts w:ascii="Times New Roman" w:cs="Times New Roman" w:eastAsia="Times New Roman" w:hAnsi="Times New Roman"/>
                <w:sz w:val="10"/>
                <w:szCs w:val="10"/>
                <w:b w:val="1"/>
                <w:bCs w:val="1"/>
                <w:color w:val="auto"/>
              </w:rPr>
              <w:t>Prior to this</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after this</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603"/>
              <w:spacing w:after="0"/>
              <w:rPr>
                <w:sz w:val="20"/>
                <w:szCs w:val="20"/>
                <w:color w:val="auto"/>
              </w:rPr>
            </w:pPr>
            <w:r>
              <w:rPr>
                <w:rFonts w:ascii="Times New Roman" w:cs="Times New Roman" w:eastAsia="Times New Roman" w:hAnsi="Times New Roman"/>
                <w:sz w:val="10"/>
                <w:szCs w:val="10"/>
                <w:b w:val="1"/>
                <w:bCs w:val="1"/>
                <w:color w:val="auto"/>
              </w:rPr>
              <w:t>offering</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offering(1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5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Type of</w:t>
            </w:r>
          </w:p>
        </w:tc>
        <w:tc>
          <w:tcPr>
            <w:tcW w:w="8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340" w:type="dxa"/>
            <w:vAlign w:val="bottom"/>
            <w:gridSpan w:val="2"/>
          </w:tcPr>
          <w:p>
            <w:pPr>
              <w:ind w:left="2160"/>
              <w:spacing w:after="0"/>
              <w:rPr>
                <w:sz w:val="20"/>
                <w:szCs w:val="20"/>
                <w:color w:val="auto"/>
              </w:rPr>
            </w:pPr>
            <w:r>
              <w:rPr>
                <w:rFonts w:ascii="Times New Roman" w:cs="Times New Roman" w:eastAsia="Times New Roman" w:hAnsi="Times New Roman"/>
                <w:sz w:val="10"/>
                <w:szCs w:val="10"/>
                <w:b w:val="1"/>
                <w:bCs w:val="1"/>
                <w:color w:val="auto"/>
              </w:rPr>
              <w:t>Name and address</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ownership</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Shares owned</w:t>
            </w:r>
          </w:p>
        </w:tc>
        <w:tc>
          <w:tcPr>
            <w:tcW w:w="1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Shares owned</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73"/>
        </w:trPr>
        <w:tc>
          <w:tcPr>
            <w:tcW w:w="51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Record and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666,733</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88"/>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GSC Secondary Interest Fund LLC (2)</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beneficial</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officers and directors as a group</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Record and</w:t>
            </w: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None</w:t>
            </w:r>
          </w:p>
        </w:tc>
        <w:tc>
          <w:tcPr>
            <w:tcW w:w="144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 persons)</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beneficial</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60" w:right="840" w:hanging="556"/>
        <w:spacing w:after="0" w:line="270" w:lineRule="auto"/>
        <w:tabs>
          <w:tab w:leader="none" w:pos="5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issuance of 10,000,000 shares of common stock offered hereby. Does not reflect common stock reserved for issuance upon exercise of the underwriters’ additional allotment option.</w:t>
      </w:r>
    </w:p>
    <w:p>
      <w:pPr>
        <w:spacing w:after="0" w:line="161" w:lineRule="exact"/>
        <w:rPr>
          <w:rFonts w:ascii="Times New Roman" w:cs="Times New Roman" w:eastAsia="Times New Roman" w:hAnsi="Times New Roman"/>
          <w:sz w:val="14"/>
          <w:szCs w:val="14"/>
          <w:color w:val="auto"/>
        </w:rPr>
      </w:pPr>
    </w:p>
    <w:p>
      <w:pPr>
        <w:ind w:left="560" w:hanging="556"/>
        <w:spacing w:after="0"/>
        <w:tabs>
          <w:tab w:leader="none" w:pos="56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The address for all officers and directors is c/o GSC Investment LLC, 12 East 49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4"/>
          <w:szCs w:val="14"/>
          <w:color w:val="auto"/>
        </w:rPr>
        <w:t xml:space="preserve"> Street, New York, New York 10017.</w:t>
      </w:r>
    </w:p>
    <w:p>
      <w:pPr>
        <w:spacing w:after="0" w:line="108" w:lineRule="exact"/>
        <w:rPr>
          <w:rFonts w:ascii="Times New Roman" w:cs="Times New Roman" w:eastAsia="Times New Roman" w:hAnsi="Times New Roman"/>
          <w:sz w:val="27"/>
          <w:szCs w:val="27"/>
          <w:color w:val="auto"/>
          <w:vertAlign w:val="superscript"/>
        </w:rPr>
      </w:pPr>
    </w:p>
    <w:p>
      <w:pPr>
        <w:ind w:left="560" w:hanging="556"/>
        <w:spacing w:after="0"/>
        <w:tabs>
          <w:tab w:leader="none" w:pos="5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issued in connection with the Contribution. See “Contribution.”</w:t>
      </w:r>
    </w:p>
    <w:p>
      <w:pPr>
        <w:spacing w:after="0" w:line="195"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The following table sets forth the dollar range of our equity securities beneficially owned by each of our directors immediately after this offering. We are not part of a “family of investment companies,” as that term is defined in the 1940 Act.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Dollar Range of</w:t>
            </w:r>
          </w:p>
        </w:tc>
      </w:tr>
      <w:tr>
        <w:trPr>
          <w:trHeight w:val="115"/>
        </w:trPr>
        <w:tc>
          <w:tcPr>
            <w:tcW w:w="9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Equity Securities in</w:t>
            </w:r>
          </w:p>
        </w:tc>
      </w:tr>
      <w:tr>
        <w:trPr>
          <w:trHeight w:val="139"/>
        </w:trPr>
        <w:tc>
          <w:tcPr>
            <w:tcW w:w="9040" w:type="dxa"/>
            <w:vAlign w:val="bottom"/>
          </w:tcPr>
          <w:p>
            <w:pPr>
              <w:ind w:left="4140"/>
              <w:spacing w:after="0"/>
              <w:rPr>
                <w:sz w:val="20"/>
                <w:szCs w:val="20"/>
                <w:color w:val="auto"/>
              </w:rPr>
            </w:pPr>
            <w:r>
              <w:rPr>
                <w:rFonts w:ascii="Times New Roman" w:cs="Times New Roman" w:eastAsia="Times New Roman" w:hAnsi="Times New Roman"/>
                <w:sz w:val="10"/>
                <w:szCs w:val="10"/>
                <w:b w:val="1"/>
                <w:bCs w:val="1"/>
                <w:color w:val="auto"/>
              </w:rPr>
              <w:t>Name of Director</w:t>
            </w:r>
          </w:p>
        </w:tc>
        <w:tc>
          <w:tcPr>
            <w:tcW w:w="2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GSC Investment Corp.(1)</w:t>
            </w:r>
          </w:p>
        </w:tc>
      </w:tr>
      <w:tr>
        <w:trPr>
          <w:trHeight w:val="73"/>
        </w:trPr>
        <w:tc>
          <w:tcPr>
            <w:tcW w:w="90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 Directors (2)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Interested Directors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Thomas V. Inglesby (3)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Richard M. Hayden (3)</w:t>
      </w:r>
    </w:p>
    <w:p>
      <w:pPr>
        <w:spacing w:after="0" w:line="27" w:lineRule="exact"/>
        <w:rPr>
          <w:sz w:val="20"/>
          <w:szCs w:val="20"/>
          <w:color w:val="auto"/>
        </w:rPr>
      </w:pPr>
    </w:p>
    <w:p>
      <w:pPr>
        <w:ind w:left="120"/>
        <w:spacing w:after="0"/>
        <w:tabs>
          <w:tab w:leader="none" w:pos="9900" w:val="left"/>
        </w:tabs>
        <w:rPr>
          <w:sz w:val="20"/>
          <w:szCs w:val="20"/>
          <w:color w:val="auto"/>
        </w:rPr>
      </w:pPr>
      <w:r>
        <w:rPr>
          <w:rFonts w:ascii="Times New Roman" w:cs="Times New Roman" w:eastAsia="Times New Roman" w:hAnsi="Times New Roman"/>
          <w:sz w:val="14"/>
          <w:szCs w:val="14"/>
          <w:color w:val="auto"/>
        </w:rPr>
        <w:t>Robert F. Cummings, Jr</w:t>
      </w:r>
      <w:r>
        <w:rPr>
          <w:sz w:val="20"/>
          <w:szCs w:val="20"/>
          <w:color w:val="auto"/>
        </w:rPr>
        <w:tab/>
      </w:r>
      <w:r>
        <w:rPr>
          <w:rFonts w:ascii="Times New Roman" w:cs="Times New Roman" w:eastAsia="Times New Roman" w:hAnsi="Times New Roman"/>
          <w:sz w:val="12"/>
          <w:szCs w:val="1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110299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353" w:lineRule="exact"/>
        <w:rPr>
          <w:sz w:val="20"/>
          <w:szCs w:val="20"/>
          <w:color w:val="auto"/>
        </w:rPr>
      </w:pPr>
    </w:p>
    <w:p>
      <w:pPr>
        <w:ind w:left="580" w:hanging="576"/>
        <w:spacing w:after="0"/>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or over $100,000.</w:t>
      </w:r>
    </w:p>
    <w:p>
      <w:pPr>
        <w:spacing w:after="0" w:line="194" w:lineRule="exact"/>
        <w:rPr>
          <w:rFonts w:ascii="Times New Roman" w:cs="Times New Roman" w:eastAsia="Times New Roman" w:hAnsi="Times New Roman"/>
          <w:sz w:val="14"/>
          <w:szCs w:val="14"/>
          <w:color w:val="auto"/>
        </w:rPr>
      </w:pPr>
    </w:p>
    <w:p>
      <w:pPr>
        <w:ind w:left="580" w:right="20" w:hanging="576"/>
        <w:spacing w:after="0" w:line="270" w:lineRule="auto"/>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our election to be treated as a BDC, we will appoint additional persons who are not interested persons, as defined in section 2(a) (19) of the 1940 Act, to serve on our board of directors. The beneficial ownership of the independent directors in GSC Investment Corp. will be set forth above.</w:t>
      </w:r>
    </w:p>
    <w:p>
      <w:pPr>
        <w:spacing w:after="0" w:line="161" w:lineRule="exact"/>
        <w:rPr>
          <w:rFonts w:ascii="Times New Roman" w:cs="Times New Roman" w:eastAsia="Times New Roman" w:hAnsi="Times New Roman"/>
          <w:sz w:val="14"/>
          <w:szCs w:val="14"/>
          <w:color w:val="auto"/>
        </w:rPr>
      </w:pPr>
    </w:p>
    <w:p>
      <w:pPr>
        <w:ind w:left="580" w:hanging="576"/>
        <w:spacing w:after="0"/>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issued in connection with the Contribution. See “Restructuring.”</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20"/>
          </w:cols>
          <w:pgMar w:left="220" w:top="670"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9"/>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 SECURITIES</w:t>
            </w:r>
          </w:p>
        </w:tc>
        <w:tc>
          <w:tcPr>
            <w:tcW w:w="2500" w:type="dxa"/>
            <w:vAlign w:val="bottom"/>
          </w:tcPr>
          <w:p>
            <w:pPr>
              <w:spacing w:after="0"/>
              <w:rPr>
                <w:sz w:val="15"/>
                <w:szCs w:val="15"/>
                <w:color w:val="auto"/>
              </w:rPr>
            </w:pPr>
          </w:p>
        </w:tc>
      </w:tr>
      <w:tr>
        <w:trPr>
          <w:trHeight w:val="356"/>
        </w:trPr>
        <w:tc>
          <w:tcPr>
            <w:tcW w:w="838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w w:val="96"/>
              </w:rPr>
              <w:t>The following table sets forth information regarding our authorized shares of stock under our charter and bylaws and shares of stock outstanding as of</w:t>
            </w:r>
          </w:p>
        </w:tc>
        <w:tc>
          <w:tcPr>
            <w:tcW w:w="2500" w:type="dxa"/>
            <w:vAlign w:val="bottom"/>
          </w:tcPr>
          <w:p>
            <w:pPr>
              <w:jc w:val="right"/>
              <w:ind w:right="1520"/>
              <w:spacing w:after="0"/>
              <w:rPr>
                <w:sz w:val="20"/>
                <w:szCs w:val="20"/>
                <w:color w:val="auto"/>
              </w:rPr>
            </w:pPr>
            <w:r>
              <w:rPr>
                <w:rFonts w:ascii="Times New Roman" w:cs="Times New Roman" w:eastAsia="Times New Roman" w:hAnsi="Times New Roman"/>
                <w:sz w:val="14"/>
                <w:szCs w:val="14"/>
                <w:color w:val="auto"/>
              </w:rPr>
              <w:t>, 2006.</w:t>
            </w:r>
          </w:p>
        </w:tc>
      </w:tr>
      <w:tr>
        <w:trPr>
          <w:trHeight w:val="369"/>
        </w:trPr>
        <w:tc>
          <w:tcPr>
            <w:tcW w:w="2740" w:type="dxa"/>
            <w:vAlign w:val="bottom"/>
          </w:tcPr>
          <w:p>
            <w:pPr>
              <w:ind w:left="1080"/>
              <w:spacing w:after="0"/>
              <w:rPr>
                <w:sz w:val="20"/>
                <w:szCs w:val="20"/>
                <w:color w:val="auto"/>
              </w:rPr>
            </w:pPr>
            <w:r>
              <w:rPr>
                <w:rFonts w:ascii="Times New Roman" w:cs="Times New Roman" w:eastAsia="Times New Roman" w:hAnsi="Times New Roman"/>
                <w:sz w:val="10"/>
                <w:szCs w:val="10"/>
                <w:b w:val="1"/>
                <w:bCs w:val="1"/>
                <w:color w:val="auto"/>
              </w:rPr>
              <w:t>Title of Class</w:t>
            </w:r>
          </w:p>
        </w:tc>
        <w:tc>
          <w:tcPr>
            <w:tcW w:w="220" w:type="dxa"/>
            <w:vAlign w:val="bottom"/>
          </w:tcPr>
          <w:p>
            <w:pPr>
              <w:spacing w:after="0"/>
              <w:rPr>
                <w:sz w:val="24"/>
                <w:szCs w:val="24"/>
                <w:color w:val="auto"/>
              </w:rPr>
            </w:pPr>
          </w:p>
        </w:tc>
        <w:tc>
          <w:tcPr>
            <w:tcW w:w="176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Shares Authorized</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2"/>
          </w:tcPr>
          <w:p>
            <w:pPr>
              <w:ind w:left="820"/>
              <w:spacing w:after="0"/>
              <w:rPr>
                <w:sz w:val="20"/>
                <w:szCs w:val="20"/>
                <w:color w:val="auto"/>
              </w:rPr>
            </w:pPr>
            <w:r>
              <w:rPr>
                <w:rFonts w:ascii="Times New Roman" w:cs="Times New Roman" w:eastAsia="Times New Roman" w:hAnsi="Times New Roman"/>
                <w:sz w:val="10"/>
                <w:szCs w:val="10"/>
                <w:b w:val="1"/>
                <w:bCs w:val="1"/>
                <w:color w:val="auto"/>
              </w:rPr>
              <w:t>or for Our Account</w:t>
            </w:r>
          </w:p>
        </w:tc>
        <w:tc>
          <w:tcPr>
            <w:tcW w:w="2500" w:type="dxa"/>
            <w:vAlign w:val="bottom"/>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or for Our Account</w:t>
            </w:r>
          </w:p>
        </w:tc>
      </w:tr>
      <w:tr>
        <w:trPr>
          <w:trHeight w:val="73"/>
        </w:trPr>
        <w:tc>
          <w:tcPr>
            <w:tcW w:w="27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5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500" w:type="dxa"/>
            <w:vAlign w:val="bottom"/>
            <w:tcBorders>
              <w:bottom w:val="single" w:sz="8" w:color="808080"/>
            </w:tcBorders>
          </w:tcPr>
          <w:p>
            <w:pPr>
              <w:spacing w:after="0"/>
              <w:rPr>
                <w:sz w:val="6"/>
                <w:szCs w:val="6"/>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0880"/>
          </w:cols>
          <w:pgMar w:left="220" w:top="670" w:right="79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DETERMINATION OF NET ASSET VALUE</w:t>
      </w:r>
    </w:p>
    <w:p>
      <w:pPr>
        <w:spacing w:after="0" w:line="199" w:lineRule="exact"/>
        <w:rPr>
          <w:sz w:val="20"/>
          <w:szCs w:val="20"/>
          <w:color w:val="auto"/>
        </w:rPr>
      </w:pPr>
    </w:p>
    <w:p>
      <w:pPr>
        <w:ind w:right="560" w:firstLine="209"/>
        <w:spacing w:after="0" w:line="270" w:lineRule="auto"/>
        <w:rPr>
          <w:sz w:val="20"/>
          <w:szCs w:val="20"/>
          <w:color w:val="auto"/>
        </w:rPr>
      </w:pPr>
      <w:r>
        <w:rPr>
          <w:rFonts w:ascii="Times New Roman" w:cs="Times New Roman" w:eastAsia="Times New Roman" w:hAnsi="Times New Roman"/>
          <w:sz w:val="14"/>
          <w:szCs w:val="14"/>
          <w:color w:val="auto"/>
        </w:rPr>
        <w:t>The net asset value per share of our outstanding common stock will be determined quarterly by dividing the value of total assets minus liabilities by the total number of shares of our common stock outstanding.</w:t>
      </w:r>
    </w:p>
    <w:p>
      <w:pPr>
        <w:spacing w:after="0" w:line="161"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In calculating the value of our total assets, we will value investments for which market quotations are readily available at such market quotations. Debt and equity securities that are not publicly traded or whose market price is not readily available will be valued at fair value as determined in good faith by our board of directors. As a general rule, loans or debt in our portfolio will generally correspond to cost but will be subject to fair value write-downs when the asset is considered impaired. With respect to private equity securities, each investment will be valued using comparisons of financial ratios of the portfolio companies that issued such private equity securities to peer companies that are public. The value will then be discounted to reflect the illiquid nature of the investment, as well as our minority, non-control position. When an external event such as a purchase transaction, public offering or subsequent equity sale occurs, we will use the pricing indicated by the external event to corroborate our private equity valuation. Because we expect that there will not be a readily available market value for most of the investments in our portfolio, we expect to value substantially all of our portfolio investments at fair value as determined in good faith by our board under a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With respect to investments for which market quotations are not readily available, our board of directors will undertake a multi-step valuation process each quarter, as described below:</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responsible for the portfolio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Preliminary valuation conclusions will then be documented and discussed with our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 independent valuation firm engaged by our board of directors will review one quarter of our portfolio’s preliminary valuations; as a result, the entire portfolio will be reviewed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-60325</wp:posOffset>
            </wp:positionV>
            <wp:extent cx="58420" cy="584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19" w:lineRule="exact"/>
        <w:rPr>
          <w:sz w:val="20"/>
          <w:szCs w:val="20"/>
          <w:color w:val="auto"/>
        </w:rPr>
      </w:pPr>
    </w:p>
    <w:p>
      <w:pPr>
        <w:ind w:left="420" w:right="80"/>
        <w:spacing w:after="0" w:line="302" w:lineRule="auto"/>
        <w:rPr>
          <w:sz w:val="20"/>
          <w:szCs w:val="20"/>
          <w:color w:val="auto"/>
        </w:rPr>
      </w:pPr>
      <w:r>
        <w:rPr>
          <w:rFonts w:ascii="Times New Roman" w:cs="Times New Roman" w:eastAsia="Times New Roman" w:hAnsi="Times New Roman"/>
          <w:sz w:val="14"/>
          <w:szCs w:val="14"/>
          <w:color w:val="auto"/>
        </w:rPr>
        <w:t>The audit committee of our board of directors will review the preliminary valuation and our investment adviser and independent valuation firm will respond and supplement the preliminary valuation to reflect any comments provided by the audit committee;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right="100"/>
        <w:spacing w:after="0" w:line="302" w:lineRule="auto"/>
        <w:rPr>
          <w:sz w:val="20"/>
          <w:szCs w:val="20"/>
          <w:color w:val="auto"/>
        </w:rPr>
      </w:pPr>
      <w:r>
        <w:rPr>
          <w:rFonts w:ascii="Times New Roman" w:cs="Times New Roman" w:eastAsia="Times New Roman" w:hAnsi="Times New Roman"/>
          <w:sz w:val="14"/>
          <w:szCs w:val="14"/>
          <w:color w:val="auto"/>
        </w:rPr>
        <w:t>The board of directors will discuss valuations and will determine the fair value of each investment in our portfolio in good faith based on the input of our investment adviser, independent valuation firm and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9" w:lineRule="exact"/>
        <w:rPr>
          <w:sz w:val="20"/>
          <w:szCs w:val="20"/>
          <w:color w:val="auto"/>
        </w:rPr>
      </w:pPr>
    </w:p>
    <w:p>
      <w:pPr>
        <w:ind w:right="540" w:firstLine="209"/>
        <w:spacing w:after="0" w:line="270" w:lineRule="auto"/>
        <w:rPr>
          <w:sz w:val="20"/>
          <w:szCs w:val="20"/>
          <w:color w:val="auto"/>
        </w:rPr>
      </w:pPr>
      <w:r>
        <w:rPr>
          <w:rFonts w:ascii="Times New Roman" w:cs="Times New Roman" w:eastAsia="Times New Roman" w:hAnsi="Times New Roman"/>
          <w:sz w:val="14"/>
          <w:szCs w:val="14"/>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61" w:lineRule="exact"/>
        <w:rPr>
          <w:sz w:val="20"/>
          <w:szCs w:val="20"/>
          <w:color w:val="auto"/>
        </w:rPr>
      </w:pPr>
    </w:p>
    <w:p>
      <w:pPr>
        <w:ind w:right="220" w:firstLine="209"/>
        <w:spacing w:after="0" w:line="270" w:lineRule="auto"/>
        <w:rPr>
          <w:sz w:val="20"/>
          <w:szCs w:val="20"/>
          <w:color w:val="auto"/>
        </w:rPr>
      </w:pPr>
      <w:r>
        <w:rPr>
          <w:rFonts w:ascii="Times New Roman" w:cs="Times New Roman" w:eastAsia="Times New Roman" w:hAnsi="Times New Roman"/>
          <w:sz w:val="14"/>
          <w:szCs w:val="14"/>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92" w:name="page93"/>
    <w:bookmarkEnd w:id="92"/>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99" w:lineRule="exact"/>
        <w:rPr>
          <w:sz w:val="20"/>
          <w:szCs w:val="20"/>
          <w:color w:val="auto"/>
        </w:rPr>
      </w:pPr>
    </w:p>
    <w:p>
      <w:pPr>
        <w:ind w:right="100" w:firstLine="209"/>
        <w:spacing w:after="0" w:line="356" w:lineRule="auto"/>
        <w:rPr>
          <w:sz w:val="20"/>
          <w:szCs w:val="20"/>
          <w:color w:val="auto"/>
        </w:rPr>
      </w:pPr>
      <w:r>
        <w:rPr>
          <w:rFonts w:ascii="Times New Roman" w:cs="Times New Roman" w:eastAsia="Times New Roman" w:hAnsi="Times New Roman"/>
          <w:sz w:val="12"/>
          <w:szCs w:val="12"/>
          <w:color w:val="auto"/>
        </w:rPr>
        <w:t>The following summary of certain material U.S. federal income tax consequences relating to the ownership and disposition of our common stock is for general information only and is not tax advice. This discussion does not describe all of the tax consequences that may be relevant to a holder of our common stock in light of its particular circumstances or to holders subject to special rules, such as: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certain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insurance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broker-dealers;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persons who hold shares of our common stock as part of a straddle, hedge or other integrated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partnerships or other entities classified as partnerships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persons subject to the alternative minimum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except to the extent specifically discussed below,</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foreign corporations and persons who are not citizens or residents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This summary assumes that investors will hold their common stock as capital assets (generally property held for investment) and is based on the Code administrative pronouncements, judicial decisions and final, temporary and proposed Treasury regulations, changes to any of which subsequent to the date of this prospectus may affect the tax consequences described herein.</w:t>
      </w:r>
    </w:p>
    <w:p>
      <w:pPr>
        <w:spacing w:after="0" w:line="157" w:lineRule="exact"/>
        <w:rPr>
          <w:sz w:val="20"/>
          <w:szCs w:val="20"/>
          <w:color w:val="auto"/>
        </w:rPr>
      </w:pPr>
    </w:p>
    <w:p>
      <w:pPr>
        <w:ind w:firstLine="209"/>
        <w:spacing w:after="0" w:line="309" w:lineRule="auto"/>
        <w:rPr>
          <w:sz w:val="20"/>
          <w:szCs w:val="20"/>
          <w:color w:val="auto"/>
        </w:rPr>
      </w:pPr>
      <w:r>
        <w:rPr>
          <w:rFonts w:ascii="Times New Roman" w:cs="Times New Roman" w:eastAsia="Times New Roman" w:hAnsi="Times New Roman"/>
          <w:sz w:val="12"/>
          <w:szCs w:val="12"/>
          <w:b w:val="1"/>
          <w:bCs w:val="1"/>
          <w:color w:val="auto"/>
        </w:rPr>
        <w:t>THIS SUMMARY IS LIMITED TO THE U.S. FEDERAL TAX ISSUES ADDRESSED BELOW. ADDITIONAL ISSUES MAY EXIST THAT ARE NOT ADDRESSED IN THIS DISCUSSION AND THAT COULD AFFECT THE U.S. FEDERAL TAX TREATMENT OF US OR OUR STOCKHOLDERS. PROSPECTIVE INVESTORS ARE URGED TO SEEK ADVICE BASED ON THEIR PARTICULAR CIRCUMSTANCES FROM AN INDEPENDENT TAX ADVISER REGARDING THE SPECIFIC TAX CONSEQUENCES TO THEM OF THE PURCHASE, OWNERSHIP AND DISPOSITION OF OUR COMMON STOCK AND OF OUR ELECTION TO BE TAXED AS A RIC, INCLUDING THE U.S. FEDERAL, STATE, LOCAL AND FOREIGN INCOME AND OTHER TAX CONSEQUENCES OF SUCH OWNERSHIP, DISPOSITION AND ELECTION, AND OF POTENTIAL CHANGES IN APPLICABLE TAX LAWS.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consequences as a RIC</w:t>
      </w:r>
    </w:p>
    <w:p>
      <w:pPr>
        <w:spacing w:after="0" w:line="199"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We intend to elect to qualify, and intend to remain qualified, as a RIC under Subchapter M of the Code. Qualification as a RIC requires, among other things, that (a) we qualify to be treated as a BDC under the 1940 Act at all times during each taxable year, (b) at least 90% of our annual gross income be derived from interest, dividends, payments with respect to certain securities loans, gains from the sale or other disposition of securities or options thereon or foreign currencies, or other income derived with respect to our business of investing in such securities or currencies, and net income from interests in “qualified publicly traded partnerships,” as defined in the Code; and (c) we diversify our holdings so that, at the end of each quarter of the taxable year (i) at least 50% of the market value of our assets is represented by cash, U.S. Government securities and other securities limited in respect of any one issuer to an amount not greater than 5% of the market value of our assets and not more than 10% of the outstanding voting securities of such issuer, and (ii) not more than 25% of the value of our assets is invested in the securities of any one issuer (other than U.S. government securities and securities of other RICs), in two or more issuers that are</w:t>
      </w:r>
    </w:p>
    <w:p>
      <w:pPr>
        <w:spacing w:after="0" w:line="1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80"/>
          </w:cols>
          <w:pgMar w:left="220" w:top="670"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controlled by us and that are engaged in the same or similar trades or business or related trades or businesses, or in one or more “qualified publicly traded partnerships,” as defined in the Code.</w:t>
      </w:r>
    </w:p>
    <w:p>
      <w:pPr>
        <w:spacing w:after="0" w:line="195" w:lineRule="exact"/>
        <w:rPr>
          <w:sz w:val="20"/>
          <w:szCs w:val="20"/>
          <w:color w:val="auto"/>
        </w:rPr>
      </w:pPr>
    </w:p>
    <w:p>
      <w:pPr>
        <w:ind w:right="60" w:firstLine="209"/>
        <w:spacing w:after="0" w:line="256" w:lineRule="auto"/>
        <w:rPr>
          <w:sz w:val="20"/>
          <w:szCs w:val="20"/>
          <w:color w:val="auto"/>
        </w:rPr>
      </w:pPr>
      <w:r>
        <w:rPr>
          <w:rFonts w:ascii="Times New Roman" w:cs="Times New Roman" w:eastAsia="Times New Roman" w:hAnsi="Times New Roman"/>
          <w:sz w:val="14"/>
          <w:szCs w:val="14"/>
          <w:color w:val="auto"/>
        </w:rPr>
        <w:t>Qualification and election as a RIC involve no supervision of investment policy or management by any government agency. As a RIC, we generally will not be subject to U.S. federal income tax on income that is distributed to stockholders, provided that we distribute to stockholders at least 90% of our net taxable investment income (which includes, among other items, interest, dividends, the excess of any net short-term capital gains over net long-term capital losses and other taxable income other than net capital gains) and 90% of our net tax-exempt interest income in each year. We intend to maintain our qualification as a BDC continuously. See “Risk Factors—Risks related to our operation as a BDC.”</w:t>
      </w:r>
    </w:p>
    <w:p>
      <w:pPr>
        <w:spacing w:after="0" w:line="171"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We intend to make sufficient distributions in a timely manner in order to ensure that we will not be subject to the 4% U.S. federal excise tax on certain undistributed income of regulated investment companies. In order to avoid the 4% U.S. federal excise tax, the required minimum distribution is generally equal to the sum of 98% of our ordinary income (computed on a calendar year basis), plus 98% of our capital gain net income (generally computed for the one-year period ending on October 31).</w:t>
      </w:r>
    </w:p>
    <w:p>
      <w:pPr>
        <w:spacing w:after="0" w:line="168" w:lineRule="exact"/>
        <w:rPr>
          <w:sz w:val="20"/>
          <w:szCs w:val="20"/>
          <w:color w:val="auto"/>
        </w:rPr>
      </w:pPr>
    </w:p>
    <w:p>
      <w:pPr>
        <w:ind w:right="20" w:firstLine="209"/>
        <w:spacing w:after="0" w:line="254" w:lineRule="auto"/>
        <w:rPr>
          <w:sz w:val="20"/>
          <w:szCs w:val="20"/>
          <w:color w:val="auto"/>
        </w:rPr>
      </w:pPr>
      <w:r>
        <w:rPr>
          <w:rFonts w:ascii="Times New Roman" w:cs="Times New Roman" w:eastAsia="Times New Roman" w:hAnsi="Times New Roman"/>
          <w:sz w:val="14"/>
          <w:szCs w:val="14"/>
          <w:color w:val="auto"/>
        </w:rPr>
        <w:t>If any net capital gains are retained by us for reinvestment, requiring U.S. federal income taxes to be paid thereon by us, we may elect to treat such capital gains as having been distributed to stockholders. In that case, each stockholder will be required to report such capital gains as long-term capital gains, will be able to claim his share of U.S. federal income taxes paid by us on such gains as a credit or refund against his own U.S. federal income tax liability, and will be entitled to increase the adjusted tax basis of his common stock by the difference between his share of such gains and the related credit or refund. A stockholder that is not subject to U.S. federal income tax or is not otherwise required to file a U.S. federal income tax return would be required to file a U.S. federal income tax return on the appropriate form in order to claim a refund for the taxes we paid.</w:t>
      </w:r>
    </w:p>
    <w:p>
      <w:pPr>
        <w:spacing w:after="0" w:line="174"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If for any taxable year we do not qualify for the special U.S. federal income tax treatment afforded to RICs (for example, by not meeting the 90% distribution requirement described above), all of our taxable income will be subject to U.S. federal income tax at regular corporate rates (without any deduction for distributions to our stockholders). In such event, provided that a stockholder satisfies the applicable holding period and other requirements with respect to his common stock, dividend distributions would be taxable to the stockholder as “qualified dividend income” to the extent of our earnings and profits and would be eligible for the dividends-received deduction in the case of a corporate stockholder.</w:t>
      </w:r>
    </w:p>
    <w:p>
      <w:pPr>
        <w:spacing w:after="0" w:line="171" w:lineRule="exact"/>
        <w:rPr>
          <w:sz w:val="20"/>
          <w:szCs w:val="20"/>
          <w:color w:val="auto"/>
        </w:rPr>
      </w:pPr>
    </w:p>
    <w:p>
      <w:pPr>
        <w:ind w:right="60" w:firstLine="209"/>
        <w:spacing w:after="0" w:line="253" w:lineRule="auto"/>
        <w:rPr>
          <w:sz w:val="20"/>
          <w:szCs w:val="20"/>
          <w:color w:val="auto"/>
        </w:rPr>
      </w:pPr>
      <w:r>
        <w:rPr>
          <w:rFonts w:ascii="Times New Roman" w:cs="Times New Roman" w:eastAsia="Times New Roman" w:hAnsi="Times New Roman"/>
          <w:sz w:val="14"/>
          <w:szCs w:val="14"/>
          <w:color w:val="auto"/>
        </w:rPr>
        <w:t>Certain investments made by us, such as investments in debt securities that have original issue discount, will cause us to recognize income for U.S. federal income tax purposes prior to our receipt of the corresponding distributable proceeds. In addition, certain of our investments will be subject to special provisions of the Code that, among other things, may affect the character of gains and losses realized by us (i.e., may affect whether gains or losses are ordinary or capital), accelerate our recognition of income or defer our losses. These rules could therefore affect the character, amount and timing of distributions to stockholders. These provisions also may result in our “marking-to-market” certain types of the positions in our portfolio (i.e., treating them as if they were sold). We may thus recognize income without receiving cash with which to make distributions in amounts necessary to satisfy the distribution requirements for avoiding income and excise taxes. In that case, we may have to dispose of other securities and use the proceeds to make distributions in order to satisfy these distribution requirements.</w:t>
      </w:r>
    </w:p>
    <w:p>
      <w:pPr>
        <w:spacing w:after="0" w:line="175" w:lineRule="exact"/>
        <w:rPr>
          <w:sz w:val="20"/>
          <w:szCs w:val="20"/>
          <w:color w:val="auto"/>
        </w:rPr>
      </w:pPr>
    </w:p>
    <w:p>
      <w:pPr>
        <w:ind w:right="140" w:firstLine="209"/>
        <w:spacing w:after="0" w:line="270" w:lineRule="auto"/>
        <w:rPr>
          <w:sz w:val="20"/>
          <w:szCs w:val="20"/>
          <w:color w:val="auto"/>
        </w:rPr>
      </w:pPr>
      <w:r>
        <w:rPr>
          <w:rFonts w:ascii="Times New Roman" w:cs="Times New Roman" w:eastAsia="Times New Roman" w:hAnsi="Times New Roman"/>
          <w:sz w:val="14"/>
          <w:szCs w:val="14"/>
          <w:color w:val="auto"/>
        </w:rPr>
        <w:t>Interest, dividends and capital gains received by us may give rise to withholding and other taxes imposed by foreign countries. Such taxes will reduce our stockholders’ return. Income tax treaties between certain countries and the United States may reduce or eliminate such taxes, but there can be no assurance that we will qualify for treaty benefits.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99" w:lineRule="exact"/>
        <w:rPr>
          <w:sz w:val="20"/>
          <w:szCs w:val="20"/>
          <w:color w:val="auto"/>
        </w:rPr>
      </w:pPr>
    </w:p>
    <w:p>
      <w:pPr>
        <w:ind w:right="360" w:firstLine="209"/>
        <w:spacing w:after="0" w:line="270" w:lineRule="auto"/>
        <w:rPr>
          <w:sz w:val="20"/>
          <w:szCs w:val="20"/>
          <w:color w:val="auto"/>
        </w:rPr>
      </w:pPr>
      <w:r>
        <w:rPr>
          <w:rFonts w:ascii="Times New Roman" w:cs="Times New Roman" w:eastAsia="Times New Roman" w:hAnsi="Times New Roman"/>
          <w:sz w:val="14"/>
          <w:szCs w:val="14"/>
          <w:color w:val="auto"/>
        </w:rPr>
        <w:t>Distributions to stockholders of our net investment income (other than “qualified dividend income”) and distributions of net short-term capital gains will be taxable as ordinary income to stockholders. Distributions of our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94" w:name="page95"/>
    <w:bookmarkEnd w:id="94"/>
    <w:p>
      <w:pPr>
        <w:ind w:right="160"/>
        <w:spacing w:after="0" w:line="253" w:lineRule="auto"/>
        <w:rPr>
          <w:sz w:val="20"/>
          <w:szCs w:val="20"/>
          <w:color w:val="auto"/>
        </w:rPr>
      </w:pPr>
      <w:r>
        <w:rPr>
          <w:rFonts w:ascii="Times New Roman" w:cs="Times New Roman" w:eastAsia="Times New Roman" w:hAnsi="Times New Roman"/>
          <w:sz w:val="14"/>
          <w:szCs w:val="14"/>
          <w:color w:val="auto"/>
        </w:rPr>
        <w:t>net capital gains (designated as capital gain dividends by us) will be taxable to stockholders as long-term capital gains, regardless of the length of time the common stock has been held by a stockholder. Distributions in excess of our current and accumulated earnings and profits will, as to each stockholder, be treated as a tax-free return of capital, to the extent of a stockholder’s adjusted basis in his common stock, and as a capital gain thereafter. Provided that the stockholder satisfies the applicable holding period and other requirements with respect to his common stock, (i) distributions of our “qualified dividend income” made or deemed made by us in taxable years beginning before January 1, 2011 will be treated as qualified dividend income received by the stockholder and will therefore be subject to U.S. federal income tax at the rates applicable to long-term capital gain and (ii) stockholders that are corporations may be entitled to claim a dividends-received deduction for a portion of certain distributions they receive. We do not anticipate that a substantial portion of our income will constitute qualified dividend income. We will inform our stockholders each year of the tax status of distributions received by stockholders for the previous year. A stockholder’s tax liabilities for such distributions will depend on his particular tax situation.</w:t>
      </w:r>
    </w:p>
    <w:p>
      <w:pPr>
        <w:spacing w:after="0" w:line="173" w:lineRule="exact"/>
        <w:rPr>
          <w:sz w:val="20"/>
          <w:szCs w:val="20"/>
          <w:color w:val="auto"/>
        </w:rPr>
      </w:pPr>
    </w:p>
    <w:p>
      <w:pPr>
        <w:ind w:right="140" w:firstLine="209"/>
        <w:spacing w:after="0" w:line="270" w:lineRule="auto"/>
        <w:rPr>
          <w:sz w:val="20"/>
          <w:szCs w:val="20"/>
          <w:color w:val="auto"/>
        </w:rPr>
      </w:pPr>
      <w:r>
        <w:rPr>
          <w:rFonts w:ascii="Times New Roman" w:cs="Times New Roman" w:eastAsia="Times New Roman" w:hAnsi="Times New Roman"/>
          <w:sz w:val="14"/>
          <w:szCs w:val="14"/>
          <w:color w:val="auto"/>
        </w:rPr>
        <w:t>As discussed above under “Dividend Reinvestment Plan,” we expect to adopt an automatic dividend reinvestment plan. Unless a stockholder elects not to participate in that plan, it will generally be treated for U.S. federal income tax purposes as receiving the relevant distributions and using them to purchase common stock.</w:t>
      </w:r>
    </w:p>
    <w:p>
      <w:pPr>
        <w:spacing w:after="0" w:line="161" w:lineRule="exact"/>
        <w:rPr>
          <w:sz w:val="20"/>
          <w:szCs w:val="20"/>
          <w:color w:val="auto"/>
        </w:rPr>
      </w:pPr>
    </w:p>
    <w:p>
      <w:pPr>
        <w:ind w:right="120" w:firstLine="209"/>
        <w:spacing w:after="0" w:line="260" w:lineRule="auto"/>
        <w:rPr>
          <w:sz w:val="20"/>
          <w:szCs w:val="20"/>
          <w:color w:val="auto"/>
        </w:rPr>
      </w:pPr>
      <w:r>
        <w:rPr>
          <w:rFonts w:ascii="Times New Roman" w:cs="Times New Roman" w:eastAsia="Times New Roman" w:hAnsi="Times New Roman"/>
          <w:sz w:val="14"/>
          <w:szCs w:val="14"/>
          <w:color w:val="auto"/>
        </w:rPr>
        <w:t>All distributions of net investment income and net capital gains, whether received in cash or reinvested, must be reported by the stockholder on his U.S. federal income tax return. A distribution will be treated as paid during a calendar year if it is declared by us in October, November or December of the year to holders of record in such a month and paid by January 31 of the following year. Such distributions will be taxable to stockholders as if received on December 31 of such prior year, rather than in the year in which the distributions are actually received.</w:t>
      </w:r>
    </w:p>
    <w:p>
      <w:pPr>
        <w:spacing w:after="0" w:line="168" w:lineRule="exact"/>
        <w:rPr>
          <w:sz w:val="20"/>
          <w:szCs w:val="20"/>
          <w:color w:val="auto"/>
        </w:rPr>
      </w:pPr>
    </w:p>
    <w:p>
      <w:pPr>
        <w:ind w:right="100" w:firstLine="209"/>
        <w:spacing w:after="0" w:line="254" w:lineRule="auto"/>
        <w:rPr>
          <w:sz w:val="20"/>
          <w:szCs w:val="20"/>
          <w:color w:val="auto"/>
        </w:rPr>
      </w:pPr>
      <w:r>
        <w:rPr>
          <w:rFonts w:ascii="Times New Roman" w:cs="Times New Roman" w:eastAsia="Times New Roman" w:hAnsi="Times New Roman"/>
          <w:sz w:val="14"/>
          <w:szCs w:val="14"/>
          <w:color w:val="auto"/>
        </w:rPr>
        <w:t>Distributions by us result in a reduction in the net asset value of our common stock. Should a distribution reduce the net asset value below a stockholder’s cost basis, such distribution could nevertheless be taxable to the stockholder as ordinary income or capital gain as described above, even though, from an investment standpoint, it may constitute a partial return of capital. In particular, investors should consider the tax implications of buying common stock just prior to a distribution. Although the price of common stock purchased at the time includes the amount of the forthcoming distribution, the distribution will nevertheless be taxable to the purchaser. As a result of the sale of CDO Fund III assets as described in “Business — Prospective investments — The Portfolio,” stockholders are likely to receive a distribution that will be taxable to them even though it represents in part a return of invested capital.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of common stock</w:t>
      </w:r>
    </w:p>
    <w:p>
      <w:pPr>
        <w:spacing w:after="0" w:line="199"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A stockholder will recognize a taxable gain or loss, if any, if the stockholder sells his common stock. A stockholder will generally be subject to taxation based on the difference between his adjusted tax basis in the common stock sold and the value of the cash or other property received by him in payment therefor.</w:t>
      </w:r>
    </w:p>
    <w:p>
      <w:pPr>
        <w:spacing w:after="0" w:line="161"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Any gain or loss arising from the sale of common stock will be treated as capital gain or loss if the common stock is a capital asset in the stockholder’s hands and will generally be long-term capital gain or loss if the stockholder’s holding period for the common stock is more than one year and short-term capital gain or loss if it is one year or less. Capital gains recognized by individuals and other non-corporate stockholders on a sale of common stock will generally be taxed at a maximum U.S. federal tax rate of 15% if the stockholder’s holding period for the common stock is more than 12 months. Any loss realized on a sale will be disallowed to the extent the common stock disposed of is replaced with substantially identical stock within a period beginning 30 days before and ending 30 days after the disposition of the common stock. In such a case, the basis of the stock acquired will be adjusted to reflect the disallowed loss. Any loss arising from the sale of common stock for which the stockholder has a holding period of six months or less will be treated for U.S. federal tax purposes as a long-term capital loss to the extent of any amount of capital gain dividends received by the stockholders with respect to such stock. For purposes of determining a stockholder’s holding period for common stock, the holding period is suspended for any periods during which the stockholder’s risk of loss is diminished as a result of holding one or more other positions in substantially similar or related property or through certain options or short sales.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95" w:name="page96"/>
    <w:bookmarkEnd w:id="95"/>
    <w:p>
      <w:pPr>
        <w:ind w:right="140" w:firstLine="209"/>
        <w:spacing w:after="0" w:line="260" w:lineRule="auto"/>
        <w:rPr>
          <w:sz w:val="20"/>
          <w:szCs w:val="20"/>
          <w:color w:val="auto"/>
        </w:rPr>
      </w:pPr>
      <w:r>
        <w:rPr>
          <w:rFonts w:ascii="Times New Roman" w:cs="Times New Roman" w:eastAsia="Times New Roman" w:hAnsi="Times New Roman"/>
          <w:sz w:val="14"/>
          <w:szCs w:val="14"/>
          <w:color w:val="auto"/>
        </w:rPr>
        <w:t>A stockholder who recognizes a loss on a sale or other disposition of common stock will be required to report the sale or other disposition on IRS Form 8886 if the loss exceeds an applicable threshold amount. Failure to comply with the reporting requirements gives rise to substantial penalties. Certain states, including New York, may also have similar disclosure requirements. Stockholders should consult their tax advisers to determine whether they are required to file IRS Form 8886 in connection with a sale or other disposition of common stock.</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w:t>
      </w:r>
    </w:p>
    <w:p>
      <w:pPr>
        <w:spacing w:after="0" w:line="199" w:lineRule="exact"/>
        <w:rPr>
          <w:sz w:val="20"/>
          <w:szCs w:val="20"/>
          <w:color w:val="auto"/>
        </w:rPr>
      </w:pPr>
    </w:p>
    <w:p>
      <w:pPr>
        <w:ind w:firstLine="209"/>
        <w:spacing w:after="0" w:line="323" w:lineRule="auto"/>
        <w:rPr>
          <w:sz w:val="20"/>
          <w:szCs w:val="20"/>
          <w:color w:val="auto"/>
        </w:rPr>
      </w:pPr>
      <w:r>
        <w:rPr>
          <w:rFonts w:ascii="Times New Roman" w:cs="Times New Roman" w:eastAsia="Times New Roman" w:hAnsi="Times New Roman"/>
          <w:sz w:val="12"/>
          <w:szCs w:val="12"/>
          <w:color w:val="auto"/>
        </w:rPr>
        <w:t>We will be required to withhold U.S. federal income tax at the rates specified in the Code on all taxable distributions payable to stockholders who fail to provide us with their correct taxpayer identification number or to make required certifications, or who have been notified by the IRS that they are subject to backup withholding. Corporate stockholders and certain other stockholders specified in the Code are exempt from such backup withholding. Backup withholding is not an additional tax. Any amounts withheld may be credited against a stockholder’s U.S. federal income tax liability.</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Non-U.S. stockholders</w:t>
      </w:r>
    </w:p>
    <w:p>
      <w:pPr>
        <w:spacing w:after="0" w:line="199" w:lineRule="exact"/>
        <w:rPr>
          <w:sz w:val="20"/>
          <w:szCs w:val="20"/>
          <w:color w:val="auto"/>
        </w:rPr>
      </w:pPr>
    </w:p>
    <w:p>
      <w:pPr>
        <w:jc w:val="both"/>
        <w:ind w:right="60" w:firstLine="209"/>
        <w:spacing w:after="0" w:line="312" w:lineRule="auto"/>
        <w:rPr>
          <w:sz w:val="20"/>
          <w:szCs w:val="20"/>
          <w:color w:val="auto"/>
        </w:rPr>
      </w:pPr>
      <w:r>
        <w:rPr>
          <w:rFonts w:ascii="Times New Roman" w:cs="Times New Roman" w:eastAsia="Times New Roman" w:hAnsi="Times New Roman"/>
          <w:sz w:val="12"/>
          <w:szCs w:val="12"/>
          <w:color w:val="auto"/>
        </w:rPr>
        <w:t>A “non-U.S. stockholder” is an investor that, for U.S. federal income tax purposes, is a nonresident alien individual, a foreign corporation, a foreign partnership, or a foreign estate or trust. This disclosure assumes that a non-U.S. stockholder’s ownership of common stock is not effectively connected with a trade or business conducted by such foreign stockholder in the United States. Except as described in the following paragraph, a distribution of our net investment income to a non-U.S. stockholder will be subject to withholding tax at a 30% rate or such lower rate as may be specified by an applicable income tax treaty. In order to obtain a reduced rate of withholding, a non-U.S. stockholder will be required to provide an IRS Form W-8BEN (or substitute form) certifying his entitlement to benefits under a treaty.</w:t>
      </w:r>
    </w:p>
    <w:p>
      <w:pPr>
        <w:spacing w:after="0" w:line="141" w:lineRule="exact"/>
        <w:rPr>
          <w:sz w:val="20"/>
          <w:szCs w:val="20"/>
          <w:color w:val="auto"/>
        </w:rPr>
      </w:pPr>
    </w:p>
    <w:p>
      <w:pPr>
        <w:ind w:firstLine="209"/>
        <w:spacing w:after="0" w:line="252" w:lineRule="auto"/>
        <w:rPr>
          <w:sz w:val="20"/>
          <w:szCs w:val="20"/>
          <w:color w:val="auto"/>
        </w:rPr>
      </w:pPr>
      <w:r>
        <w:rPr>
          <w:rFonts w:ascii="Times New Roman" w:cs="Times New Roman" w:eastAsia="Times New Roman" w:hAnsi="Times New Roman"/>
          <w:sz w:val="14"/>
          <w:szCs w:val="14"/>
          <w:color w:val="auto"/>
        </w:rPr>
        <w:t>A non-U.S. stockholder generally will not be subject to U.S. federal income tax with respect to gain on the sale of our common stock, distributions made or deemed made by us out of net long-term capital gains or, in taxable years beginning before January 1, 2008, net short-term capital gains or “qualified interest income,” or amounts retained by us that are designated as undistributed capital gains. Distributions made by us prior to January 1, 2008 out of gain from the sale or other disposition of a “United States real property interest,” as defined in the Code, will be subject to withholding tax and the non-U.S. stockholder receiving the distribution will be required to file a U.S. federal income tax return where the non-U.S. stockholder owns more than 5% of our common stock at any time during the one-year period ending on the date of the distribution. In the case of a non-U.S. stockholder who is a nonresident alien individual, gain arising from the sale of our common stock, distributions made by us out of net long-term capital gains and amounts retained by us that are designated as undistributed capital gains ordinarily will be subject to U.S. federal income tax at a rate of 30% if such individual is present in the United States for 183 days or more during the taxable year and, in the case of gain arising from the sale of our common stock, either the gain is attributable to an office or other fixed place of business maintained by the stockholder in the United States or the stockholder has a “tax home” in the United States.</w:t>
      </w:r>
    </w:p>
    <w:p>
      <w:pPr>
        <w:spacing w:after="0" w:line="176" w:lineRule="exact"/>
        <w:rPr>
          <w:sz w:val="20"/>
          <w:szCs w:val="20"/>
          <w:color w:val="auto"/>
        </w:rPr>
      </w:pPr>
    </w:p>
    <w:p>
      <w:pPr>
        <w:ind w:right="100" w:firstLine="209"/>
        <w:spacing w:after="0" w:line="270" w:lineRule="auto"/>
        <w:rPr>
          <w:sz w:val="20"/>
          <w:szCs w:val="20"/>
          <w:color w:val="auto"/>
        </w:rPr>
      </w:pPr>
      <w:r>
        <w:rPr>
          <w:rFonts w:ascii="Times New Roman" w:cs="Times New Roman" w:eastAsia="Times New Roman" w:hAnsi="Times New Roman"/>
          <w:sz w:val="14"/>
          <w:szCs w:val="14"/>
          <w:color w:val="auto"/>
        </w:rPr>
        <w:t>The tax consequences to a non-U.S. stockholder entitled to claim the benefits of an applicable tax treaty may be different from those described herein. Non-U.S. stockholders are urged to consult their tax advisers with respect to the particular tax consequences to them of investment in our common stock.</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State, local and foreign taxes</w:t>
      </w:r>
    </w:p>
    <w:p>
      <w:pPr>
        <w:spacing w:after="0" w:line="199"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In addition to U.S. federal income taxes, our stockholders may be subject to state, local or foreign taxes on distributions from us and on repurchases of our common stock. Stockholders should consult their tax advisers as to the application of such taxes and as to the tax status of distributions from us and repurchases of our common stock in their own states and localities.</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40"/>
          </w:cols>
          <w:pgMar w:left="220" w:top="695"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COMMON STOCK</w:t>
      </w:r>
    </w:p>
    <w:p>
      <w:pPr>
        <w:spacing w:after="0" w:line="197" w:lineRule="exact"/>
        <w:rPr>
          <w:sz w:val="20"/>
          <w:szCs w:val="20"/>
          <w:color w:val="auto"/>
        </w:rPr>
      </w:pPr>
    </w:p>
    <w:p>
      <w:pPr>
        <w:ind w:right="480" w:firstLine="209"/>
        <w:spacing w:after="0" w:line="359" w:lineRule="auto"/>
        <w:rPr>
          <w:sz w:val="20"/>
          <w:szCs w:val="20"/>
          <w:color w:val="auto"/>
        </w:rPr>
      </w:pPr>
      <w:r>
        <w:rPr>
          <w:rFonts w:ascii="Times New Roman" w:cs="Times New Roman" w:eastAsia="Times New Roman" w:hAnsi="Times New Roman"/>
          <w:sz w:val="12"/>
          <w:szCs w:val="12"/>
          <w:i w:val="1"/>
          <w:iCs w:val="1"/>
          <w:color w:val="auto"/>
        </w:rPr>
        <w:t>The following description is based on relevant portions of the Maryland General Corporation Law and our governing documents, which we collectively refer to as our “governing documents.” This summary is not necessarily complete, and we refer you to the Maryland General Corporation Law and our governing documents for a more detailed description of the provisions summarized below.</w:t>
      </w:r>
    </w:p>
    <w:p>
      <w:pPr>
        <w:spacing w:after="0" w:line="112" w:lineRule="exact"/>
        <w:rPr>
          <w:sz w:val="20"/>
          <w:szCs w:val="20"/>
          <w:color w:val="auto"/>
        </w:rPr>
      </w:pPr>
    </w:p>
    <w:p>
      <w:pPr>
        <w:ind w:right="180" w:firstLine="209"/>
        <w:spacing w:after="0" w:line="256" w:lineRule="auto"/>
        <w:rPr>
          <w:sz w:val="20"/>
          <w:szCs w:val="20"/>
          <w:color w:val="auto"/>
        </w:rPr>
      </w:pPr>
      <w:r>
        <w:rPr>
          <w:rFonts w:ascii="Times New Roman" w:cs="Times New Roman" w:eastAsia="Times New Roman" w:hAnsi="Times New Roman"/>
          <w:sz w:val="14"/>
          <w:szCs w:val="14"/>
          <w:color w:val="auto"/>
        </w:rPr>
        <w:t>As of the completion of this offering, our authorized stock will consist of 100,000,000 shares of capital stock, $0.0001 par value per share, all of which are designated as shares of common stock. There is currently no market for our common stock, and we can offer no assurances that a market for our common stock will develop in the future. We have reserved the symbol “ ” for the trading of our common stock on the NASDAQ Global Market. There are no outstanding options or warrants to purchase our common stock. No shares of common stock have been authorized for issuance under any equity compensation plans. Under Maryland law, our stockholders generally are not personally liable for our debts or obligations.</w:t>
      </w:r>
    </w:p>
    <w:p>
      <w:pPr>
        <w:spacing w:after="0" w:line="171" w:lineRule="exact"/>
        <w:rPr>
          <w:sz w:val="20"/>
          <w:szCs w:val="20"/>
          <w:color w:val="auto"/>
        </w:rPr>
      </w:pPr>
    </w:p>
    <w:p>
      <w:pPr>
        <w:ind w:right="20" w:firstLine="209"/>
        <w:spacing w:after="0" w:line="260" w:lineRule="auto"/>
        <w:rPr>
          <w:sz w:val="20"/>
          <w:szCs w:val="20"/>
          <w:color w:val="auto"/>
        </w:rPr>
      </w:pPr>
      <w:r>
        <w:rPr>
          <w:rFonts w:ascii="Times New Roman" w:cs="Times New Roman" w:eastAsia="Times New Roman" w:hAnsi="Times New Roman"/>
          <w:sz w:val="14"/>
          <w:szCs w:val="14"/>
          <w:color w:val="auto"/>
        </w:rPr>
        <w:t>Under our governing documents, our board of directors is authorized to create new classes or series of shares of stock and to authorize the issuance of shares of stock without obtaining stockholder approval.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99" w:lineRule="exact"/>
        <w:rPr>
          <w:sz w:val="20"/>
          <w:szCs w:val="20"/>
          <w:color w:val="auto"/>
        </w:rPr>
      </w:pPr>
    </w:p>
    <w:p>
      <w:pPr>
        <w:ind w:right="460" w:firstLine="209"/>
        <w:spacing w:after="0" w:line="274" w:lineRule="auto"/>
        <w:rPr>
          <w:sz w:val="20"/>
          <w:szCs w:val="20"/>
          <w:color w:val="auto"/>
        </w:rPr>
      </w:pPr>
      <w:r>
        <w:rPr>
          <w:rFonts w:ascii="Times New Roman" w:cs="Times New Roman" w:eastAsia="Times New Roman" w:hAnsi="Times New Roman"/>
          <w:sz w:val="14"/>
          <w:szCs w:val="14"/>
          <w:color w:val="auto"/>
        </w:rPr>
        <w:t>Each share of our common stock has equal rights as to earnings, assets, dividends and voting and all of our outstanding shares of common stock are duly authorized, validly issued, fully paid and nonassessable. Distributions may be paid to the holders of our common stock if, as and when authorized by our board of directors and declared by us out of funds legally available therefor. Shares of our common stock have no preemptive, exchange, conversion or redemption rights</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4"/>
          <w:szCs w:val="14"/>
          <w:color w:val="auto"/>
        </w:rPr>
        <w:t>.</w:t>
      </w:r>
    </w:p>
    <w:p>
      <w:pPr>
        <w:spacing w:after="0" w:line="66" w:lineRule="exact"/>
        <w:rPr>
          <w:sz w:val="20"/>
          <w:szCs w:val="20"/>
          <w:color w:val="auto"/>
        </w:rPr>
      </w:pPr>
    </w:p>
    <w:p>
      <w:pPr>
        <w:ind w:right="40" w:firstLine="209"/>
        <w:spacing w:after="0" w:line="253" w:lineRule="auto"/>
        <w:rPr>
          <w:sz w:val="20"/>
          <w:szCs w:val="20"/>
          <w:color w:val="auto"/>
        </w:rPr>
      </w:pPr>
      <w:r>
        <w:rPr>
          <w:rFonts w:ascii="Times New Roman" w:cs="Times New Roman" w:eastAsia="Times New Roman" w:hAnsi="Times New Roman"/>
          <w:sz w:val="14"/>
          <w:szCs w:val="14"/>
          <w:color w:val="auto"/>
        </w:rPr>
        <w:t>In the event of a liquidation, dissolution or winding up of us, each share of common stock would be entitled to share ratably in all of our assets that are legally available for distribution after we pay all debts and other liabilities, subject to any preferential rights of holders of shares of our preferred stock, if any are outstanding at such time. Each share of our common stock entitles its holder to cast one vote on all matters submitted to a vote of stockholders, including the election and removal of directors and on certain other actions or transactions that have been declared advisable by our board of directors and recommended to the stockholders for their approval. Except as provided with respect to any other class or series of shares of stock, the holders of our common stock will possess exclusive voting power. There will be no cumulative voting in the election of directors, which means that holders of a majority of the outstanding shares of common stock will be able to elect all of our directors, and holders of less than a majority of such stock will be unable to elect any director.</w:t>
      </w:r>
    </w:p>
    <w:p>
      <w:pPr>
        <w:spacing w:after="0" w:line="175" w:lineRule="exact"/>
        <w:rPr>
          <w:sz w:val="20"/>
          <w:szCs w:val="20"/>
          <w:color w:val="auto"/>
        </w:rPr>
      </w:pPr>
    </w:p>
    <w:p>
      <w:pPr>
        <w:ind w:left="220"/>
        <w:spacing w:after="0"/>
        <w:tabs>
          <w:tab w:leader="none" w:pos="1560" w:val="left"/>
          <w:tab w:leader="none" w:pos="6520" w:val="left"/>
        </w:tabs>
        <w:rPr>
          <w:sz w:val="20"/>
          <w:szCs w:val="20"/>
          <w:color w:val="auto"/>
        </w:rPr>
      </w:pPr>
      <w:r>
        <w:rPr>
          <w:rFonts w:ascii="Times New Roman" w:cs="Times New Roman" w:eastAsia="Times New Roman" w:hAnsi="Times New Roman"/>
          <w:sz w:val="14"/>
          <w:szCs w:val="14"/>
          <w:color w:val="auto"/>
        </w:rPr>
        <w:t>We currently have</w:t>
      </w:r>
      <w:r>
        <w:rPr>
          <w:sz w:val="20"/>
          <w:szCs w:val="20"/>
          <w:color w:val="auto"/>
        </w:rPr>
        <w:tab/>
      </w:r>
      <w:r>
        <w:rPr>
          <w:rFonts w:ascii="Times New Roman" w:cs="Times New Roman" w:eastAsia="Times New Roman" w:hAnsi="Times New Roman"/>
          <w:sz w:val="14"/>
          <w:szCs w:val="14"/>
          <w:color w:val="auto"/>
        </w:rPr>
        <w:t>shares of common stock outstanding. Upon completion of this offering, we will have</w:t>
      </w:r>
      <w:r>
        <w:rPr>
          <w:sz w:val="20"/>
          <w:szCs w:val="20"/>
          <w:color w:val="auto"/>
        </w:rPr>
        <w:tab/>
      </w:r>
      <w:r>
        <w:rPr>
          <w:rFonts w:ascii="Times New Roman" w:cs="Times New Roman" w:eastAsia="Times New Roman" w:hAnsi="Times New Roman"/>
          <w:sz w:val="12"/>
          <w:szCs w:val="12"/>
          <w:color w:val="auto"/>
        </w:rPr>
        <w:t>shares of common stock outstanding.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9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Our governing documents, authorize our board of directors to classify and reclassify any unissued shares of stock into other classes or series of stock, including preferred stock. Prior to the issuance of shares of stock of each class or series, the board of directors is required by our governing documents to set the terms, preferences, conversion or other rights, voting powers, restrictions, limitations as to dividends or other distributions, qualifications and terms or conditions of redemption for each class or series of shares of stock. Thus, the board of directors could authorize the issuance of preferred stock with terms and conditions that could have the effect of</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0" w:right="239" w:bottom="1440" w:gutter="0" w:footer="0" w:header="0"/>
        </w:sectPr>
      </w:pPr>
    </w:p>
    <w:bookmarkStart w:id="97" w:name="page98"/>
    <w:bookmarkEnd w:id="97"/>
    <w:p>
      <w:pPr>
        <w:ind w:right="20"/>
        <w:spacing w:after="0" w:line="252" w:lineRule="auto"/>
        <w:rPr>
          <w:sz w:val="20"/>
          <w:szCs w:val="20"/>
          <w:color w:val="auto"/>
        </w:rPr>
      </w:pPr>
      <w:r>
        <w:rPr>
          <w:rFonts w:ascii="Times New Roman" w:cs="Times New Roman" w:eastAsia="Times New Roman" w:hAnsi="Times New Roman"/>
          <w:sz w:val="14"/>
          <w:szCs w:val="14"/>
          <w:color w:val="auto"/>
        </w:rPr>
        <w:t>delaying, deferring or preventing a transaction or a change in control that might involve a premium price for holders of our common stock or otherwise be in their best interest. In addition, as a BDC,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the aggregate dividend or distribution on, or purchase price of such shares of preferred stock together with all other indebtedness and senior securities must not exceed an amount equal to 50% of our total assets after deducting the amount of such dividend, distribution or purchase price, as the case may be, and (2) the holders of preferred stock, if any are issued, must be entitled as a class to elect two directors at all times and to elect a majority of the directors if dividends on such preferred stock is in arrears by two years or more. Certain matters under the 1940 Act require the separate vote of the holders of any issued and outstanding shares of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19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The Maryland General Corporation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governing documents contain a provision which eliminates directors’ and officers’ liability to the maximum extent permitted by the Maryland General Corporation Law, subject to the requirements of the 1940 Act.</w:t>
      </w:r>
    </w:p>
    <w:p>
      <w:pPr>
        <w:spacing w:after="0" w:line="171" w:lineRule="exact"/>
        <w:rPr>
          <w:sz w:val="20"/>
          <w:szCs w:val="20"/>
          <w:color w:val="auto"/>
        </w:rPr>
      </w:pPr>
    </w:p>
    <w:p>
      <w:pPr>
        <w:ind w:right="40" w:firstLine="209"/>
        <w:spacing w:after="0" w:line="252"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73"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Our charter authorizes, and its bylaws obligate us, to the maximum extent permitted by Maryland law and subject to any applicable requirements of the 1940 Act, to indemnify any present or former director or officer or any individual who, while a director or officer and at our request, serves or has served another corporation, real estate investment trust, partnership, limited liability company, joint venture, trust, employee benefit plan or other enterprise as a director, officer, partner, manager or trustee, from and against any claim or liability to which that person may become subject for which that person may incur by reason of his or her service in such capacity and to pay or reimburse his or her reasonable expenses in advance of final disposition of a proceeding. Our charter and bylaws also permit indemnification and the advancement of expenses to any person who served as predecessor to GSC Investment Corp. in any of the capacities described above and any of our employees or agents or any employees or agents of such predecessor.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674" w:right="239" w:bottom="1440" w:gutter="0" w:footer="0" w:header="0"/>
        </w:sectPr>
      </w:pPr>
    </w:p>
    <w:bookmarkStart w:id="98" w:name="page99"/>
    <w:bookmarkEnd w:id="98"/>
    <w:p>
      <w:pPr>
        <w:ind w:right="220" w:firstLine="209"/>
        <w:spacing w:after="0" w:line="270" w:lineRule="auto"/>
        <w:rPr>
          <w:sz w:val="20"/>
          <w:szCs w:val="20"/>
          <w:color w:val="auto"/>
        </w:rPr>
      </w:pPr>
      <w:r>
        <w:rPr>
          <w:rFonts w:ascii="Times New Roman" w:cs="Times New Roman" w:eastAsia="Times New Roman" w:hAnsi="Times New Roman"/>
          <w:sz w:val="14"/>
          <w:szCs w:val="14"/>
          <w:color w:val="auto"/>
        </w:rPr>
        <w:t>As a BDC, and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61" w:lineRule="exact"/>
        <w:rPr>
          <w:sz w:val="20"/>
          <w:szCs w:val="20"/>
          <w:color w:val="auto"/>
        </w:rPr>
      </w:pPr>
    </w:p>
    <w:p>
      <w:pPr>
        <w:ind w:right="20" w:firstLine="209"/>
        <w:spacing w:after="0" w:line="254" w:lineRule="auto"/>
        <w:rPr>
          <w:sz w:val="20"/>
          <w:szCs w:val="20"/>
          <w:color w:val="auto"/>
        </w:rPr>
      </w:pPr>
      <w:r>
        <w:rPr>
          <w:rFonts w:ascii="Times New Roman" w:cs="Times New Roman" w:eastAsia="Times New Roman" w:hAnsi="Times New Roman"/>
          <w:sz w:val="14"/>
          <w:szCs w:val="14"/>
          <w:color w:val="auto"/>
        </w:rPr>
        <w:t>In addition to the indemnification provided for in our bylaws, we have entered into indemnification agreements with each of our current directors and officers and with members of our investment adviser’s investment committee and we intend to enter into indemnification agreements with each of our future directors and officers. The indemnification agreements attempt to provide these directors and senior officers the maximum indemnification permitted under Maryland law and the 1940 Act. The agreements provide, among other things, for the advancement of expenses and indemnification for liabilities incurred which such person may incur by reason of his or her status as a present or former director or officer or member of our investment adviser’s investment committee in any action or proceeding arising out of the performance of such person’s services as a present or former director or officer or member of our investment adviser’s investment committee.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 of our governing documents and the Maryland General Corporation Law</w:t>
      </w:r>
    </w:p>
    <w:p>
      <w:pPr>
        <w:spacing w:after="0" w:line="19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Our governing documents, and the Maryland General Corporation Law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99" w:lineRule="exact"/>
        <w:rPr>
          <w:sz w:val="20"/>
          <w:szCs w:val="20"/>
          <w:color w:val="auto"/>
        </w:rPr>
      </w:pPr>
    </w:p>
    <w:p>
      <w:pPr>
        <w:ind w:right="240" w:firstLine="209"/>
        <w:spacing w:after="0" w:line="254" w:lineRule="auto"/>
        <w:rPr>
          <w:sz w:val="20"/>
          <w:szCs w:val="20"/>
          <w:color w:val="auto"/>
        </w:rPr>
      </w:pPr>
      <w:r>
        <w:rPr>
          <w:rFonts w:ascii="Times New Roman" w:cs="Times New Roman" w:eastAsia="Times New Roman" w:hAnsi="Times New Roman"/>
          <w:sz w:val="14"/>
          <w:szCs w:val="14"/>
          <w:color w:val="auto"/>
        </w:rPr>
        <w:t>Our board of directors is divided into three classes of directors serving staggered three-year terms. The initial terms of the first, second and third classes will expire in the first, second and third years, respectively, after our organization, or at our 2007, 2008 and 2009 arrival meetings of stockholders. Beginning at our 2007 annual meeting of stockholders,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Number of directors; vacancies; removal</w:t>
      </w:r>
    </w:p>
    <w:p>
      <w:pPr>
        <w:spacing w:after="0" w:line="199"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Our governing documents provide that the number of directors will be set only by our board of directors in accordance with our bylaws. Our bylaws provide that a majority of our entire board of directors may at any time increase or decrease the number of directors. However, unless our bylaws are amended, the number of directors may never be less than three nor more than eleven. Our charter provides that, except as may be provided by the board of directors in setting the terms of any class or series of shares of stock, any and all vacancies on the board of directors may be filled only by the affirmative vote of a majority of the remaining directors in office, even if the remaining directors do not constitute a quorum. If there are no directors then in office, vacancies may be filled by stockholders at a special meeting called for such purpose. Any director elected to fill a vacancy will serve for the remainder of the full term of the directorship in which the vacancy occurred and until a successor is elected and qualifies, subject to any applicable requirements of the 1940 Act. Our charter provides that a director may be removed only by the affirmative vote of at least two-thirds of the votes entitled to be cast generally in the election of directors.</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Our charter and bylaws provide that the affirmative vote of the holders of a majority of the outstanding shares of stock entitled to vote in the election of directors will be required to elect each director.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our charter and bylaws, our Board of Directors may amend the bylaws to alter the vote required to elect directors.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sectPr>
      </w:pPr>
    </w:p>
    <w:bookmarkStart w:id="99" w:name="page100"/>
    <w:bookmarkEnd w:id="99"/>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Action by stockholders</w:t>
      </w:r>
    </w:p>
    <w:p>
      <w:pPr>
        <w:spacing w:after="0" w:line="199" w:lineRule="exact"/>
        <w:rPr>
          <w:sz w:val="20"/>
          <w:szCs w:val="20"/>
          <w:color w:val="auto"/>
        </w:rPr>
      </w:pPr>
    </w:p>
    <w:p>
      <w:pPr>
        <w:ind w:right="40" w:firstLine="209"/>
        <w:spacing w:after="0" w:line="277" w:lineRule="auto"/>
        <w:rPr>
          <w:sz w:val="20"/>
          <w:szCs w:val="20"/>
          <w:color w:val="auto"/>
        </w:rPr>
      </w:pPr>
      <w:r>
        <w:rPr>
          <w:rFonts w:ascii="Times New Roman" w:cs="Times New Roman" w:eastAsia="Times New Roman" w:hAnsi="Times New Roman"/>
          <w:sz w:val="14"/>
          <w:szCs w:val="14"/>
          <w:color w:val="auto"/>
        </w:rPr>
        <w:t>All of our outstanding shares of common stock will generally be able to vote on any matter that is a proper subject for action by the stockholders of a Maryland corporation, including in respect of the election or removal of directors as well as other extraordinary matters. Under the Maryland General Corporation Law, stockholder action can be taken only at an annual or special meeting of stockholders or by written or electronically-transmitted consent in lieu of a meeting. These provisions, combined with the requirements of our governing documents regarding the calling of a stockholder-requested special meeting of stockholder discussed below, may have the effect of delaying consideration of a stockholder proposal until the next annual meeting.</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provisions for stockholder nominations and stockholder proposals</w:t>
      </w:r>
    </w:p>
    <w:p>
      <w:pPr>
        <w:spacing w:after="0" w:line="199"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Our bylaws provide that, with respect to an annual meeting of our stockholders, nominations of individuals for election to the board of directors and the proposal of business to be considered by stockholders may be made only (1) pursuant to our notice of the meeting, (2) by the board of directors, (3) by a stockholder who is a stockholder of record both at the time of its giving notice and at the time of the annual meeting, who is entitled to vote at the meeting and who has complied with the advance notice procedures of the bylaws. With respect to special meetings of stockholders, only the business specified in our notice of the meeting may be brought before the meeting. Nominations of individuals for election to the board of directors at a special meeting may be made only (1) pursuant to our notice of the meeting, (2) by the board of directors, (3) provided that the board of directors has determined that directors will be elected at the meeting, by a stockholder who is entitled to vote at the meeting and who has complied with the advance notice provisions of our bylaws or (4) by a stockholder who is entitled to vote at the meeting in circumstances in which a special meeting of stockholders is called for the purpose of electing directors when no directors remain in office.</w:t>
      </w:r>
    </w:p>
    <w:p>
      <w:pPr>
        <w:spacing w:after="0" w:line="173" w:lineRule="exact"/>
        <w:rPr>
          <w:sz w:val="20"/>
          <w:szCs w:val="20"/>
          <w:color w:val="auto"/>
        </w:rPr>
      </w:pPr>
    </w:p>
    <w:p>
      <w:pPr>
        <w:ind w:right="120" w:firstLine="209"/>
        <w:spacing w:after="0" w:line="253"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Calling of special meetings of stockholders</w:t>
      </w:r>
    </w:p>
    <w:p>
      <w:pPr>
        <w:spacing w:after="0" w:line="199" w:lineRule="exact"/>
        <w:rPr>
          <w:sz w:val="20"/>
          <w:szCs w:val="20"/>
          <w:color w:val="auto"/>
        </w:rPr>
      </w:pPr>
    </w:p>
    <w:p>
      <w:pPr>
        <w:ind w:right="80" w:firstLine="209"/>
        <w:spacing w:after="0" w:line="256" w:lineRule="auto"/>
        <w:rPr>
          <w:sz w:val="20"/>
          <w:szCs w:val="20"/>
          <w:color w:val="auto"/>
        </w:rPr>
      </w:pPr>
      <w:r>
        <w:rPr>
          <w:rFonts w:ascii="Times New Roman" w:cs="Times New Roman" w:eastAsia="Times New Roman" w:hAnsi="Times New Roman"/>
          <w:sz w:val="14"/>
          <w:szCs w:val="14"/>
          <w:color w:val="auto"/>
        </w:rPr>
        <w:t>Our bylaws provide that special meetings of our stockholders may be called by our board of directors and certain of our officers. Additionally, our bylaws provide that, subject to the satisfaction of certain procedural and informational requirements by the stockholders requesting the meeting, a special meeting of our stockholders will be called by our secretary upon the written request of stockholders entitled to cast not less than a majority of all the votes entitled to be cast at such meeting, except that, if no directors remain in office, a special meeting of our stockholders shall be called to elect directors by the secretary upon the written request of holders entitled to cast at least 10% of the votes entitled to be cast generally in the election of directors.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Amendment of governing documents</w:t>
      </w:r>
    </w:p>
    <w:p>
      <w:pPr>
        <w:spacing w:after="0" w:line="199" w:lineRule="exact"/>
        <w:rPr>
          <w:sz w:val="20"/>
          <w:szCs w:val="20"/>
          <w:color w:val="auto"/>
        </w:rPr>
      </w:pPr>
    </w:p>
    <w:p>
      <w:pPr>
        <w:ind w:right="180" w:firstLine="209"/>
        <w:spacing w:after="0" w:line="260"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or amend its charter unless the corporation’s board of directors declares the dissolution or amendment to be advisable and the dissolution or amendment is approved by the affirmative vote of stockholders entitled to cast at least two-thirds of the votes entitled to be cast on the matter. A Maryland corporation may provide in its charter for approval of these matters by a lesser percentage, but not less than a majority of all of the votes entitled to be cast on the matter. Our charter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1" w:right="219" w:bottom="1440" w:gutter="0" w:footer="0" w:header="0"/>
        </w:sectPr>
      </w:pPr>
    </w:p>
    <w:bookmarkStart w:id="100" w:name="page101"/>
    <w:bookmarkEnd w:id="100"/>
    <w:p>
      <w:pPr>
        <w:spacing w:after="0" w:line="253" w:lineRule="auto"/>
        <w:rPr>
          <w:sz w:val="20"/>
          <w:szCs w:val="20"/>
          <w:color w:val="auto"/>
        </w:rPr>
      </w:pPr>
      <w:r>
        <w:rPr>
          <w:rFonts w:ascii="Times New Roman" w:cs="Times New Roman" w:eastAsia="Times New Roman" w:hAnsi="Times New Roman"/>
          <w:sz w:val="14"/>
          <w:szCs w:val="14"/>
          <w:color w:val="auto"/>
        </w:rPr>
        <w:t>generally provides for approval of amendments to our charter by the stockholders entitled to cast at least a majority of the votes entitled to be cast on the matter. However, our charter also provides that certain charter amendments and proposals for our liquidation, dissolution or conversion, whether by merger or otherwise, from a closed-end company to an open-end company require the approval of the stockholders entitled to cast at least two- thirds percent of the votes entitled to be cast on such matter.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as defined in our charter, our current directors as well as those directors whose nomination for election by the stockholders or whose election by the directors to fill vacancies is approved by a majority of the continuing directors then on the board of directors.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Our governing documents provide that the board of directors has the exclusive power to adopt, alter or repeal any provision of our bylaws and to make new bylaws.</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Approval of extraordinary actions</w:t>
      </w:r>
    </w:p>
    <w:p>
      <w:pPr>
        <w:spacing w:after="0" w:line="199" w:lineRule="exact"/>
        <w:rPr>
          <w:sz w:val="20"/>
          <w:szCs w:val="20"/>
          <w:color w:val="auto"/>
        </w:rPr>
      </w:pPr>
    </w:p>
    <w:p>
      <w:pPr>
        <w:ind w:right="160" w:firstLine="209"/>
        <w:spacing w:after="0" w:line="256"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merge, sell all or substantially all of its assets, engage in a consolidation or share exchange or engage in similar transactions outside the ordinary course of business, unless the corporation’s board of directors declares action or transaction to be advisable and the action or transaction is approved by the affirmative vote of stockholders entitled to cast at least two-thirds of the votes entitled to be cast on the matter. A Maryland corporation may provide in its charter for approval of these matters by a lesser percentage, but not less than a majority of all of the votes entitled to be cast on the matter.</w:t>
      </w:r>
    </w:p>
    <w:p>
      <w:pPr>
        <w:spacing w:after="0" w:line="171" w:lineRule="exact"/>
        <w:rPr>
          <w:sz w:val="20"/>
          <w:szCs w:val="20"/>
          <w:color w:val="auto"/>
        </w:rPr>
      </w:pPr>
    </w:p>
    <w:p>
      <w:pPr>
        <w:ind w:right="200" w:firstLine="209"/>
        <w:spacing w:after="0" w:line="302" w:lineRule="auto"/>
        <w:rPr>
          <w:sz w:val="20"/>
          <w:szCs w:val="20"/>
          <w:color w:val="auto"/>
        </w:rPr>
      </w:pPr>
      <w:r>
        <w:rPr>
          <w:rFonts w:ascii="Times New Roman" w:cs="Times New Roman" w:eastAsia="Times New Roman" w:hAnsi="Times New Roman"/>
          <w:sz w:val="14"/>
          <w:szCs w:val="14"/>
          <w:color w:val="auto"/>
        </w:rPr>
        <w:t>Our charter provides that we may merge, sell all or substantially all of our assets, engage in a consolidation or share exchange or engage in similar transactions, if such transaction is declared advisable by our board of directors and approved by a majority of all of the votes entitled to be cast on the matter.</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199" w:lineRule="exact"/>
        <w:rPr>
          <w:sz w:val="20"/>
          <w:szCs w:val="20"/>
          <w:color w:val="auto"/>
        </w:rPr>
      </w:pPr>
    </w:p>
    <w:p>
      <w:pPr>
        <w:ind w:right="420" w:firstLine="209"/>
        <w:spacing w:after="0" w:line="270"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Maryland Control Share Acquisition Act discussed below, as permitted by the Maryland General Corporation Law, our governing documents provide that our stockholders will not be entitled to exercise appraisal rights unless a majority of our board of directors determines that such rights will apply.</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199" w:lineRule="exact"/>
        <w:rPr>
          <w:sz w:val="20"/>
          <w:szCs w:val="20"/>
          <w:color w:val="auto"/>
        </w:rPr>
      </w:pPr>
    </w:p>
    <w:p>
      <w:pPr>
        <w:ind w:right="140" w:firstLine="209"/>
        <w:spacing w:after="0" w:line="256" w:lineRule="auto"/>
        <w:rPr>
          <w:sz w:val="20"/>
          <w:szCs w:val="20"/>
          <w:color w:val="auto"/>
        </w:rPr>
      </w:pPr>
      <w:r>
        <w:rPr>
          <w:rFonts w:ascii="Times New Roman" w:cs="Times New Roman" w:eastAsia="Times New Roman" w:hAnsi="Times New Roman"/>
          <w:sz w:val="14"/>
          <w:szCs w:val="14"/>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one-tenth or more but less than one-third;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one-third or more but less than a majority;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 majority or more of all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right="260" w:firstLine="209"/>
        <w:spacing w:after="0" w:line="270" w:lineRule="auto"/>
        <w:rPr>
          <w:sz w:val="20"/>
          <w:szCs w:val="20"/>
          <w:color w:val="auto"/>
        </w:rPr>
      </w:pPr>
      <w:r>
        <w:rPr>
          <w:rFonts w:ascii="Times New Roman" w:cs="Times New Roman" w:eastAsia="Times New Roman" w:hAnsi="Times New Roman"/>
          <w:sz w:val="14"/>
          <w:szCs w:val="14"/>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101" w:name="page102"/>
    <w:bookmarkEnd w:id="101"/>
    <w:p>
      <w:pPr>
        <w:jc w:val="both"/>
        <w:ind w:right="60" w:firstLine="209"/>
        <w:spacing w:after="0" w:line="260"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 meeting.</w:t>
      </w:r>
    </w:p>
    <w:p>
      <w:pPr>
        <w:spacing w:after="0" w:line="168"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which will prohibit any such repurchase other than in limited circumstances.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75" w:lineRule="exact"/>
        <w:rPr>
          <w:sz w:val="20"/>
          <w:szCs w:val="20"/>
          <w:color w:val="auto"/>
        </w:rPr>
      </w:pPr>
    </w:p>
    <w:p>
      <w:pPr>
        <w:ind w:right="520" w:firstLine="209"/>
        <w:spacing w:after="0" w:line="270" w:lineRule="auto"/>
        <w:rPr>
          <w:sz w:val="20"/>
          <w:szCs w:val="20"/>
          <w:color w:val="auto"/>
        </w:rPr>
      </w:pPr>
      <w:r>
        <w:rPr>
          <w:rFonts w:ascii="Times New Roman" w:cs="Times New Roman" w:eastAsia="Times New Roman" w:hAnsi="Times New Roman"/>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61" w:lineRule="exact"/>
        <w:rPr>
          <w:sz w:val="20"/>
          <w:szCs w:val="20"/>
          <w:color w:val="auto"/>
        </w:rPr>
      </w:pPr>
    </w:p>
    <w:p>
      <w:pPr>
        <w:ind w:right="40" w:firstLine="209"/>
        <w:spacing w:after="0" w:line="260" w:lineRule="auto"/>
        <w:rPr>
          <w:sz w:val="20"/>
          <w:szCs w:val="20"/>
          <w:color w:val="auto"/>
        </w:rPr>
      </w:pPr>
      <w:r>
        <w:rPr>
          <w:rFonts w:ascii="Times New Roman" w:cs="Times New Roman" w:eastAsia="Times New Roman" w:hAnsi="Times New Roman"/>
          <w:sz w:val="14"/>
          <w:szCs w:val="14"/>
          <w:color w:val="auto"/>
        </w:rPr>
        <w:t>Our bylaws contain a provision exempting from the Control Share Acquisition Act any and all acquisitions by any person of our common stock. Such provision could also be amended or eliminated at any time in the future. However, we will amend our bylaws to be subject to the Control Share Acquisition Act only if the board of directors determines that it would be in our best interests and that our being subject to the Control Share Acquisition Act does not conflict with the 1940 Act.</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99" w:lineRule="exact"/>
        <w:rPr>
          <w:sz w:val="20"/>
          <w:szCs w:val="20"/>
          <w:color w:val="auto"/>
        </w:rPr>
      </w:pPr>
    </w:p>
    <w:p>
      <w:pPr>
        <w:jc w:val="both"/>
        <w:ind w:firstLine="209"/>
        <w:spacing w:after="0" w:line="260"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any person who beneficially owns 10% or more of the voting power of the corporation’s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right="100"/>
        <w:spacing w:after="0" w:line="302" w:lineRule="auto"/>
        <w:rPr>
          <w:sz w:val="20"/>
          <w:szCs w:val="20"/>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9" w:lineRule="exact"/>
        <w:rPr>
          <w:sz w:val="20"/>
          <w:szCs w:val="20"/>
          <w:color w:val="auto"/>
        </w:rPr>
      </w:pPr>
    </w:p>
    <w:p>
      <w:pPr>
        <w:ind w:right="240" w:firstLine="209"/>
        <w:spacing w:after="0" w:line="356" w:lineRule="auto"/>
        <w:rPr>
          <w:sz w:val="20"/>
          <w:szCs w:val="20"/>
          <w:color w:val="auto"/>
        </w:rPr>
      </w:pPr>
      <w:r>
        <w:rPr>
          <w:rFonts w:ascii="Times New Roman" w:cs="Times New Roman" w:eastAsia="Times New Roman" w:hAnsi="Times New Roman"/>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14" w:lineRule="exact"/>
        <w:rPr>
          <w:sz w:val="20"/>
          <w:szCs w:val="20"/>
          <w:color w:val="auto"/>
        </w:rPr>
      </w:pPr>
    </w:p>
    <w:p>
      <w:pPr>
        <w:ind w:right="20" w:firstLine="209"/>
        <w:spacing w:after="0" w:line="270"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80% of the votes entitled to be cast by holders of outstanding shares of voting stock of the 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sectPr>
      </w:pPr>
    </w:p>
    <w:bookmarkStart w:id="102" w:name="page103"/>
    <w:bookmarkEnd w:id="102"/>
    <w:p>
      <w:pPr>
        <w:ind w:left="420" w:right="20"/>
        <w:spacing w:after="0" w:line="302" w:lineRule="auto"/>
        <w:rPr>
          <w:sz w:val="20"/>
          <w:szCs w:val="20"/>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9" w:lineRule="exact"/>
        <w:rPr>
          <w:sz w:val="20"/>
          <w:szCs w:val="20"/>
          <w:color w:val="auto"/>
        </w:rPr>
      </w:pPr>
    </w:p>
    <w:p>
      <w:pPr>
        <w:ind w:right="60" w:firstLine="209"/>
        <w:spacing w:after="0" w:line="270" w:lineRule="auto"/>
        <w:rPr>
          <w:sz w:val="20"/>
          <w:szCs w:val="20"/>
          <w:color w:val="auto"/>
        </w:rPr>
      </w:pPr>
      <w:r>
        <w:rPr>
          <w:rFonts w:ascii="Times New Roman" w:cs="Times New Roman" w:eastAsia="Times New Roman" w:hAnsi="Times New Roman"/>
          <w:sz w:val="14"/>
          <w:szCs w:val="14"/>
          <w:color w:val="auto"/>
        </w:rPr>
        <w:t>These super-majority vote requirements do not apply if the corporation’s stockholders receive a minimum price, as defined under Maryland law, for their shares in the form of cash or other consideration in the same form as previously paid by the interested stockholder for its shares.</w:t>
      </w:r>
    </w:p>
    <w:p>
      <w:pPr>
        <w:spacing w:after="0" w:line="161" w:lineRule="exact"/>
        <w:rPr>
          <w:sz w:val="20"/>
          <w:szCs w:val="20"/>
          <w:color w:val="auto"/>
        </w:rPr>
      </w:pPr>
    </w:p>
    <w:p>
      <w:pPr>
        <w:jc w:val="both"/>
        <w:ind w:firstLine="209"/>
        <w:spacing w:after="0" w:line="256" w:lineRule="auto"/>
        <w:rPr>
          <w:sz w:val="20"/>
          <w:szCs w:val="20"/>
          <w:color w:val="auto"/>
        </w:rPr>
      </w:pPr>
      <w:r>
        <w:rPr>
          <w:rFonts w:ascii="Times New Roman" w:cs="Times New Roman" w:eastAsia="Times New Roman" w:hAnsi="Times New Roman"/>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exempting from the provisions of the Maryland Business Combination Act any business combination between us and any other person. If our board of directors adopts resolutions causing us to be subject to the provisions of the Business Combination Act, these provisions may discourage others from trying to acquire control of us and increase the difficulty of consummating any offer.</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Conflict with 1940 Act</w:t>
      </w:r>
    </w:p>
    <w:p>
      <w:pPr>
        <w:spacing w:after="0" w:line="199" w:lineRule="exact"/>
        <w:rPr>
          <w:sz w:val="20"/>
          <w:szCs w:val="20"/>
          <w:color w:val="auto"/>
        </w:rPr>
      </w:pPr>
    </w:p>
    <w:p>
      <w:pPr>
        <w:ind w:right="140" w:firstLine="209"/>
        <w:spacing w:after="0" w:line="270" w:lineRule="auto"/>
        <w:rPr>
          <w:sz w:val="20"/>
          <w:szCs w:val="20"/>
          <w:color w:val="auto"/>
        </w:rPr>
      </w:pPr>
      <w:r>
        <w:rPr>
          <w:rFonts w:ascii="Times New Roman" w:cs="Times New Roman" w:eastAsia="Times New Roman" w:hAnsi="Times New Roman"/>
          <w:sz w:val="14"/>
          <w:szCs w:val="14"/>
          <w:color w:val="auto"/>
        </w:rPr>
        <w:t>Our bylaws provide that, if and to the extent that any provision of the Maryland General Corporation Law, including the Control Share Acquisition Act or the Business Combination Act (if we amend our bylaws to be subject to such Acts), or any provision of our charter or bylaws conflicts with any provision of the 1940 Act, the applicable provision of the 1940 Act will control.</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00"/>
          </w:cols>
          <w:pgMar w:left="220" w:top="506" w:right="27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199" w:lineRule="exact"/>
        <w:rPr>
          <w:sz w:val="20"/>
          <w:szCs w:val="20"/>
          <w:color w:val="auto"/>
        </w:rPr>
      </w:pPr>
    </w:p>
    <w:p>
      <w:pPr>
        <w:ind w:right="60" w:firstLine="209"/>
        <w:spacing w:after="0" w:line="253" w:lineRule="auto"/>
        <w:rPr>
          <w:sz w:val="20"/>
          <w:szCs w:val="20"/>
          <w:color w:val="auto"/>
        </w:rPr>
      </w:pPr>
      <w:r>
        <w:rPr>
          <w:rFonts w:ascii="Times New Roman" w:cs="Times New Roman" w:eastAsia="Times New Roman" w:hAnsi="Times New Roman"/>
          <w:sz w:val="14"/>
          <w:szCs w:val="14"/>
          <w:color w:val="auto"/>
        </w:rPr>
        <w:t>Prior to the completion of this offering, we will elect to be treated as a BDC under the 1940 Act. As with other companies regulated by the 1940 Act, a BDC must adhere to certain substantive regulatory requirements. The 1940 Act contains prohibitions and restrictions relating to transactions between BDCs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stock present at a meeting if more than 50% of the outstanding stock of such company are present and represented by proxy or (ii) more than 50% of the outstanding stock of such company.</w:t>
      </w:r>
    </w:p>
    <w:p>
      <w:pPr>
        <w:spacing w:after="0" w:line="175" w:lineRule="exact"/>
        <w:rPr>
          <w:sz w:val="20"/>
          <w:szCs w:val="20"/>
          <w:color w:val="auto"/>
        </w:rPr>
      </w:pPr>
    </w:p>
    <w:p>
      <w:pPr>
        <w:ind w:firstLine="209"/>
        <w:spacing w:after="0" w:line="301" w:lineRule="auto"/>
        <w:rPr>
          <w:sz w:val="20"/>
          <w:szCs w:val="20"/>
          <w:color w:val="auto"/>
        </w:rPr>
      </w:pPr>
      <w:r>
        <w:rPr>
          <w:rFonts w:ascii="Times New Roman" w:cs="Times New Roman" w:eastAsia="Times New Roman" w:hAnsi="Times New Roman"/>
          <w:sz w:val="12"/>
          <w:szCs w:val="12"/>
          <w:color w:val="auto"/>
        </w:rPr>
        <w:t>We may invest up to 100% of our assets in securities acquired directly from issuers in privately negotiated transactions. With respect to such securities, we may, for the purpose of public resale, be deemed a “principal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investment companies in general. With regard to that portion of our portfolio invested in securities issued by investment companies, it should be noted that such investments might subject our stockholders to additional expenses. None of these policies are fundamental and may be changed without stockholder approval.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Qualifying assets</w:t>
      </w:r>
    </w:p>
    <w:p>
      <w:pPr>
        <w:spacing w:after="0" w:line="199" w:lineRule="exact"/>
        <w:rPr>
          <w:sz w:val="20"/>
          <w:szCs w:val="20"/>
          <w:color w:val="auto"/>
        </w:rPr>
      </w:pPr>
    </w:p>
    <w:p>
      <w:pPr>
        <w:ind w:right="280" w:firstLine="209"/>
        <w:spacing w:after="0" w:line="270" w:lineRule="auto"/>
        <w:rPr>
          <w:sz w:val="20"/>
          <w:szCs w:val="20"/>
          <w:color w:val="auto"/>
        </w:rPr>
      </w:pPr>
      <w:r>
        <w:rPr>
          <w:rFonts w:ascii="Times New Roman" w:cs="Times New Roman" w:eastAsia="Times New Roman" w:hAnsi="Times New Roman"/>
          <w:sz w:val="14"/>
          <w:szCs w:val="14"/>
          <w:color w:val="auto"/>
        </w:rPr>
        <w:t>Under the 1940 Act, a BDC may not acquire any asset other than assets of the type listed in Section 5S(a)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140" w:lineRule="exact"/>
        <w:rPr>
          <w:sz w:val="20"/>
          <w:szCs w:val="20"/>
          <w:color w:val="auto"/>
        </w:rPr>
      </w:pPr>
    </w:p>
    <w:p>
      <w:pPr>
        <w:ind w:left="1160" w:right="20" w:hanging="581"/>
        <w:spacing w:after="0" w:line="260" w:lineRule="auto"/>
        <w:tabs>
          <w:tab w:leader="none" w:pos="1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67" w:lineRule="exact"/>
        <w:rPr>
          <w:rFonts w:ascii="Times New Roman" w:cs="Times New Roman" w:eastAsia="Times New Roman" w:hAnsi="Times New Roman"/>
          <w:sz w:val="14"/>
          <w:szCs w:val="14"/>
          <w:color w:val="auto"/>
        </w:rPr>
      </w:pPr>
    </w:p>
    <w:p>
      <w:pPr>
        <w:ind w:left="1740" w:hanging="585"/>
        <w:spacing w:after="0"/>
        <w:tabs>
          <w:tab w:leader="none" w:pos="17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organized under the laws of, and has its principal place of business in, the United States;</w:t>
      </w:r>
    </w:p>
    <w:p>
      <w:pPr>
        <w:spacing w:after="0" w:line="215" w:lineRule="exact"/>
        <w:rPr>
          <w:rFonts w:ascii="Times New Roman" w:cs="Times New Roman" w:eastAsia="Times New Roman" w:hAnsi="Times New Roman"/>
          <w:sz w:val="14"/>
          <w:szCs w:val="14"/>
          <w:color w:val="auto"/>
        </w:rPr>
      </w:pPr>
    </w:p>
    <w:p>
      <w:pPr>
        <w:ind w:left="1740" w:right="140" w:hanging="585"/>
        <w:spacing w:after="0" w:line="270" w:lineRule="auto"/>
        <w:tabs>
          <w:tab w:leader="none" w:pos="17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an investment company (other than a small business investment company wholly owned by the BDC) or a company that would be an investment company but for certain exclusions under the 1940 Act; and</w:t>
      </w:r>
    </w:p>
    <w:p>
      <w:pPr>
        <w:spacing w:after="0" w:line="161" w:lineRule="exact"/>
        <w:rPr>
          <w:rFonts w:ascii="Times New Roman" w:cs="Times New Roman" w:eastAsia="Times New Roman" w:hAnsi="Times New Roman"/>
          <w:sz w:val="14"/>
          <w:szCs w:val="14"/>
          <w:color w:val="auto"/>
        </w:rPr>
      </w:pPr>
    </w:p>
    <w:p>
      <w:pPr>
        <w:ind w:left="1740" w:hanging="585"/>
        <w:spacing w:after="0"/>
        <w:tabs>
          <w:tab w:leader="none" w:pos="17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satisfies any of the following:</w:t>
      </w:r>
    </w:p>
    <w:p>
      <w:pPr>
        <w:spacing w:after="0" w:line="216" w:lineRule="exact"/>
        <w:rPr>
          <w:sz w:val="20"/>
          <w:szCs w:val="20"/>
          <w:color w:val="auto"/>
        </w:rPr>
      </w:pPr>
    </w:p>
    <w:p>
      <w:pPr>
        <w:ind w:left="5660" w:right="3480" w:hanging="3929"/>
        <w:spacing w:after="0" w:line="551" w:lineRule="auto"/>
        <w:tabs>
          <w:tab w:leader="none" w:pos="229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any class of securities with respect to which a broker or dealer may extend margin credit;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283450"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0" w:right="259" w:bottom="1440" w:gutter="0" w:footer="0" w:header="0"/>
        </w:sectPr>
      </w:pPr>
    </w:p>
    <w:bookmarkStart w:id="104" w:name="page105"/>
    <w:bookmarkEnd w:id="104"/>
    <w:p>
      <w:pPr>
        <w:ind w:left="2300" w:right="160" w:hanging="569"/>
        <w:spacing w:after="0" w:line="270" w:lineRule="auto"/>
        <w:tabs>
          <w:tab w:leader="none" w:pos="230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161" w:lineRule="exact"/>
        <w:rPr>
          <w:rFonts w:ascii="Times New Roman" w:cs="Times New Roman" w:eastAsia="Times New Roman" w:hAnsi="Times New Roman"/>
          <w:sz w:val="14"/>
          <w:szCs w:val="14"/>
          <w:color w:val="auto"/>
        </w:rPr>
      </w:pPr>
    </w:p>
    <w:p>
      <w:pPr>
        <w:ind w:left="2300" w:hanging="569"/>
        <w:spacing w:after="0"/>
        <w:tabs>
          <w:tab w:leader="none" w:pos="230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small and solvent company having total assets of not more than $4 million and capital and surplus of not less than $2 million.</w:t>
      </w:r>
    </w:p>
    <w:p>
      <w:pPr>
        <w:spacing w:after="0" w:line="215" w:lineRule="exact"/>
        <w:rPr>
          <w:rFonts w:ascii="Times New Roman" w:cs="Times New Roman" w:eastAsia="Times New Roman" w:hAnsi="Times New Roman"/>
          <w:sz w:val="14"/>
          <w:szCs w:val="14"/>
          <w:color w:val="auto"/>
        </w:rPr>
      </w:pPr>
    </w:p>
    <w:p>
      <w:pPr>
        <w:ind w:left="1160" w:hanging="581"/>
        <w:spacing w:after="0"/>
        <w:tabs>
          <w:tab w:leader="none" w:pos="1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any eligible portfolio company which we control.</w:t>
      </w:r>
    </w:p>
    <w:p>
      <w:pPr>
        <w:spacing w:after="0" w:line="215" w:lineRule="exact"/>
        <w:rPr>
          <w:rFonts w:ascii="Times New Roman" w:cs="Times New Roman" w:eastAsia="Times New Roman" w:hAnsi="Times New Roman"/>
          <w:sz w:val="14"/>
          <w:szCs w:val="14"/>
          <w:color w:val="auto"/>
        </w:rPr>
      </w:pPr>
    </w:p>
    <w:p>
      <w:pPr>
        <w:jc w:val="both"/>
        <w:ind w:left="1160" w:hanging="581"/>
        <w:spacing w:after="0" w:line="260" w:lineRule="auto"/>
        <w:tabs>
          <w:tab w:leader="none" w:pos="1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67" w:lineRule="exact"/>
        <w:rPr>
          <w:rFonts w:ascii="Times New Roman" w:cs="Times New Roman" w:eastAsia="Times New Roman" w:hAnsi="Times New Roman"/>
          <w:sz w:val="14"/>
          <w:szCs w:val="14"/>
          <w:color w:val="auto"/>
        </w:rPr>
      </w:pPr>
    </w:p>
    <w:p>
      <w:pPr>
        <w:ind w:left="1160" w:right="240" w:hanging="581"/>
        <w:spacing w:after="0" w:line="270" w:lineRule="auto"/>
        <w:tabs>
          <w:tab w:leader="none" w:pos="1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61" w:lineRule="exact"/>
        <w:rPr>
          <w:rFonts w:ascii="Times New Roman" w:cs="Times New Roman" w:eastAsia="Times New Roman" w:hAnsi="Times New Roman"/>
          <w:sz w:val="14"/>
          <w:szCs w:val="14"/>
          <w:color w:val="auto"/>
        </w:rPr>
      </w:pPr>
    </w:p>
    <w:p>
      <w:pPr>
        <w:ind w:left="1160" w:right="500" w:hanging="581"/>
        <w:spacing w:after="0" w:line="270" w:lineRule="auto"/>
        <w:tabs>
          <w:tab w:leader="none" w:pos="1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61" w:lineRule="exact"/>
        <w:rPr>
          <w:rFonts w:ascii="Times New Roman" w:cs="Times New Roman" w:eastAsia="Times New Roman" w:hAnsi="Times New Roman"/>
          <w:sz w:val="14"/>
          <w:szCs w:val="14"/>
          <w:color w:val="auto"/>
        </w:rPr>
      </w:pPr>
    </w:p>
    <w:p>
      <w:pPr>
        <w:ind w:left="1160" w:hanging="581"/>
        <w:spacing w:after="0"/>
        <w:tabs>
          <w:tab w:leader="none" w:pos="1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cash equivalents, U.S. Government securities or high-quality debt securities maturing in one year or less from the time of investment.</w:t>
      </w:r>
    </w:p>
    <w:p>
      <w:pPr>
        <w:spacing w:after="0" w:line="216" w:lineRule="exact"/>
        <w:rPr>
          <w:sz w:val="20"/>
          <w:szCs w:val="20"/>
          <w:color w:val="auto"/>
        </w:rPr>
      </w:pPr>
    </w:p>
    <w:p>
      <w:pPr>
        <w:ind w:right="240" w:firstLine="209"/>
        <w:spacing w:after="0" w:line="270" w:lineRule="auto"/>
        <w:rPr>
          <w:sz w:val="20"/>
          <w:szCs w:val="20"/>
          <w:color w:val="auto"/>
        </w:rPr>
      </w:pPr>
      <w:r>
        <w:rPr>
          <w:rFonts w:ascii="Times New Roman" w:cs="Times New Roman" w:eastAsia="Times New Roman" w:hAnsi="Times New Roman"/>
          <w:sz w:val="14"/>
          <w:szCs w:val="14"/>
          <w:color w:val="auto"/>
        </w:rPr>
        <w:t>Amendments promulgated in 1998 by the Board of Governors of the Federal Reserve System to Regulation T under the Exchange Act expanded the definition of marginable security to include any non-equity security. These amendments have raised questions as to whether a private company that has outstanding debt would qualify as an eligible portfolio company.</w:t>
      </w:r>
    </w:p>
    <w:p>
      <w:pPr>
        <w:spacing w:after="0" w:line="161" w:lineRule="exact"/>
        <w:rPr>
          <w:sz w:val="20"/>
          <w:szCs w:val="20"/>
          <w:color w:val="auto"/>
        </w:rPr>
      </w:pPr>
    </w:p>
    <w:p>
      <w:pPr>
        <w:ind w:right="100" w:firstLine="209"/>
        <w:spacing w:after="0" w:line="252" w:lineRule="auto"/>
        <w:rPr>
          <w:sz w:val="20"/>
          <w:szCs w:val="20"/>
          <w:color w:val="auto"/>
        </w:rPr>
      </w:pPr>
      <w:r>
        <w:rPr>
          <w:rFonts w:ascii="Times New Roman" w:cs="Times New Roman" w:eastAsia="Times New Roman" w:hAnsi="Times New Roman"/>
          <w:sz w:val="14"/>
          <w:szCs w:val="14"/>
          <w:color w:val="auto"/>
        </w:rPr>
        <w:t>We believe that the senior loans and mezzanine investments that we propose to acquire should constitute qualifying assets because the privately held issuers will not, at the time of our investment, have outstanding marginable securities for the reasons set forth in this paragraph. First, we expect to make a large portion of our investments in companies that, to the extent they have any outstanding borrowings, have made such borrowings on terms and in circumstances such that such borrowings should not, under existing legal precedent, be “securities” under the Exchange Act and therefore should not be deemed marginable securities under Regulation T. Second, we believe that, should a different position be taken such that those borrowings may be securities, they should still not be marginable securities. In particular, debt that neither trades in a public secondary market nor is rated investment grade is generally not a margin eligible security under the rules established by the self-regulatory organizations, including the New York Stock Exchange and National Association of Securities Dealers, that govern the terms on which broker-dealers may extend margin credit. Unless the questions raised by the amendments to Regulation T have been addressed by legislative, administrative or judicial action that contradicts our interpretation, we intend to treat as qualifying assets only those senior loans and mezzanine investments that, at the time of our investment, are issued by an issuer that does not have outstanding a class of margin eligible securities. Likewise, we will treat equity securities issued by a portfolio company as qualifying assets only if such securities are issued by a company that has no margin eligible securities outstanding at the time we purchase such securities.</w:t>
      </w:r>
    </w:p>
    <w:p>
      <w:pPr>
        <w:spacing w:after="0" w:line="174" w:lineRule="exact"/>
        <w:rPr>
          <w:sz w:val="20"/>
          <w:szCs w:val="20"/>
          <w:color w:val="auto"/>
        </w:rPr>
      </w:pPr>
    </w:p>
    <w:p>
      <w:pPr>
        <w:ind w:right="40" w:firstLine="209"/>
        <w:spacing w:after="0" w:line="270" w:lineRule="auto"/>
        <w:rPr>
          <w:sz w:val="20"/>
          <w:szCs w:val="20"/>
          <w:color w:val="auto"/>
        </w:rPr>
      </w:pPr>
      <w:r>
        <w:rPr>
          <w:rFonts w:ascii="Times New Roman" w:cs="Times New Roman" w:eastAsia="Times New Roman" w:hAnsi="Times New Roman"/>
          <w:sz w:val="14"/>
          <w:szCs w:val="14"/>
          <w:color w:val="auto"/>
        </w:rPr>
        <w:t>To date, we do not believe that either the SEC or its staff has taken any position with respect to our analysis of the issues discussed above. We intend to adjust our investment focus as needed to comply with and/or take advantage of any future administrative position, judicial decision or legislative action.</w:t>
      </w:r>
    </w:p>
    <w:p>
      <w:pPr>
        <w:spacing w:after="0" w:line="161" w:lineRule="exact"/>
        <w:rPr>
          <w:sz w:val="20"/>
          <w:szCs w:val="20"/>
          <w:color w:val="auto"/>
        </w:rPr>
      </w:pPr>
    </w:p>
    <w:p>
      <w:pPr>
        <w:ind w:right="500" w:firstLine="209"/>
        <w:spacing w:after="0" w:line="270" w:lineRule="auto"/>
        <w:rPr>
          <w:sz w:val="20"/>
          <w:szCs w:val="20"/>
          <w:color w:val="auto"/>
        </w:rPr>
      </w:pPr>
      <w:r>
        <w:rPr>
          <w:rFonts w:ascii="Times New Roman" w:cs="Times New Roman" w:eastAsia="Times New Roman" w:hAnsi="Times New Roman"/>
          <w:sz w:val="14"/>
          <w:szCs w:val="14"/>
          <w:color w:val="auto"/>
        </w:rPr>
        <w:t>If there were a court ruling or regulatory decision that conflicts with our interpretations, we could lose our status as a BDC once we achieve such status or be precluded from investing in the manner described in this prospectus,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40"/>
          </w:cols>
          <w:pgMar w:left="220" w:top="507" w:right="239" w:bottom="1440" w:gutter="0" w:footer="0" w:header="0"/>
        </w:sectPr>
      </w:pPr>
    </w:p>
    <w:bookmarkStart w:id="105" w:name="page106"/>
    <w:bookmarkEnd w:id="105"/>
    <w:p>
      <w:pPr>
        <w:spacing w:after="0" w:line="253" w:lineRule="auto"/>
        <w:rPr>
          <w:sz w:val="20"/>
          <w:szCs w:val="20"/>
          <w:color w:val="auto"/>
        </w:rPr>
      </w:pPr>
      <w:r>
        <w:rPr>
          <w:rFonts w:ascii="Times New Roman" w:cs="Times New Roman" w:eastAsia="Times New Roman" w:hAnsi="Times New Roman"/>
          <w:sz w:val="14"/>
          <w:szCs w:val="14"/>
          <w:color w:val="auto"/>
        </w:rPr>
        <w:t>either of which would have a material adverse effect on our business, financial condition and results of operations. See “Risk factors—Risks related to our operation as a BDC—A failure on our part to maintain our qualification as a BDC would significantly reduce our operating flexibility.” Such a ruling or decision also may require that we dispose of investments that we made based on our interpretation of the 1940 Act. Such dispositions could have a material adverse effect on us and our stockholders. We may need to dispose of such investments quickly, which would make it difficult to dispose of such investments on favorable terms. In addition, because these types of investments will generally be illiquid, we may have difficulty in finding a buyer and, even if we do find a buyer, we may have to sell the investments at a substantial loss. See “Risk Factors—Risks related to our business—Changes in laws or regulations governing our operations, or changes in the interpretation thereof, and any failure by us to comply with laws or regulations governing our operations may adversely affect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Managerial assistance to portfolio companies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addition, a BDC must have been organized and have its principal place of business in the United States and must be operated for the purpose of making investments in the types of securities described in</w:t>
      </w:r>
    </w:p>
    <w:p>
      <w:pPr>
        <w:spacing w:after="0" w:line="3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4"/>
          <w:szCs w:val="14"/>
          <w:color w:val="auto"/>
        </w:rPr>
        <w:t>(1), (2) or (3) above under “—Qualifying assets.” However, in order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Temporary investments</w:t>
      </w:r>
    </w:p>
    <w:p>
      <w:pPr>
        <w:spacing w:after="0" w:line="199" w:lineRule="exact"/>
        <w:rPr>
          <w:sz w:val="20"/>
          <w:szCs w:val="20"/>
          <w:color w:val="auto"/>
        </w:rPr>
      </w:pPr>
    </w:p>
    <w:p>
      <w:pPr>
        <w:ind w:right="40" w:firstLine="209"/>
        <w:spacing w:after="0" w:line="252" w:lineRule="auto"/>
        <w:rPr>
          <w:sz w:val="20"/>
          <w:szCs w:val="20"/>
          <w:color w:val="auto"/>
        </w:rPr>
      </w:pPr>
      <w:r>
        <w:rPr>
          <w:rFonts w:ascii="Times New Roman" w:cs="Times New Roman" w:eastAsia="Times New Roman" w:hAnsi="Times New Roman"/>
          <w:sz w:val="14"/>
          <w:szCs w:val="14"/>
          <w:color w:val="auto"/>
        </w:rPr>
        <w:t>As a BDC, 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Indebtedness and senior securities</w:t>
      </w:r>
    </w:p>
    <w:p>
      <w:pPr>
        <w:spacing w:after="0" w:line="199" w:lineRule="exact"/>
        <w:rPr>
          <w:sz w:val="20"/>
          <w:szCs w:val="20"/>
          <w:color w:val="auto"/>
        </w:rPr>
      </w:pPr>
    </w:p>
    <w:p>
      <w:pPr>
        <w:ind w:right="100" w:firstLine="209"/>
        <w:spacing w:after="0" w:line="254" w:lineRule="auto"/>
        <w:rPr>
          <w:sz w:val="20"/>
          <w:szCs w:val="20"/>
          <w:color w:val="auto"/>
        </w:rPr>
      </w:pPr>
      <w:r>
        <w:rPr>
          <w:rFonts w:ascii="Times New Roman" w:cs="Times New Roman" w:eastAsia="Times New Roman" w:hAnsi="Times New Roman"/>
          <w:sz w:val="14"/>
          <w:szCs w:val="14"/>
          <w:color w:val="auto"/>
        </w:rPr>
        <w:t>As a BDC, we are permitted, under specified conditions, to issue multiple classes of indebtedness and one class of shares of stock senior to our common stock if our asset coverage, as defined in the 1940 Act, is at least equal to 200% immediately after each such issuance. In addition, while any indebtedness and senior securities remain outstanding, we must make provisions to prohibit any distribution to our stockholders or the repurchase of such securities or stock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related to our operation as a BDC— Regulations governing our operation as a BDC will affect our ability to, and the way in which we, raise additional capital.”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4" w:right="2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99" w:lineRule="exact"/>
        <w:rPr>
          <w:sz w:val="20"/>
          <w:szCs w:val="20"/>
          <w:color w:val="auto"/>
        </w:rPr>
      </w:pPr>
    </w:p>
    <w:p>
      <w:pPr>
        <w:ind w:right="480" w:firstLine="209"/>
        <w:spacing w:after="0" w:line="260" w:lineRule="auto"/>
        <w:rPr>
          <w:sz w:val="20"/>
          <w:szCs w:val="20"/>
          <w:color w:val="auto"/>
        </w:rPr>
      </w:pPr>
      <w:r>
        <w:rPr>
          <w:rFonts w:ascii="Times New Roman" w:cs="Times New Roman" w:eastAsia="Times New Roman" w:hAnsi="Times New Roman"/>
          <w:sz w:val="14"/>
          <w:szCs w:val="14"/>
          <w:color w:val="auto"/>
        </w:rPr>
        <w:t>As a BDC, we and our investment adviser will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code of ethics are filed as an exhibit to our registration statement on Form N-2 in connection with this offering.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Proxy voting policies and procedures</w:t>
      </w:r>
    </w:p>
    <w:p>
      <w:pPr>
        <w:spacing w:after="0" w:line="199" w:lineRule="exact"/>
        <w:rPr>
          <w:sz w:val="20"/>
          <w:szCs w:val="20"/>
          <w:color w:val="auto"/>
        </w:rPr>
      </w:pPr>
    </w:p>
    <w:p>
      <w:pPr>
        <w:ind w:right="200" w:firstLine="209"/>
        <w:spacing w:after="0" w:line="323" w:lineRule="auto"/>
        <w:rPr>
          <w:sz w:val="20"/>
          <w:szCs w:val="20"/>
          <w:color w:val="auto"/>
        </w:rPr>
      </w:pPr>
      <w:r>
        <w:rPr>
          <w:rFonts w:ascii="Times New Roman" w:cs="Times New Roman" w:eastAsia="Times New Roman" w:hAnsi="Times New Roman"/>
          <w:sz w:val="12"/>
          <w:szCs w:val="12"/>
          <w:color w:val="auto"/>
        </w:rPr>
        <w:t>SEC registered investment advisers that have the authority to vote (client) proxies (which authority may be implied from a general grant of investment discretion) are required to adopt policies and procedures reasonably designed to ensure that the adviser votes proxies in the best interests of its clients. Registered investment advisers also must maintain certain records on proxy voting. In most cases, we will invest in securities that do not generally entitle us to voting rights in its portfolio companies. When we do have voting rights, we will delegate the exercise of such rights to our investment adviser.</w:t>
      </w:r>
    </w:p>
    <w:p>
      <w:pPr>
        <w:spacing w:after="0" w:line="134" w:lineRule="exact"/>
        <w:rPr>
          <w:sz w:val="20"/>
          <w:szCs w:val="20"/>
          <w:color w:val="auto"/>
        </w:rPr>
      </w:pPr>
    </w:p>
    <w:p>
      <w:pPr>
        <w:ind w:right="140" w:firstLine="209"/>
        <w:spacing w:after="0" w:line="254" w:lineRule="auto"/>
        <w:rPr>
          <w:sz w:val="20"/>
          <w:szCs w:val="20"/>
          <w:color w:val="auto"/>
        </w:rPr>
      </w:pPr>
      <w:r>
        <w:rPr>
          <w:rFonts w:ascii="Times New Roman" w:cs="Times New Roman" w:eastAsia="Times New Roman" w:hAnsi="Times New Roman"/>
          <w:sz w:val="14"/>
          <w:szCs w:val="14"/>
          <w:color w:val="auto"/>
        </w:rPr>
        <w:t>Our investment adviser has particular proxy voting policies and procedures in place. In determining how to vote, officers of our investment adviser will consult with each other and other investment professionals of GSC Group, taking into account our interests and the interests of our investors, as well as any potential conflicts of interest. Our investment adviser will consult with legal counsel to identify potential conflicts of interest. Where a potential conflict of interest exists, our investment adviser may, if it so elects, resolve it by following the recommendation of a disinterested third party, by seeking the direction of our independent directors or, in extreme cases, by abstaining from voting. While our investment adviser may retain an outside service to provide voting recommendations and to assist in analyzing votes, our investment adviser will not delegate its voting authority to any third party.</w:t>
      </w:r>
    </w:p>
    <w:p>
      <w:pPr>
        <w:spacing w:after="0" w:line="174" w:lineRule="exact"/>
        <w:rPr>
          <w:sz w:val="20"/>
          <w:szCs w:val="20"/>
          <w:color w:val="auto"/>
        </w:rPr>
      </w:pPr>
    </w:p>
    <w:p>
      <w:pPr>
        <w:ind w:right="160" w:firstLine="209"/>
        <w:spacing w:after="0" w:line="256" w:lineRule="auto"/>
        <w:rPr>
          <w:sz w:val="20"/>
          <w:szCs w:val="20"/>
          <w:color w:val="auto"/>
        </w:rPr>
      </w:pPr>
      <w:r>
        <w:rPr>
          <w:rFonts w:ascii="Times New Roman" w:cs="Times New Roman" w:eastAsia="Times New Roman" w:hAnsi="Times New Roman"/>
          <w:sz w:val="14"/>
          <w:szCs w:val="14"/>
          <w:color w:val="auto"/>
        </w:rPr>
        <w:t>An officer of our investment adviser will keep a written record of how all such proxies are voted. Our investment adviser will retain records of (1) proxy voting policies and procedures, (2) all proxy statements received (or it may rely on proxy statements filed on the SEC’s EDGAR system in lieu thereof), (3) all votes cast, (4) investor requests for voting information, and (5) any specific documents prepared or received in connection with a decision on a proxy vote. If it uses an outside service, our investment adviser may rely on such service to maintain copies of proxy statements and records, so long as such service will provide a copy of such documents promptly upon request.</w:t>
      </w:r>
    </w:p>
    <w:p>
      <w:pPr>
        <w:spacing w:after="0" w:line="171" w:lineRule="exact"/>
        <w:rPr>
          <w:sz w:val="20"/>
          <w:szCs w:val="20"/>
          <w:color w:val="auto"/>
        </w:rPr>
      </w:pPr>
    </w:p>
    <w:p>
      <w:pPr>
        <w:ind w:right="100" w:firstLine="209"/>
        <w:spacing w:after="0" w:line="323" w:lineRule="auto"/>
        <w:rPr>
          <w:sz w:val="20"/>
          <w:szCs w:val="20"/>
          <w:color w:val="auto"/>
        </w:rPr>
      </w:pPr>
      <w:r>
        <w:rPr>
          <w:rFonts w:ascii="Times New Roman" w:cs="Times New Roman" w:eastAsia="Times New Roman" w:hAnsi="Times New Roman"/>
          <w:sz w:val="12"/>
          <w:szCs w:val="12"/>
          <w:color w:val="auto"/>
        </w:rPr>
        <w:t>Our investment adviser’s proxy voting policies are not exhaustive and are designed to be responsive to the wide range of issues that may be subject to a proxy vote. In general, our investment adviser will vote our proxies in accordance with these guidelines unless: (1) it has determined otherwise due to the specific and unusual facts and circumstances with respect to a particular vote, (2) the subject matter of the vote is not covered by these guidelines, (3) a material conflict of interest is present, or (4) it finds it necessary to vote contrary to its general guidelines to maximize stockholder value or our best interests.</w:t>
      </w:r>
    </w:p>
    <w:p>
      <w:pPr>
        <w:spacing w:after="0" w:line="1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 reviewing proxy issues, our investment adviser generally will use the following guidelines:</w:t>
      </w:r>
    </w:p>
    <w:p>
      <w:pPr>
        <w:spacing w:after="0" w:line="191"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b w:val="1"/>
          <w:bCs w:val="1"/>
          <w:color w:val="auto"/>
        </w:rPr>
        <w:t>Elections of Directors</w:t>
      </w:r>
      <w:r>
        <w:rPr>
          <w:rFonts w:ascii="Times New Roman" w:cs="Times New Roman" w:eastAsia="Times New Roman" w:hAnsi="Times New Roman"/>
          <w:sz w:val="14"/>
          <w:szCs w:val="14"/>
          <w:color w:val="auto"/>
        </w:rPr>
        <w:t>: In general, our investment adviser will vote in favor of the management- proposed slate of directors. If there is a proxy fight for seats on a portfolio company’s board of directors,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investment adviser determines that there are other compelling reasons for withholding our vote, it will determine the appropriate vote on the matter. We may withhold votes for directors that fail to act on key issues, such as failure to: (1) implement proposals to declassify a board, (2) implement a majority vote requirement, (3) submit a rights plan to a stockholder vote or (4) act on tender offers where a majority of stockholders have tendered their shares. Finally, our investment adviser may withhold votes for directors of non-U.S. issuers where there is insufficient information about the nominees disclosed in the proxy statement.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107" w:name="page108"/>
    <w:bookmarkEnd w:id="107"/>
    <w:p>
      <w:pPr>
        <w:ind w:right="760" w:firstLine="209"/>
        <w:spacing w:after="0" w:line="276" w:lineRule="auto"/>
        <w:rPr>
          <w:sz w:val="20"/>
          <w:szCs w:val="20"/>
          <w:color w:val="auto"/>
        </w:rPr>
      </w:pPr>
      <w:r>
        <w:rPr>
          <w:rFonts w:ascii="Times New Roman" w:cs="Times New Roman" w:eastAsia="Times New Roman" w:hAnsi="Times New Roman"/>
          <w:sz w:val="14"/>
          <w:szCs w:val="14"/>
          <w:b w:val="1"/>
          <w:bCs w:val="1"/>
          <w:color w:val="auto"/>
        </w:rPr>
        <w:t>Appointment of Auditors</w:t>
      </w:r>
      <w:r>
        <w:rPr>
          <w:rFonts w:ascii="Times New Roman" w:cs="Times New Roman" w:eastAsia="Times New Roman" w:hAnsi="Times New Roman"/>
          <w:sz w:val="14"/>
          <w:szCs w:val="14"/>
          <w:color w:val="auto"/>
        </w:rPr>
        <w:t>: We believe that a portfolio company remains in the best position to choose its independent auditors and our investment adviser will generally support management’s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recommendation in this regard.</w:t>
      </w:r>
    </w:p>
    <w:p>
      <w:pPr>
        <w:spacing w:after="0" w:line="153" w:lineRule="exact"/>
        <w:rPr>
          <w:sz w:val="20"/>
          <w:szCs w:val="20"/>
          <w:color w:val="auto"/>
        </w:rPr>
      </w:pPr>
    </w:p>
    <w:p>
      <w:pPr>
        <w:ind w:right="440" w:firstLine="209"/>
        <w:spacing w:after="0" w:line="263" w:lineRule="auto"/>
        <w:rPr>
          <w:sz w:val="20"/>
          <w:szCs w:val="20"/>
          <w:color w:val="auto"/>
        </w:rPr>
      </w:pPr>
      <w:r>
        <w:rPr>
          <w:rFonts w:ascii="Times New Roman" w:cs="Times New Roman" w:eastAsia="Times New Roman" w:hAnsi="Times New Roman"/>
          <w:sz w:val="14"/>
          <w:szCs w:val="14"/>
          <w:b w:val="1"/>
          <w:bCs w:val="1"/>
          <w:color w:val="auto"/>
        </w:rPr>
        <w:t>Changes in Capital Structure</w:t>
      </w:r>
      <w:r>
        <w:rPr>
          <w:rFonts w:ascii="Times New Roman" w:cs="Times New Roman" w:eastAsia="Times New Roman" w:hAnsi="Times New Roman"/>
          <w:sz w:val="14"/>
          <w:szCs w:val="14"/>
          <w:color w:val="auto"/>
        </w:rPr>
        <w:t>: Changes in a portfolio company’s organizational documents may be required by state or federal regulation. In general, our investment adviser will cast our votes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accordance with the management on such proposals. However, our investment adviser will consider carefully any proposal regarding a change in corporate structure that is not required by state or federal regulation.</w:t>
      </w:r>
    </w:p>
    <w:p>
      <w:pPr>
        <w:spacing w:after="0" w:line="162" w:lineRule="exact"/>
        <w:rPr>
          <w:sz w:val="20"/>
          <w:szCs w:val="20"/>
          <w:color w:val="auto"/>
        </w:rPr>
      </w:pPr>
    </w:p>
    <w:p>
      <w:pPr>
        <w:ind w:right="20" w:firstLine="209"/>
        <w:spacing w:after="0" w:line="276" w:lineRule="auto"/>
        <w:rPr>
          <w:sz w:val="20"/>
          <w:szCs w:val="20"/>
          <w:color w:val="auto"/>
        </w:rPr>
      </w:pPr>
      <w:r>
        <w:rPr>
          <w:rFonts w:ascii="Times New Roman" w:cs="Times New Roman" w:eastAsia="Times New Roman" w:hAnsi="Times New Roman"/>
          <w:sz w:val="14"/>
          <w:szCs w:val="14"/>
          <w:b w:val="1"/>
          <w:bCs w:val="1"/>
          <w:color w:val="auto"/>
        </w:rPr>
        <w:t>Corporate Restructurings, Mergers and Acquisitions</w:t>
      </w:r>
      <w:r>
        <w:rPr>
          <w:rFonts w:ascii="Times New Roman" w:cs="Times New Roman" w:eastAsia="Times New Roman" w:hAnsi="Times New Roman"/>
          <w:sz w:val="14"/>
          <w:szCs w:val="14"/>
          <w:color w:val="auto"/>
        </w:rPr>
        <w:t>: We believe proxy votes dealing with corporate reorganizations are an extension of the investment decision. Accordingly, our investment adviser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analyze such proposals on a case-by-case basis and vote in accordance with its perception of our interests.</w:t>
      </w:r>
    </w:p>
    <w:p>
      <w:pPr>
        <w:spacing w:after="0" w:line="153" w:lineRule="exact"/>
        <w:rPr>
          <w:sz w:val="20"/>
          <w:szCs w:val="20"/>
          <w:color w:val="auto"/>
        </w:rPr>
      </w:pPr>
    </w:p>
    <w:p>
      <w:pPr>
        <w:ind w:right="60" w:firstLine="209"/>
        <w:spacing w:after="0" w:line="263" w:lineRule="auto"/>
        <w:rPr>
          <w:sz w:val="20"/>
          <w:szCs w:val="20"/>
          <w:color w:val="auto"/>
        </w:rPr>
      </w:pPr>
      <w:r>
        <w:rPr>
          <w:rFonts w:ascii="Times New Roman" w:cs="Times New Roman" w:eastAsia="Times New Roman" w:hAnsi="Times New Roman"/>
          <w:sz w:val="14"/>
          <w:szCs w:val="14"/>
          <w:b w:val="1"/>
          <w:bCs w:val="1"/>
          <w:color w:val="auto"/>
        </w:rPr>
        <w:t>Proposals Affecting Stockholder Rights</w:t>
      </w:r>
      <w:r>
        <w:rPr>
          <w:rFonts w:ascii="Times New Roman" w:cs="Times New Roman" w:eastAsia="Times New Roman" w:hAnsi="Times New Roman"/>
          <w:sz w:val="14"/>
          <w:szCs w:val="14"/>
          <w:color w:val="auto"/>
        </w:rPr>
        <w:t>: We will generally vote in favor of proposals that give stockholders a greater voice in the affairs of a portfolio company and oppose any measure that seeks to limit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rights. However, when analyzing such proposals, our investment adviser will balance the financial impact of the proposal against any impairment of stockholder rights as well as of our investment in the portfolio company.</w:t>
      </w:r>
    </w:p>
    <w:p>
      <w:pPr>
        <w:spacing w:after="0" w:line="162" w:lineRule="exact"/>
        <w:rPr>
          <w:sz w:val="20"/>
          <w:szCs w:val="20"/>
          <w:color w:val="auto"/>
        </w:rPr>
      </w:pPr>
    </w:p>
    <w:p>
      <w:pPr>
        <w:ind w:firstLine="209"/>
        <w:spacing w:after="0" w:line="276" w:lineRule="auto"/>
        <w:rPr>
          <w:sz w:val="20"/>
          <w:szCs w:val="20"/>
          <w:color w:val="auto"/>
        </w:rPr>
      </w:pPr>
      <w:r>
        <w:rPr>
          <w:rFonts w:ascii="Times New Roman" w:cs="Times New Roman" w:eastAsia="Times New Roman" w:hAnsi="Times New Roman"/>
          <w:sz w:val="14"/>
          <w:szCs w:val="14"/>
          <w:b w:val="1"/>
          <w:bCs w:val="1"/>
          <w:color w:val="auto"/>
        </w:rPr>
        <w:t>Corporate Governance</w:t>
      </w:r>
      <w:r>
        <w:rPr>
          <w:rFonts w:ascii="Times New Roman" w:cs="Times New Roman" w:eastAsia="Times New Roman" w:hAnsi="Times New Roman"/>
          <w:sz w:val="14"/>
          <w:szCs w:val="14"/>
          <w:color w:val="auto"/>
        </w:rPr>
        <w:t>: We recognize the importance of good corporate governance. Accordingly, our investment adviser will generally favor proposals that promote transparency and accountability within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portfolio company.</w:t>
      </w:r>
    </w:p>
    <w:p>
      <w:pPr>
        <w:spacing w:after="0" w:line="153" w:lineRule="exact"/>
        <w:rPr>
          <w:sz w:val="20"/>
          <w:szCs w:val="20"/>
          <w:color w:val="auto"/>
        </w:rPr>
      </w:pPr>
    </w:p>
    <w:p>
      <w:pPr>
        <w:ind w:right="400" w:firstLine="209"/>
        <w:spacing w:after="0" w:line="276" w:lineRule="auto"/>
        <w:rPr>
          <w:sz w:val="20"/>
          <w:szCs w:val="20"/>
          <w:color w:val="auto"/>
        </w:rPr>
      </w:pPr>
      <w:r>
        <w:rPr>
          <w:rFonts w:ascii="Times New Roman" w:cs="Times New Roman" w:eastAsia="Times New Roman" w:hAnsi="Times New Roman"/>
          <w:sz w:val="14"/>
          <w:szCs w:val="14"/>
          <w:b w:val="1"/>
          <w:bCs w:val="1"/>
          <w:color w:val="auto"/>
        </w:rPr>
        <w:t>Anti-Takeover Measures</w:t>
      </w:r>
      <w:r>
        <w:rPr>
          <w:rFonts w:ascii="Times New Roman" w:cs="Times New Roman" w:eastAsia="Times New Roman" w:hAnsi="Times New Roman"/>
          <w:sz w:val="14"/>
          <w:szCs w:val="14"/>
          <w:color w:val="auto"/>
        </w:rPr>
        <w:t>: Our investment adviser will evaluate, on a case-by-case basis, any proposals regarding anti-takeover measures to determine the measure’s likely effect on stockholder value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dilution.</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Share Splits</w:t>
      </w:r>
      <w:r>
        <w:rPr>
          <w:rFonts w:ascii="Times New Roman" w:cs="Times New Roman" w:eastAsia="Times New Roman" w:hAnsi="Times New Roman"/>
          <w:sz w:val="14"/>
          <w:szCs w:val="14"/>
          <w:color w:val="auto"/>
        </w:rPr>
        <w:t>: Our investment adviser will generally vote with management on share split matters.</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Limited Liability of Directors</w:t>
      </w:r>
      <w:r>
        <w:rPr>
          <w:rFonts w:ascii="Times New Roman" w:cs="Times New Roman" w:eastAsia="Times New Roman" w:hAnsi="Times New Roman"/>
          <w:sz w:val="14"/>
          <w:szCs w:val="14"/>
          <w:color w:val="auto"/>
        </w:rPr>
        <w:t>: Our investment adviser will generally vote with management on matters that could adversely affect the limited liability of directors.</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color w:val="auto"/>
        </w:rPr>
        <w:t>Social and Corporate Responsibility</w:t>
      </w:r>
      <w:r>
        <w:rPr>
          <w:rFonts w:ascii="Times New Roman" w:cs="Times New Roman" w:eastAsia="Times New Roman" w:hAnsi="Times New Roman"/>
          <w:sz w:val="12"/>
          <w:szCs w:val="12"/>
          <w:color w:val="auto"/>
        </w:rPr>
        <w:t>: Our investment adviser will review proposals related to social, political and environmental issues to determine whether they may adversely affect stockholder value.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investment adviser may abstain from voting on such proposals where they do not have a readily determinable financial impact on stockholder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Privacy principles</w:t>
      </w:r>
    </w:p>
    <w:p>
      <w:pPr>
        <w:spacing w:after="0" w:line="199" w:lineRule="exact"/>
        <w:rPr>
          <w:sz w:val="20"/>
          <w:szCs w:val="20"/>
          <w:color w:val="auto"/>
        </w:rPr>
      </w:pPr>
    </w:p>
    <w:p>
      <w:pPr>
        <w:ind w:right="280" w:firstLine="209"/>
        <w:spacing w:after="0" w:line="270" w:lineRule="auto"/>
        <w:rPr>
          <w:sz w:val="20"/>
          <w:szCs w:val="20"/>
          <w:color w:val="auto"/>
        </w:rPr>
      </w:pPr>
      <w:r>
        <w:rPr>
          <w:rFonts w:ascii="Times New Roman" w:cs="Times New Roman" w:eastAsia="Times New Roman" w:hAnsi="Times New Roman"/>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61" w:lineRule="exact"/>
        <w:rPr>
          <w:sz w:val="20"/>
          <w:szCs w:val="20"/>
          <w:color w:val="auto"/>
        </w:rPr>
      </w:pPr>
    </w:p>
    <w:p>
      <w:pPr>
        <w:jc w:val="both"/>
        <w:ind w:right="140" w:firstLine="209"/>
        <w:spacing w:after="0" w:line="260" w:lineRule="auto"/>
        <w:rPr>
          <w:sz w:val="20"/>
          <w:szCs w:val="20"/>
          <w:color w:val="auto"/>
        </w:rPr>
      </w:pPr>
      <w:r>
        <w:rPr>
          <w:rFonts w:ascii="Times New Roman" w:cs="Times New Roman" w:eastAsia="Times New Roman" w:hAnsi="Times New Roman"/>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68" w:lineRule="exact"/>
        <w:rPr>
          <w:sz w:val="20"/>
          <w:szCs w:val="20"/>
          <w:color w:val="auto"/>
        </w:rPr>
      </w:pPr>
    </w:p>
    <w:p>
      <w:pPr>
        <w:ind w:right="440" w:firstLine="209"/>
        <w:spacing w:after="0" w:line="270" w:lineRule="auto"/>
        <w:rPr>
          <w:sz w:val="20"/>
          <w:szCs w:val="20"/>
          <w:color w:val="auto"/>
        </w:rPr>
      </w:pPr>
      <w:r>
        <w:rPr>
          <w:rFonts w:ascii="Times New Roman" w:cs="Times New Roman" w:eastAsia="Times New Roman" w:hAnsi="Times New Roman"/>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a BDC, we will be periodically examined by the SEC for compliance with the 1940 Act.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1" w:right="219" w:bottom="1440" w:gutter="0" w:footer="0" w:header="0"/>
        </w:sectPr>
      </w:pPr>
    </w:p>
    <w:bookmarkStart w:id="108" w:name="page109"/>
    <w:bookmarkEnd w:id="108"/>
    <w:p>
      <w:pPr>
        <w:ind w:right="260" w:firstLine="209"/>
        <w:spacing w:after="0" w:line="260" w:lineRule="auto"/>
        <w:rPr>
          <w:sz w:val="20"/>
          <w:szCs w:val="20"/>
          <w:color w:val="auto"/>
        </w:rPr>
      </w:pPr>
      <w:r>
        <w:rPr>
          <w:rFonts w:ascii="Times New Roman" w:cs="Times New Roman" w:eastAsia="Times New Roman" w:hAnsi="Times New Roman"/>
          <w:sz w:val="14"/>
          <w:szCs w:val="14"/>
          <w:color w:val="auto"/>
        </w:rPr>
        <w:t>We will be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8" w:lineRule="exact"/>
        <w:rPr>
          <w:sz w:val="20"/>
          <w:szCs w:val="20"/>
          <w:color w:val="auto"/>
        </w:rPr>
      </w:pPr>
    </w:p>
    <w:p>
      <w:pPr>
        <w:ind w:right="260" w:firstLine="209"/>
        <w:spacing w:after="0" w:line="356" w:lineRule="auto"/>
        <w:rPr>
          <w:sz w:val="20"/>
          <w:szCs w:val="20"/>
          <w:color w:val="auto"/>
        </w:rPr>
      </w:pPr>
      <w:r>
        <w:rPr>
          <w:rFonts w:ascii="Times New Roman" w:cs="Times New Roman" w:eastAsia="Times New Roman" w:hAnsi="Times New Roman"/>
          <w:sz w:val="12"/>
          <w:szCs w:val="12"/>
          <w:color w:val="auto"/>
        </w:rPr>
        <w:t>We and our investment adviser are each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Co-investment</w:t>
      </w:r>
    </w:p>
    <w:p>
      <w:pPr>
        <w:spacing w:after="0" w:line="199" w:lineRule="exact"/>
        <w:rPr>
          <w:sz w:val="20"/>
          <w:szCs w:val="20"/>
          <w:color w:val="auto"/>
        </w:rPr>
      </w:pPr>
    </w:p>
    <w:p>
      <w:pPr>
        <w:jc w:val="both"/>
        <w:ind w:right="80" w:firstLine="209"/>
        <w:spacing w:after="0" w:line="294" w:lineRule="auto"/>
        <w:rPr>
          <w:sz w:val="20"/>
          <w:szCs w:val="20"/>
          <w:color w:val="auto"/>
        </w:rPr>
      </w:pPr>
      <w:r>
        <w:rPr>
          <w:rFonts w:ascii="Times New Roman" w:cs="Times New Roman" w:eastAsia="Times New Roman" w:hAnsi="Times New Roman"/>
          <w:sz w:val="12"/>
          <w:szCs w:val="12"/>
          <w:color w:val="auto"/>
        </w:rPr>
        <w:t>We may also be prohibited under the 1940 Act from knowingly participating in certain transactions with our affiliates without the prior approval of our board of directors who are not interested persons and, in some cases, prior approval by the SEC. The SEC has interpreted the BDC provision on transactions with affiliates to prohibit all “joint transactions” between entities that share a common investment adviser. The staff of the SEC has granted no-action relief permitting for purchases of a single class of privately-placed securities provided that the adviser negotiates no term other than price and certain other conditions are met. As a result, we only expect to co-invest on a concurrent basis with other GSC Group’s funds when each of us will own the same securities of the issuer and when no term is negotiated other than price.</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Any such investment would be made, subject to compliance with existing regulatory guidance, applicable regulations and our allocation procedures. If opportunities arise that would otherwise be appropriate for us and for a GSC Group’s fund to invest in different securities of the same issuer, our investment adviser will need to decide which fund will proceed with the investment. Moreover, except in certain circumstances, we will be unable to invest in any issuer in which a GSC Group’s fund has previously invested.</w:t>
      </w:r>
    </w:p>
    <w:p>
      <w:pPr>
        <w:spacing w:after="0" w:line="172"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The Company and GSC Group may in the future submit an exemptive application to the SEC to permit greater flexibility to negotiate the terms of co-investments because we believe that it will be advantageous for the Company to co-invest with funds managed by GSC Group where such investment is consistent with the investment objectives, investment positions, investment policies, investment strategies, investment restrictions, regulatory requirements and other pertinent factors applicable to the Company. We believe that co-investment by the Company and funds managed by GSC Group may afford the Company additional investment opportunities and the ability to achieve greater diversification. Accordingly, any application would seek an exemptive order permitting the Company to negotiate more than price terms when investing with funds managed by GSC Group in the same portfolio companies. It is expected that any exemptive relief permitting co-investments on those terms would be granted, if at all, only upon the conditions, among others, that before such a co-investment transaction is effected, our investment adviser will make a written investment presentation regarding the proposed co-investment to the independent directors of the Company and the independent directors of the Company will review our investment adviser’s recommendation.</w:t>
      </w:r>
    </w:p>
    <w:p>
      <w:pPr>
        <w:spacing w:after="0" w:line="173"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Moreover, it is expected that prior to committing to a co-investment, a “required majority” (as defined in Section 57(o) of the 1940 Act) of the independent directors of the Company would conclude that (i) the terms of the proposed transaction are reasonable and fair to the Company and its stockholders and do not involve overreaching of the Company and its stockholders on the part of any person concerned; (ii) the transaction is consistent with the interests of the stockholders of the Company and is consistent with the investment objectives and policies of the Company; and (iii) the co-investment by any GSC Group fund would not disadvantage the Company in making its investment, maintaining its investment position, or disposing of such investment and that participation by the Company would not be on a basis different from or less advantageous than that of the affiliated co-investor. There is no assurance that the application for exemptive relief will be granted by the SEC or that, if granted, it will be on the terms set forth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Compliance with the Sarbanes-Oxley Act and the NASDAQ Global Market corporate governance regulations</w:t>
      </w:r>
    </w:p>
    <w:p>
      <w:pPr>
        <w:spacing w:after="0" w:line="199"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The Sarbanes-Oxley Act of 2002 imposes a wide variety of new regulatory requirements on publicly-held companies and their insiders. Following the completion of this offering, many of these requirements will affect us.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sectPr>
      </w:pPr>
    </w:p>
    <w:bookmarkStart w:id="109" w:name="page110"/>
    <w:bookmarkEnd w:id="109"/>
    <w:p>
      <w:pPr>
        <w:spacing w:after="0" w:line="270" w:lineRule="auto"/>
        <w:rPr>
          <w:sz w:val="20"/>
          <w:szCs w:val="20"/>
          <w:color w:val="auto"/>
        </w:rPr>
      </w:pPr>
      <w:r>
        <w:rPr>
          <w:rFonts w:ascii="Times New Roman" w:cs="Times New Roman" w:eastAsia="Times New Roman" w:hAnsi="Times New Roman"/>
          <w:sz w:val="14"/>
          <w:szCs w:val="14"/>
          <w:color w:val="auto"/>
        </w:rPr>
        <w:t>The Sarbanes-Oxley Act has required us to review our policies and procedures to determine whether we comply with the Sarbanes-Oxley Act and the new regulations promulgated thereunder. We will continue to monitor our compliance with all future regulations that are adopted under the Sarbanes-Oxley Act and will take actions necessary to ensure that we are in compliance therewith.</w:t>
      </w:r>
    </w:p>
    <w:p>
      <w:pPr>
        <w:spacing w:after="0" w:line="161" w:lineRule="exact"/>
        <w:rPr>
          <w:sz w:val="20"/>
          <w:szCs w:val="20"/>
          <w:color w:val="auto"/>
        </w:rPr>
      </w:pPr>
    </w:p>
    <w:p>
      <w:pPr>
        <w:ind w:right="40" w:firstLine="209"/>
        <w:spacing w:after="0" w:line="270" w:lineRule="auto"/>
        <w:rPr>
          <w:sz w:val="20"/>
          <w:szCs w:val="20"/>
          <w:color w:val="auto"/>
        </w:rPr>
      </w:pPr>
      <w:r>
        <w:rPr>
          <w:rFonts w:ascii="Times New Roman" w:cs="Times New Roman" w:eastAsia="Times New Roman" w:hAnsi="Times New Roman"/>
          <w:sz w:val="14"/>
          <w:szCs w:val="14"/>
          <w:color w:val="auto"/>
        </w:rPr>
        <w:t>In addition, the NASDAQ Global Market adopted corporate governance changes to its listing standards in 2003. We believe we are in compliance with such corporate governance listing standards. We will continue to monitor our compliance with all future listing standards and will take actions necessary to ensure that we are in compliance therewith.</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80"/>
          </w:cols>
          <w:pgMar w:left="220" w:top="674" w:right="299" w:bottom="1440" w:gutter="0" w:footer="0" w:header="0"/>
        </w:sectPr>
      </w:pPr>
    </w:p>
    <w:bookmarkStart w:id="110" w:name="page111"/>
    <w:bookmarkEnd w:id="110"/>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TRANSFER AND DIVIDEND PAYING AGENT AND REGISTRAR</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AST will also act as our transfer agent, dividend paying agent and registrar. The principal business address of AST is 59 Maiden Lane, Plaza Level, New York, New York 10038, telephone number: (212)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936-5100.</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260"/>
          </w:cols>
          <w:pgMar w:left="220" w:top="670" w:right="4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b w:val="1"/>
          <w:bCs w:val="1"/>
          <w:color w:val="auto"/>
        </w:rPr>
        <w:t>BROKERAGE ALLOCATION AND OTHER PRACTICES</w:t>
      </w:r>
    </w:p>
    <w:p>
      <w:pPr>
        <w:spacing w:after="0" w:line="199" w:lineRule="exact"/>
        <w:rPr>
          <w:sz w:val="20"/>
          <w:szCs w:val="20"/>
          <w:color w:val="auto"/>
        </w:rPr>
      </w:pPr>
    </w:p>
    <w:p>
      <w:pPr>
        <w:ind w:firstLine="209"/>
        <w:spacing w:after="0" w:line="253" w:lineRule="auto"/>
        <w:rPr>
          <w:sz w:val="20"/>
          <w:szCs w:val="20"/>
          <w:color w:val="auto"/>
        </w:rPr>
      </w:pPr>
      <w:r>
        <w:rPr>
          <w:rFonts w:ascii="Times New Roman" w:cs="Times New Roman" w:eastAsia="Times New Roman" w:hAnsi="Times New Roman"/>
          <w:sz w:val="14"/>
          <w:szCs w:val="14"/>
          <w:color w:val="auto"/>
        </w:rPr>
        <w:t>Since we will generally acquire and dispose of our investments in privately negotiated transactions, we will infrequently use brokers in the normal course of our business. Subject to policies established by our board of directors, the investment adviser will be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the investment adviser generally will seek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to us and any other clients. In return for such services, we may pay a higher commission than other brokers would charge if the investment adviser determines in good faith that such commission is reasonable in relation to the services provided.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r>
        <w:rPr>
          <w:rFonts w:ascii="Times New Roman" w:cs="Times New Roman" w:eastAsia="Times New Roman" w:hAnsi="Times New Roman"/>
          <w:sz w:val="27"/>
          <w:szCs w:val="27"/>
          <w:b w:val="1"/>
          <w:bCs w:val="1"/>
          <w:color w:val="auto"/>
          <w:vertAlign w:val="superscript"/>
        </w:rPr>
        <w:t>2</w:t>
      </w:r>
    </w:p>
    <w:p>
      <w:pPr>
        <w:spacing w:after="0" w:line="112" w:lineRule="exact"/>
        <w:rPr>
          <w:sz w:val="20"/>
          <w:szCs w:val="20"/>
          <w:color w:val="auto"/>
        </w:rPr>
      </w:pPr>
    </w:p>
    <w:p>
      <w:pPr>
        <w:ind w:right="280" w:firstLine="209"/>
        <w:spacing w:after="0" w:line="270" w:lineRule="auto"/>
        <w:rPr>
          <w:sz w:val="20"/>
          <w:szCs w:val="20"/>
          <w:color w:val="auto"/>
        </w:rPr>
      </w:pPr>
      <w:r>
        <w:rPr>
          <w:rFonts w:ascii="Times New Roman" w:cs="Times New Roman" w:eastAsia="Times New Roman" w:hAnsi="Times New Roman"/>
          <w:sz w:val="14"/>
          <w:szCs w:val="14"/>
          <w:color w:val="auto"/>
        </w:rPr>
        <w:t>Prior to the completion of this offering, there has been no public market for our common stock. Future sales of substantial amounts of our common stock in the public market, or the perception that such sales may occur, could adversely affect the market price of our common stock and could impair our future ability to raise capital through the sale of our equity securities.</w:t>
      </w:r>
    </w:p>
    <w:p>
      <w:pPr>
        <w:spacing w:after="0" w:line="161" w:lineRule="exact"/>
        <w:rPr>
          <w:sz w:val="20"/>
          <w:szCs w:val="20"/>
          <w:color w:val="auto"/>
        </w:rPr>
      </w:pPr>
    </w:p>
    <w:p>
      <w:pPr>
        <w:ind w:right="200" w:firstLine="209"/>
        <w:spacing w:after="0" w:line="256" w:lineRule="auto"/>
        <w:rPr>
          <w:sz w:val="20"/>
          <w:szCs w:val="20"/>
          <w:color w:val="auto"/>
        </w:rPr>
      </w:pPr>
      <w:r>
        <w:rPr>
          <w:rFonts w:ascii="Times New Roman" w:cs="Times New Roman" w:eastAsia="Times New Roman" w:hAnsi="Times New Roman"/>
          <w:sz w:val="14"/>
          <w:szCs w:val="14"/>
          <w:color w:val="auto"/>
        </w:rPr>
        <w:t>We, our executive officers and directors and certain other stockholders have agreed with the underwriters not to sell any shares of our common stock that we or they own for a period of 180 days from the date of this prospectus. This agreement, referred to as a “lock-up agreement,” may be waived by Citigroup Global Markets Inc. and J.P. Morgan Securities Inc., as representatives of the underwriters. Notwithstanding the foregoing, we have agreed, and are permitted pursuant to the terms of the lock up agreements, to file a shelf registration statement covering all of the shares of our common stock outstanding prior to this offering shortly after the completion of this offering. See “Description of Our Shares.”</w:t>
      </w:r>
    </w:p>
    <w:p>
      <w:pPr>
        <w:spacing w:after="0" w:line="171" w:lineRule="exact"/>
        <w:rPr>
          <w:sz w:val="20"/>
          <w:szCs w:val="20"/>
          <w:color w:val="auto"/>
        </w:rPr>
      </w:pPr>
    </w:p>
    <w:p>
      <w:pPr>
        <w:ind w:right="180" w:firstLine="209"/>
        <w:spacing w:after="0" w:line="323" w:lineRule="auto"/>
        <w:rPr>
          <w:sz w:val="20"/>
          <w:szCs w:val="20"/>
          <w:color w:val="auto"/>
        </w:rPr>
      </w:pPr>
      <w:r>
        <w:rPr>
          <w:rFonts w:ascii="Times New Roman" w:cs="Times New Roman" w:eastAsia="Times New Roman" w:hAnsi="Times New Roman"/>
          <w:sz w:val="12"/>
          <w:szCs w:val="12"/>
          <w:color w:val="auto"/>
        </w:rPr>
        <w:t>Upon the completion of this offering, as a result of the issuance of shares of common stock, we will have shares of our common stock outstanding of which shares will be “restricted” securities under the meaning of Rule 144 promulgated under the Securities Act and may not be sold in the absence of registration under the Securities Act unless an exemption from registration is available, including exemptions contained in Rule 144. Pursuant to a registration rights agreement, we have agreed to file a registration statement in respect of the shares of common stock that are restricted securities.</w:t>
      </w:r>
    </w:p>
    <w:p>
      <w:pPr>
        <w:spacing w:after="0" w:line="134" w:lineRule="exact"/>
        <w:rPr>
          <w:sz w:val="20"/>
          <w:szCs w:val="20"/>
          <w:color w:val="auto"/>
        </w:rPr>
      </w:pPr>
    </w:p>
    <w:p>
      <w:pPr>
        <w:ind w:right="260" w:firstLine="209"/>
        <w:spacing w:after="0" w:line="270" w:lineRule="auto"/>
        <w:rPr>
          <w:sz w:val="20"/>
          <w:szCs w:val="20"/>
          <w:color w:val="auto"/>
        </w:rPr>
      </w:pPr>
      <w:r>
        <w:rPr>
          <w:rFonts w:ascii="Times New Roman" w:cs="Times New Roman" w:eastAsia="Times New Roman" w:hAnsi="Times New Roman"/>
          <w:sz w:val="14"/>
          <w:szCs w:val="14"/>
          <w:color w:val="auto"/>
        </w:rPr>
        <w:t>In general, under Rule 144 as currently in effect, if one year has elapsed since the date of acquisition of restricted securities from us or any of our affiliates, the holder of such restricted securities can sell such securities; provided that the number of securities sold by such person with any three month period cannot exceed the greater of:</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 of the total number of securities then outstanding,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average weekly trading volume of our securities during the four calendar weeks preceding the date on which notice of the sale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right="20" w:firstLine="209"/>
        <w:spacing w:after="0" w:line="253" w:lineRule="auto"/>
        <w:rPr>
          <w:sz w:val="20"/>
          <w:szCs w:val="20"/>
          <w:color w:val="auto"/>
        </w:rPr>
      </w:pPr>
      <w:r>
        <w:rPr>
          <w:rFonts w:ascii="Times New Roman" w:cs="Times New Roman" w:eastAsia="Times New Roman" w:hAnsi="Times New Roman"/>
          <w:sz w:val="14"/>
          <w:szCs w:val="14"/>
          <w:color w:val="auto"/>
        </w:rPr>
        <w:t>Sales under Rule 144 also are subject to certain manners of sale provisions, notice requirements and the availability of current public information about us. If two years have elapsed since the date of acquisition of restricted securities from us or any of our affiliates and the holder is not one of our affiliates at any time during the three months preceding the proposed sale, such person can sell such securities in the public market under Rule 144(k) without regard to the volume limitations, manner of sale provisions, public information requirements or notice requirements. No assurance can be given as to (1) the likelihood that an active market for our common stock will develop, (2) the liquidity of any such market, (3) the ability of our stockholders to sell our securities or (4) the prices that stockholders may obtain for any of our securities. No prediction can be made as to the effect, if any, that future sales of securities, or the availability of securities for future sales, will have on the market price prevailing from time to time. Sales of substantial amounts of our securities, or the perception that such sales could occur, may affect adversely prevailing market prices of our common stock. See “Risk Factors—Risks related to this offering.”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199" w:lineRule="exact"/>
        <w:rPr>
          <w:sz w:val="20"/>
          <w:szCs w:val="20"/>
          <w:color w:val="auto"/>
        </w:rPr>
      </w:pPr>
    </w:p>
    <w:p>
      <w:pPr>
        <w:ind w:firstLine="209"/>
        <w:spacing w:after="0" w:line="256" w:lineRule="auto"/>
        <w:rPr>
          <w:sz w:val="20"/>
          <w:szCs w:val="20"/>
          <w:color w:val="auto"/>
        </w:rPr>
      </w:pPr>
      <w:r>
        <w:rPr>
          <w:rFonts w:ascii="Times New Roman" w:cs="Times New Roman" w:eastAsia="Times New Roman" w:hAnsi="Times New Roman"/>
          <w:sz w:val="14"/>
          <w:szCs w:val="14"/>
          <w:color w:val="auto"/>
        </w:rPr>
        <w:t>We, our executive officers and directors and certain other stockholders will be subject to agreements with the underwriters that restrict our and their ability to transfer shares of our common stock for a period of up to 180 days from the date of this prospectus. After the lock-up agreements expire, an aggregate of • additional shares will be eligible for sale in the public market in accordance with Rule 144 under the Securities Act. These lock-up agreements provide that these persons will not offer, sell, contract to sell, pledge (other than to us), hedge or otherwise dispose of our common stock or any securities convertible into or exchangeable for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208661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86610" cy="635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4"/>
          <w:szCs w:val="14"/>
          <w:color w:val="auto"/>
        </w:rPr>
        <w:t>Section to be updated per D. Ray comments.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color w:val="auto"/>
        </w:rPr>
        <w:t>owned by them for a period specified in the agreement without the prior written consent of Citigroup Global Markets Inc. and J.P. Morgan Securities Inc.</w:t>
      </w:r>
    </w:p>
    <w:p>
      <w:pPr>
        <w:sectPr>
          <w:pgSz w:w="11900" w:h="16838" w:orient="portrait"/>
          <w:cols w:equalWidth="0" w:num="1">
            <w:col w:w="10239"/>
          </w:cols>
          <w:pgMar w:left="220" w:top="674" w:right="1440" w:bottom="1440" w:gutter="0" w:footer="0" w:header="0"/>
        </w:sectPr>
      </w:pP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7283450"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0239"/>
          </w:cols>
          <w:pgMar w:left="220" w:top="674" w:right="1440"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99" w:lineRule="exact"/>
        <w:rPr>
          <w:sz w:val="20"/>
          <w:szCs w:val="20"/>
          <w:color w:val="auto"/>
        </w:rPr>
      </w:pPr>
    </w:p>
    <w:p>
      <w:pPr>
        <w:ind w:right="140" w:firstLine="209"/>
        <w:spacing w:after="0" w:line="260" w:lineRule="auto"/>
        <w:rPr>
          <w:sz w:val="20"/>
          <w:szCs w:val="20"/>
          <w:color w:val="auto"/>
        </w:rPr>
      </w:pPr>
      <w:r>
        <w:rPr>
          <w:rFonts w:ascii="Times New Roman" w:cs="Times New Roman" w:eastAsia="Times New Roman" w:hAnsi="Times New Roman"/>
          <w:sz w:val="14"/>
          <w:szCs w:val="14"/>
          <w:color w:val="auto"/>
        </w:rPr>
        <w:t>Citigroup Global Markets Inc. and J.P. Morgan Securities Inc. are acting as representatives of the underwriters named below. Subject to the terms and conditions stated in the underwriting agreement dated the date of this prospectus, each underwriter named below has agreed to purchase, and we have agreed to sell to that underwriter, the number of shares of common stock set forth opposite the underwriter’s name.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5360" w:type="dxa"/>
            <w:vAlign w:val="bottom"/>
          </w:tcPr>
          <w:p>
            <w:pPr>
              <w:ind w:left="4740"/>
              <w:spacing w:after="0"/>
              <w:rPr>
                <w:sz w:val="20"/>
                <w:szCs w:val="20"/>
                <w:color w:val="auto"/>
              </w:rPr>
            </w:pPr>
            <w:r>
              <w:rPr>
                <w:rFonts w:ascii="Times New Roman" w:cs="Times New Roman" w:eastAsia="Times New Roman" w:hAnsi="Times New Roman"/>
                <w:sz w:val="10"/>
                <w:szCs w:val="10"/>
                <w:b w:val="1"/>
                <w:bCs w:val="1"/>
                <w:color w:val="auto"/>
              </w:rPr>
              <w:t>Number</w:t>
            </w:r>
          </w:p>
        </w:tc>
      </w:tr>
      <w:tr>
        <w:trPr>
          <w:trHeight w:val="139"/>
        </w:trPr>
        <w:tc>
          <w:tcPr>
            <w:tcW w:w="5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Underwriter</w:t>
            </w:r>
          </w:p>
        </w:tc>
        <w:tc>
          <w:tcPr>
            <w:tcW w:w="5360" w:type="dxa"/>
            <w:vAlign w:val="bottom"/>
          </w:tcPr>
          <w:p>
            <w:pPr>
              <w:ind w:left="4740"/>
              <w:spacing w:after="0"/>
              <w:rPr>
                <w:sz w:val="20"/>
                <w:szCs w:val="20"/>
                <w:color w:val="auto"/>
              </w:rPr>
            </w:pPr>
            <w:r>
              <w:rPr>
                <w:rFonts w:ascii="Times New Roman" w:cs="Times New Roman" w:eastAsia="Times New Roman" w:hAnsi="Times New Roman"/>
                <w:sz w:val="10"/>
                <w:szCs w:val="10"/>
                <w:b w:val="1"/>
                <w:bCs w:val="1"/>
                <w:color w:val="auto"/>
              </w:rPr>
              <w:t>of shares</w:t>
            </w:r>
          </w:p>
        </w:tc>
      </w:tr>
      <w:tr>
        <w:trPr>
          <w:trHeight w:val="73"/>
        </w:trPr>
        <w:tc>
          <w:tcPr>
            <w:tcW w:w="5300" w:type="dxa"/>
            <w:vAlign w:val="bottom"/>
            <w:tcBorders>
              <w:bottom w:val="single" w:sz="8" w:color="808080"/>
            </w:tcBorders>
          </w:tcPr>
          <w:p>
            <w:pPr>
              <w:spacing w:after="0"/>
              <w:rPr>
                <w:sz w:val="6"/>
                <w:szCs w:val="6"/>
                <w:color w:val="auto"/>
              </w:rPr>
            </w:pPr>
          </w:p>
        </w:tc>
        <w:tc>
          <w:tcPr>
            <w:tcW w:w="5360" w:type="dxa"/>
            <w:vAlign w:val="bottom"/>
            <w:tcBorders>
              <w:bottom w:val="single" w:sz="8" w:color="808080"/>
            </w:tcBorders>
          </w:tcPr>
          <w:p>
            <w:pPr>
              <w:spacing w:after="0"/>
              <w:rPr>
                <w:sz w:val="6"/>
                <w:szCs w:val="6"/>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Citigroup Global Markets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6223000</wp:posOffset>
            </wp:positionH>
            <wp:positionV relativeFrom="paragraph">
              <wp:posOffset>189865</wp:posOffset>
            </wp:positionV>
            <wp:extent cx="56515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65150" cy="6350"/>
                    </a:xfrm>
                    <a:prstGeom prst="rect">
                      <a:avLst/>
                    </a:prstGeom>
                    <a:noFill/>
                  </pic:spPr>
                </pic:pic>
              </a:graphicData>
            </a:graphic>
          </wp:anchor>
        </w:drawing>
      </w:r>
    </w:p>
    <w:p>
      <w:pPr>
        <w:spacing w:after="0" w:line="3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60325</wp:posOffset>
            </wp:positionV>
            <wp:extent cx="570865" cy="19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0865" cy="19050"/>
                    </a:xfrm>
                    <a:prstGeom prst="rect">
                      <a:avLst/>
                    </a:prstGeom>
                    <a:noFill/>
                  </pic:spPr>
                </pic:pic>
              </a:graphicData>
            </a:graphic>
          </wp:anchor>
        </w:drawing>
      </w:r>
    </w:p>
    <w:p>
      <w:pPr>
        <w:spacing w:after="0" w:line="363" w:lineRule="exact"/>
        <w:rPr>
          <w:sz w:val="20"/>
          <w:szCs w:val="20"/>
          <w:color w:val="auto"/>
        </w:rPr>
      </w:pPr>
    </w:p>
    <w:p>
      <w:pPr>
        <w:ind w:right="200" w:firstLine="209"/>
        <w:spacing w:after="0" w:line="270"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stock included in this offering are subject to approval of legal matters by counsel and to other conditions. The underwriters are obligated to purchase all the shares (other than those covered by the over-allotment option described below) if they purchase any of the shares.</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underwriters propose to offer some of the shares directly to the public at the public offering price set forth on the cover page of this prospectus and some of the shares to dealers at the public offering</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price less a concession not to exceed $ per share. The underwriters may allow, and dealers may reallow, a concession not to exceed $ per share on sales to other dealers. If all of the shares are not sold at the initial offering price, the representatives may change the public offering price and the other selling terms. The representatives have advised us that the underwriters do not intend sales to discretionary accounts to exceed five percent of the total number of shares of our common stock offered by them.</w:t>
      </w:r>
    </w:p>
    <w:p>
      <w:pPr>
        <w:spacing w:after="0" w:line="172"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We have granted to the underwriters an option, exercisable for 30 days from the date of this prospectus, to purchase up to additional shares of our common stock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approximately proportionate to that underwriter’s initial purchase commitment.</w:t>
      </w:r>
    </w:p>
    <w:p>
      <w:pPr>
        <w:spacing w:after="0" w:line="168" w:lineRule="exact"/>
        <w:rPr>
          <w:sz w:val="20"/>
          <w:szCs w:val="20"/>
          <w:color w:val="auto"/>
        </w:rPr>
      </w:pPr>
    </w:p>
    <w:p>
      <w:pPr>
        <w:ind w:right="20" w:firstLine="209"/>
        <w:spacing w:after="0" w:line="260" w:lineRule="auto"/>
        <w:rPr>
          <w:sz w:val="20"/>
          <w:szCs w:val="20"/>
          <w:color w:val="auto"/>
        </w:rPr>
      </w:pPr>
      <w:r>
        <w:rPr>
          <w:rFonts w:ascii="Times New Roman" w:cs="Times New Roman" w:eastAsia="Times New Roman" w:hAnsi="Times New Roman"/>
          <w:sz w:val="14"/>
          <w:szCs w:val="14"/>
          <w:color w:val="auto"/>
        </w:rPr>
        <w:t>We, our officers and directors, and our other stockholders have agreed that, for a period of 180 days from the date of this prospectus, we and they will not, without the prior written consent of Citigroup Global Markets Inc. and J.P. Morgan Securities Inc., dispose of or hedge any shares of our common stock or any securities convertible into or exchangeable for our common stock. Citigroup Global Markets Inc. and J.P. Morgan Securities Inc. in their discretion may release any of the securities subject to these lock-up agreements at any time without notice.</w:t>
      </w:r>
    </w:p>
    <w:p>
      <w:pPr>
        <w:spacing w:after="0" w:line="168" w:lineRule="exact"/>
        <w:rPr>
          <w:sz w:val="20"/>
          <w:szCs w:val="20"/>
          <w:color w:val="auto"/>
        </w:rPr>
      </w:pPr>
    </w:p>
    <w:p>
      <w:pPr>
        <w:ind w:right="60" w:firstLine="209"/>
        <w:spacing w:after="0" w:line="256" w:lineRule="auto"/>
        <w:rPr>
          <w:sz w:val="20"/>
          <w:szCs w:val="20"/>
          <w:color w:val="auto"/>
        </w:rPr>
      </w:pPr>
      <w:r>
        <w:rPr>
          <w:rFonts w:ascii="Times New Roman" w:cs="Times New Roman" w:eastAsia="Times New Roman" w:hAnsi="Times New Roman"/>
          <w:sz w:val="14"/>
          <w:szCs w:val="14"/>
          <w:color w:val="auto"/>
        </w:rPr>
        <w:t>At our request, the underwriters have reserved up to % of the shares of our common stock for sale at the initial public offering price to persons who are directors, officers or employees, or who are otherwise associated with us through a directed share program. The number of shares of our common stock available for sale to the general public will be reduced by the number of directed shares purchased by participants in the program. Any directed shares not purchased will be offered by the underwriters to the general public on the same basis as all other shares of our common stock offered. We have agreed to indemnify the underwriters against certain liabilities and expenses, including liabilities under the Securities Act, in connection with the sales of the directed shares.</w:t>
      </w:r>
    </w:p>
    <w:p>
      <w:pPr>
        <w:spacing w:after="0" w:line="171" w:lineRule="exact"/>
        <w:rPr>
          <w:sz w:val="20"/>
          <w:szCs w:val="20"/>
          <w:color w:val="auto"/>
        </w:rPr>
      </w:pPr>
    </w:p>
    <w:p>
      <w:pPr>
        <w:ind w:right="60" w:firstLine="209"/>
        <w:spacing w:after="0" w:line="256"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Consequently, the initial public offering price for the shares was determined by negotiations between us and the representatives. Among the factors considered in determining the initial public offering price were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assure you, however, that the prices at which the shares will sell in the public market after this offering will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color w:val="auto"/>
        </w:rPr>
        <w:t>not be lower than the initial public offering price or that an active trading market in our common stock will develop and continue after this offering.</w:t>
      </w:r>
    </w:p>
    <w:p>
      <w:pPr>
        <w:spacing w:after="0" w:line="195"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shares of our common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gridSpan w:val="3"/>
          </w:tcPr>
          <w:p>
            <w:pPr>
              <w:jc w:val="right"/>
              <w:ind w:right="888"/>
              <w:spacing w:after="0"/>
              <w:rPr>
                <w:sz w:val="20"/>
                <w:szCs w:val="20"/>
                <w:color w:val="auto"/>
              </w:rPr>
            </w:pPr>
            <w:r>
              <w:rPr>
                <w:rFonts w:ascii="Times New Roman" w:cs="Times New Roman" w:eastAsia="Times New Roman" w:hAnsi="Times New Roman"/>
                <w:sz w:val="10"/>
                <w:szCs w:val="10"/>
                <w:b w:val="1"/>
                <w:bCs w:val="1"/>
                <w:color w:val="auto"/>
              </w:rPr>
              <w:t>Paid by Us</w:t>
            </w:r>
          </w:p>
        </w:tc>
      </w:tr>
      <w:tr>
        <w:trPr>
          <w:trHeight w:val="73"/>
        </w:trPr>
        <w:tc>
          <w:tcPr>
            <w:tcW w:w="850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r>
      <w:tr>
        <w:trPr>
          <w:trHeight w:val="176"/>
        </w:trPr>
        <w:tc>
          <w:tcPr>
            <w:tcW w:w="8500" w:type="dxa"/>
            <w:vAlign w:val="bottom"/>
          </w:tcPr>
          <w:p>
            <w:pPr>
              <w:spacing w:after="0"/>
              <w:rPr>
                <w:sz w:val="15"/>
                <w:szCs w:val="15"/>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No</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Full</w:t>
            </w:r>
          </w:p>
        </w:tc>
      </w:tr>
      <w:tr>
        <w:trPr>
          <w:trHeight w:val="139"/>
        </w:trPr>
        <w:tc>
          <w:tcPr>
            <w:tcW w:w="8500" w:type="dxa"/>
            <w:vAlign w:val="bottom"/>
          </w:tcPr>
          <w:p>
            <w:pPr>
              <w:spacing w:after="0"/>
              <w:rPr>
                <w:sz w:val="12"/>
                <w:szCs w:val="12"/>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Exercise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Exercise</w:t>
            </w:r>
          </w:p>
        </w:tc>
      </w:tr>
      <w:tr>
        <w:trPr>
          <w:trHeight w:val="73"/>
        </w:trPr>
        <w:tc>
          <w:tcPr>
            <w:tcW w:w="850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r>
      <w:tr>
        <w:trPr>
          <w:trHeight w:val="261"/>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Per share</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3"/>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5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3"/>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r>
    </w:tbl>
    <w:p>
      <w:pPr>
        <w:spacing w:after="0" w:line="181" w:lineRule="exact"/>
        <w:rPr>
          <w:sz w:val="20"/>
          <w:szCs w:val="20"/>
          <w:color w:val="auto"/>
        </w:rPr>
      </w:pPr>
    </w:p>
    <w:p>
      <w:pPr>
        <w:ind w:right="40" w:firstLine="209"/>
        <w:spacing w:after="0" w:line="252" w:lineRule="auto"/>
        <w:rPr>
          <w:sz w:val="20"/>
          <w:szCs w:val="20"/>
          <w:color w:val="auto"/>
        </w:rPr>
      </w:pPr>
      <w:r>
        <w:rPr>
          <w:rFonts w:ascii="Times New Roman" w:cs="Times New Roman" w:eastAsia="Times New Roman" w:hAnsi="Times New Roman"/>
          <w:sz w:val="14"/>
          <w:szCs w:val="14"/>
          <w:color w:val="auto"/>
        </w:rPr>
        <w:t>In connection with the offering, Citigroup Global Markets Inc. and J.P. Morgan Securities Inc. on behalf of the underwriters, may purchase and sell shares of our common stock in the open market. These transactions may include short sales, syndicate covering transactions and stabilizing transactions. Short sales involve syndicate sales of common stock in excess of the number of stock to be purchased by the underwriters in the offering, which creates a syndicate short position. “Covered” short sales are sales of stock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stock in excess of the over-allotment option. The underwriters must close out any naked short position by purchasing shares of our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stock in the open market while the offering is in progress.</w:t>
      </w:r>
    </w:p>
    <w:p>
      <w:pPr>
        <w:spacing w:after="0" w:line="174" w:lineRule="exact"/>
        <w:rPr>
          <w:sz w:val="20"/>
          <w:szCs w:val="20"/>
          <w:color w:val="auto"/>
        </w:rPr>
      </w:pPr>
    </w:p>
    <w:p>
      <w:pPr>
        <w:ind w:right="420" w:firstLine="209"/>
        <w:spacing w:after="0" w:line="270" w:lineRule="auto"/>
        <w:rPr>
          <w:sz w:val="20"/>
          <w:szCs w:val="20"/>
          <w:color w:val="auto"/>
        </w:rPr>
      </w:pPr>
      <w:r>
        <w:rPr>
          <w:rFonts w:ascii="Times New Roman" w:cs="Times New Roman" w:eastAsia="Times New Roman" w:hAnsi="Times New Roman"/>
          <w:sz w:val="14"/>
          <w:szCs w:val="14"/>
          <w:color w:val="auto"/>
        </w:rPr>
        <w:t>The underwriters also may impose a penalty bid. Penalty bids permit the underwriters to reclaim a selling concession from a syndicate member when Citigroup Global Markets Inc. and J.P. Morgan Securities Inc. repurchase stock originally sold by that syndicate member in order to cover syndicate short positions or make stabilizing purchases.</w:t>
      </w:r>
    </w:p>
    <w:p>
      <w:pPr>
        <w:spacing w:after="0" w:line="161" w:lineRule="exact"/>
        <w:rPr>
          <w:sz w:val="20"/>
          <w:szCs w:val="20"/>
          <w:color w:val="auto"/>
        </w:rPr>
      </w:pPr>
    </w:p>
    <w:p>
      <w:pPr>
        <w:jc w:val="both"/>
        <w:ind w:firstLine="209"/>
        <w:spacing w:after="0" w:line="260" w:lineRule="auto"/>
        <w:rPr>
          <w:sz w:val="20"/>
          <w:szCs w:val="20"/>
          <w:color w:val="auto"/>
        </w:rPr>
      </w:pPr>
      <w:r>
        <w:rPr>
          <w:rFonts w:ascii="Times New Roman" w:cs="Times New Roman" w:eastAsia="Times New Roman" w:hAnsi="Times New Roman"/>
          <w:sz w:val="14"/>
          <w:szCs w:val="14"/>
          <w:color w:val="auto"/>
        </w:rPr>
        <w:t>Any of these activities may have the effect of preventing or retarding a decline in the market price of our common stock. They may also cause the price of our common stock to be higher than the price that would otherwise exist in the open market in the absence of these transactions. The underwriters may conduct these transactions on the NASDAQ Global Market or in the over-the-counter market, or otherwise. If the underwriters commence any of these transactions, they may discontinue them at any time.</w:t>
      </w:r>
    </w:p>
    <w:p>
      <w:pPr>
        <w:spacing w:after="0" w:line="168" w:lineRule="exact"/>
        <w:rPr>
          <w:sz w:val="20"/>
          <w:szCs w:val="20"/>
          <w:color w:val="auto"/>
        </w:rPr>
      </w:pPr>
    </w:p>
    <w:p>
      <w:pPr>
        <w:ind w:left="220"/>
        <w:spacing w:after="0"/>
        <w:tabs>
          <w:tab w:leader="none" w:pos="4480" w:val="left"/>
        </w:tabs>
        <w:rPr>
          <w:sz w:val="20"/>
          <w:szCs w:val="20"/>
          <w:color w:val="auto"/>
        </w:rPr>
      </w:pPr>
      <w:r>
        <w:rPr>
          <w:rFonts w:ascii="Times New Roman" w:cs="Times New Roman" w:eastAsia="Times New Roman" w:hAnsi="Times New Roman"/>
          <w:sz w:val="14"/>
          <w:szCs w:val="14"/>
          <w:color w:val="auto"/>
        </w:rPr>
        <w:t>We estimate that our portion of the total expenses of this offering will be $</w:t>
      </w:r>
      <w:r>
        <w:rPr>
          <w:sz w:val="20"/>
          <w:szCs w:val="20"/>
          <w:color w:val="auto"/>
        </w:rPr>
        <w:tab/>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40"/>
          </w:cols>
          <w:pgMar w:left="220" w:top="674" w:right="339" w:bottom="1440" w:gutter="0" w:footer="0" w:header="0"/>
        </w:sectPr>
      </w:pPr>
    </w:p>
    <w:bookmarkStart w:id="116" w:name="page117"/>
    <w:bookmarkEnd w:id="116"/>
    <w:p>
      <w:pPr>
        <w:ind w:right="240" w:firstLine="209"/>
        <w:spacing w:after="0" w:line="270" w:lineRule="auto"/>
        <w:rPr>
          <w:sz w:val="20"/>
          <w:szCs w:val="20"/>
          <w:color w:val="auto"/>
        </w:rPr>
      </w:pPr>
      <w:r>
        <w:rPr>
          <w:rFonts w:ascii="Times New Roman" w:cs="Times New Roman" w:eastAsia="Times New Roman" w:hAnsi="Times New Roman"/>
          <w:sz w:val="14"/>
          <w:szCs w:val="14"/>
          <w:color w:val="auto"/>
        </w:rPr>
        <w:t>The underwriters have performed investment banking and advisory services for us from time to time for which they have received customary fees and expenses. The underwriters may, from time to time, engage in transactions with and perform services for us in the ordinary course of their business.</w:t>
      </w:r>
    </w:p>
    <w:p>
      <w:pPr>
        <w:spacing w:after="0" w:line="140" w:lineRule="exact"/>
        <w:rPr>
          <w:sz w:val="20"/>
          <w:szCs w:val="20"/>
          <w:color w:val="auto"/>
        </w:rPr>
      </w:pPr>
    </w:p>
    <w:p>
      <w:pPr>
        <w:ind w:right="280" w:firstLine="204"/>
        <w:spacing w:after="0" w:line="356" w:lineRule="auto"/>
        <w:rPr>
          <w:sz w:val="20"/>
          <w:szCs w:val="20"/>
          <w:color w:val="auto"/>
        </w:rPr>
      </w:pPr>
      <w:r>
        <w:rPr>
          <w:rFonts w:ascii="Times New Roman" w:cs="Times New Roman" w:eastAsia="Times New Roman" w:hAnsi="Times New Roman"/>
          <w:sz w:val="12"/>
          <w:szCs w:val="12"/>
          <w:color w:val="auto"/>
        </w:rPr>
        <w:t>An affiliate of Citigroup Global Markets Inc. holds $10,000,000 of credit-linked notes on which the amount of interest payable depends on the amount distributed by GSC Partners CDO GP III, L.P., the general partner of a limited partnership that invests substantially all its assets in CDO Fund III. It is expected that in the ultimate liquidation of CDO Fund III these credit-linked notes will be repaid.</w:t>
      </w:r>
    </w:p>
    <w:p>
      <w:pPr>
        <w:spacing w:after="0" w:line="114" w:lineRule="exact"/>
        <w:rPr>
          <w:sz w:val="20"/>
          <w:szCs w:val="20"/>
          <w:color w:val="auto"/>
        </w:rPr>
      </w:pPr>
    </w:p>
    <w:p>
      <w:pPr>
        <w:ind w:right="20" w:firstLine="209"/>
        <w:spacing w:after="0" w:line="260"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the websites maintained by one or more of the underwriters. The representatives may agree to allocate a number of shares to underwriters for sale to their online brokerage account holders. The representatives will allocate shares to underwriters that may make Internet distributions on the same basis as other allocations. In addition, shares may be sold by the underwriters to securities dealers who resell shares to online brokerage account holders.</w:t>
      </w:r>
    </w:p>
    <w:p>
      <w:pPr>
        <w:spacing w:after="0" w:line="168" w:lineRule="exact"/>
        <w:rPr>
          <w:sz w:val="20"/>
          <w:szCs w:val="20"/>
          <w:color w:val="auto"/>
        </w:rPr>
      </w:pPr>
    </w:p>
    <w:p>
      <w:pPr>
        <w:ind w:right="60" w:firstLine="209"/>
        <w:spacing w:after="0" w:line="270"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199" w:lineRule="exact"/>
        <w:rPr>
          <w:sz w:val="20"/>
          <w:szCs w:val="20"/>
          <w:color w:val="auto"/>
        </w:rPr>
      </w:pPr>
    </w:p>
    <w:p>
      <w:pPr>
        <w:ind w:right="60" w:firstLine="209"/>
        <w:spacing w:after="0" w:line="254"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to any legal entity that is authorized or regulated to operate in the financial markets or, if not so authorized or regulated, whose corporate purpose is solely to invest in securities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right="300"/>
        <w:spacing w:after="0" w:line="302" w:lineRule="auto"/>
        <w:rPr>
          <w:sz w:val="20"/>
          <w:szCs w:val="20"/>
          <w:color w:val="auto"/>
        </w:rPr>
      </w:pPr>
      <w:r>
        <w:rPr>
          <w:rFonts w:ascii="Times New Roman" w:cs="Times New Roman" w:eastAsia="Times New Roman" w:hAnsi="Times New Roman"/>
          <w:sz w:val="14"/>
          <w:szCs w:val="14"/>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-229870</wp:posOffset>
            </wp:positionV>
            <wp:extent cx="58420" cy="584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 any other circumstances that do not require the publication of a prospectus pursuant to Article 3 of the Prospectus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right="440" w:firstLine="209"/>
        <w:spacing w:after="0" w:line="270" w:lineRule="auto"/>
        <w:rPr>
          <w:sz w:val="20"/>
          <w:szCs w:val="20"/>
          <w:color w:val="auto"/>
        </w:rPr>
      </w:pPr>
      <w:r>
        <w:rPr>
          <w:rFonts w:ascii="Times New Roman" w:cs="Times New Roman" w:eastAsia="Times New Roman" w:hAnsi="Times New Roman"/>
          <w:sz w:val="14"/>
          <w:szCs w:val="14"/>
          <w:color w:val="auto"/>
        </w:rPr>
        <w:t>Each purchaser of shares of our common stock described in this prospectus located within a relevant member state will be deemed to have represented, acknowledged and agreed that it is a “qualified investor” within the meaning of Article 2(1)(e) of the Prospectus Directive.</w:t>
      </w:r>
    </w:p>
    <w:p>
      <w:pPr>
        <w:spacing w:after="0" w:line="161" w:lineRule="exact"/>
        <w:rPr>
          <w:sz w:val="20"/>
          <w:szCs w:val="20"/>
          <w:color w:val="auto"/>
        </w:rPr>
      </w:pPr>
    </w:p>
    <w:p>
      <w:pPr>
        <w:ind w:firstLine="209"/>
        <w:spacing w:after="0" w:line="260" w:lineRule="auto"/>
        <w:rPr>
          <w:sz w:val="20"/>
          <w:szCs w:val="20"/>
          <w:color w:val="auto"/>
        </w:rPr>
      </w:pPr>
      <w:r>
        <w:rPr>
          <w:rFonts w:ascii="Times New Roman" w:cs="Times New Roman" w:eastAsia="Times New Roman" w:hAnsi="Times New Roman"/>
          <w:sz w:val="14"/>
          <w:szCs w:val="14"/>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68" w:lineRule="exact"/>
        <w:rPr>
          <w:sz w:val="20"/>
          <w:szCs w:val="20"/>
          <w:color w:val="auto"/>
        </w:rPr>
      </w:pPr>
    </w:p>
    <w:p>
      <w:pPr>
        <w:ind w:right="180" w:firstLine="209"/>
        <w:spacing w:after="0" w:line="260" w:lineRule="auto"/>
        <w:rPr>
          <w:sz w:val="20"/>
          <w:szCs w:val="20"/>
          <w:color w:val="auto"/>
        </w:rPr>
      </w:pPr>
      <w:r>
        <w:rPr>
          <w:rFonts w:ascii="Times New Roman" w:cs="Times New Roman" w:eastAsia="Times New Roman" w:hAnsi="Times New Roman"/>
          <w:sz w:val="14"/>
          <w:szCs w:val="14"/>
          <w:color w:val="auto"/>
        </w:rPr>
        <w:t>The sellers of shares of our common stock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95" w:right="2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199" w:lineRule="exact"/>
        <w:rPr>
          <w:sz w:val="20"/>
          <w:szCs w:val="20"/>
          <w:color w:val="auto"/>
        </w:rPr>
      </w:pPr>
    </w:p>
    <w:p>
      <w:pPr>
        <w:ind w:right="40" w:firstLine="209"/>
        <w:spacing w:after="0" w:line="254" w:lineRule="auto"/>
        <w:rPr>
          <w:sz w:val="20"/>
          <w:szCs w:val="20"/>
          <w:color w:val="auto"/>
        </w:rPr>
      </w:pPr>
      <w:r>
        <w:rPr>
          <w:rFonts w:ascii="Times New Roman" w:cs="Times New Roman" w:eastAsia="Times New Roman" w:hAnsi="Times New Roman"/>
          <w:sz w:val="14"/>
          <w:szCs w:val="14"/>
          <w:color w:val="auto"/>
        </w:rPr>
        <w:t>This prospectus is only being distributed to, and is only directed at, persons in the United Kingdom that are qualified investors within the meaning of Article 2(1)(e) of the Prospectus Directive (“Qualified Investors”)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This prospectus and its contents are confidential and should not be distributed, published or reproduced (in whole or in part) or disclosed by recipients to any other persons in the United Kingdom. Any person in the United Kingdom that is not a relevant persons should not act or rely on this document or any of its contents.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France</w:t>
      </w:r>
    </w:p>
    <w:p>
      <w:pPr>
        <w:spacing w:after="0" w:line="199" w:lineRule="exact"/>
        <w:rPr>
          <w:sz w:val="20"/>
          <w:szCs w:val="20"/>
          <w:color w:val="auto"/>
        </w:rPr>
      </w:pPr>
    </w:p>
    <w:p>
      <w:pPr>
        <w:ind w:right="220" w:firstLine="209"/>
        <w:spacing w:after="0" w:line="260" w:lineRule="auto"/>
        <w:rPr>
          <w:sz w:val="20"/>
          <w:szCs w:val="20"/>
          <w:color w:val="auto"/>
        </w:rPr>
      </w:pPr>
      <w:r>
        <w:rPr>
          <w:rFonts w:ascii="Times New Roman" w:cs="Times New Roman" w:eastAsia="Times New Roman" w:hAnsi="Times New Roman"/>
          <w:sz w:val="14"/>
          <w:szCs w:val="14"/>
          <w:color w:val="auto"/>
        </w:rPr>
        <w:t>Neither this prospectus nor any other offering material relating to the shares described in this prospectus has been submitted to the clearance procedures of the Autorité des Marchés Financiers or by the competent authority of another member state of the European Economic Area and notified to the Autorité des Marchés Financiers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shares have not been offered or sold and will not be offered or sold, directly or indirectly, to the public in France. Neither this prospectus nor any other offering material relating to the shares has been or will be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released, issued, distributed or caused to be released, issued or distributed to the public in France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used in connection with any offer for subscription or sale of the shares to the public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Such offers, sales and distributions will be made in France only</w:t>
      </w:r>
    </w:p>
    <w:p>
      <w:pPr>
        <w:spacing w:after="0" w:line="193" w:lineRule="exact"/>
        <w:rPr>
          <w:sz w:val="20"/>
          <w:szCs w:val="20"/>
          <w:color w:val="auto"/>
        </w:rPr>
      </w:pPr>
    </w:p>
    <w:p>
      <w:pPr>
        <w:ind w:left="420" w:right="80"/>
        <w:spacing w:after="0" w:line="305" w:lineRule="auto"/>
        <w:rPr>
          <w:sz w:val="20"/>
          <w:szCs w:val="20"/>
          <w:color w:val="auto"/>
        </w:rPr>
      </w:pPr>
      <w:r>
        <w:rPr>
          <w:rFonts w:ascii="Times New Roman" w:cs="Times New Roman" w:eastAsia="Times New Roman" w:hAnsi="Times New Roman"/>
          <w:sz w:val="14"/>
          <w:szCs w:val="14"/>
          <w:color w:val="auto"/>
        </w:rPr>
        <w:t>to qualified investors (</w:t>
      </w:r>
      <w:r>
        <w:rPr>
          <w:rFonts w:ascii="Times New Roman" w:cs="Times New Roman" w:eastAsia="Times New Roman" w:hAnsi="Times New Roman"/>
          <w:sz w:val="14"/>
          <w:szCs w:val="14"/>
          <w:i w:val="1"/>
          <w:iCs w:val="1"/>
          <w:color w:val="auto"/>
        </w:rPr>
        <w:t>investisseurs qualifiés</w:t>
      </w:r>
      <w:r>
        <w:rPr>
          <w:rFonts w:ascii="Times New Roman" w:cs="Times New Roman" w:eastAsia="Times New Roman" w:hAnsi="Times New Roman"/>
          <w:sz w:val="14"/>
          <w:szCs w:val="14"/>
          <w:color w:val="auto"/>
        </w:rPr>
        <w:t>) and/or to a restricted circle of investors (</w:t>
      </w:r>
      <w:r>
        <w:rPr>
          <w:rFonts w:ascii="Times New Roman" w:cs="Times New Roman" w:eastAsia="Times New Roman" w:hAnsi="Times New Roman"/>
          <w:sz w:val="14"/>
          <w:szCs w:val="14"/>
          <w:i w:val="1"/>
          <w:iCs w:val="1"/>
          <w:color w:val="auto"/>
        </w:rPr>
        <w:t>cercle restreint d’investisseurs</w:t>
      </w:r>
      <w:r>
        <w:rPr>
          <w:rFonts w:ascii="Times New Roman" w:cs="Times New Roman" w:eastAsia="Times New Roman" w:hAnsi="Times New Roman"/>
          <w:sz w:val="14"/>
          <w:szCs w:val="14"/>
          <w:color w:val="auto"/>
        </w:rPr>
        <w:t xml:space="preserve">), in each case investing for their own account, all as defined in, and in accordance with, Article L.411-2, D.411-1, D.411-2, D.734-1, D.744-1, D.754-1 and D.764-1 of the French </w:t>
      </w:r>
      <w:r>
        <w:rPr>
          <w:rFonts w:ascii="Times New Roman" w:cs="Times New Roman" w:eastAsia="Times New Roman" w:hAnsi="Times New Roman"/>
          <w:sz w:val="14"/>
          <w:szCs w:val="14"/>
          <w:i w:val="1"/>
          <w:iCs w:val="1"/>
          <w:color w:val="auto"/>
        </w:rPr>
        <w:t>Code monétaire et financier</w:t>
      </w:r>
      <w:r>
        <w:rPr>
          <w:rFonts w:ascii="Times New Roman" w:cs="Times New Roman" w:eastAsia="Times New Roman" w:hAnsi="Times New Roman"/>
          <w:sz w:val="14"/>
          <w:szCs w:val="14"/>
          <w:color w:val="auto"/>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-231140</wp:posOffset>
            </wp:positionV>
            <wp:extent cx="58420" cy="584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to investment services providers authorized to engage in portfolio management on behalf of third parties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-74930</wp:posOffset>
            </wp:positionV>
            <wp:extent cx="58420" cy="584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4" w:lineRule="exact"/>
        <w:rPr>
          <w:sz w:val="20"/>
          <w:szCs w:val="20"/>
          <w:color w:val="auto"/>
        </w:rPr>
      </w:pPr>
    </w:p>
    <w:p>
      <w:pPr>
        <w:ind w:left="420"/>
        <w:spacing w:after="0" w:line="305" w:lineRule="auto"/>
        <w:rPr>
          <w:sz w:val="20"/>
          <w:szCs w:val="20"/>
          <w:color w:val="auto"/>
        </w:rPr>
      </w:pPr>
      <w:r>
        <w:rPr>
          <w:rFonts w:ascii="Times New Roman" w:cs="Times New Roman" w:eastAsia="Times New Roman" w:hAnsi="Times New Roman"/>
          <w:sz w:val="14"/>
          <w:szCs w:val="14"/>
          <w:color w:val="auto"/>
        </w:rPr>
        <w:t xml:space="preserve">in a transaction that, in accordance with article L.411-2-II-1°-or-2°-or 3° of the French </w:t>
      </w:r>
      <w:r>
        <w:rPr>
          <w:rFonts w:ascii="Times New Roman" w:cs="Times New Roman" w:eastAsia="Times New Roman" w:hAnsi="Times New Roman"/>
          <w:sz w:val="14"/>
          <w:szCs w:val="14"/>
          <w:i w:val="1"/>
          <w:iCs w:val="1"/>
          <w:color w:val="auto"/>
        </w:rPr>
        <w:t>Code monétaire et financier</w:t>
      </w:r>
      <w:r>
        <w:rPr>
          <w:rFonts w:ascii="Times New Roman" w:cs="Times New Roman" w:eastAsia="Times New Roman" w:hAnsi="Times New Roman"/>
          <w:sz w:val="14"/>
          <w:szCs w:val="14"/>
          <w:color w:val="auto"/>
        </w:rPr>
        <w:t xml:space="preserve"> and article 211-2 of the General Regulations (</w:t>
      </w:r>
      <w:r>
        <w:rPr>
          <w:rFonts w:ascii="Times New Roman" w:cs="Times New Roman" w:eastAsia="Times New Roman" w:hAnsi="Times New Roman"/>
          <w:sz w:val="14"/>
          <w:szCs w:val="14"/>
          <w:i w:val="1"/>
          <w:iCs w:val="1"/>
          <w:color w:val="auto"/>
        </w:rPr>
        <w:t>Règlement Général</w:t>
      </w:r>
      <w:r>
        <w:rPr>
          <w:rFonts w:ascii="Times New Roman" w:cs="Times New Roman" w:eastAsia="Times New Roman" w:hAnsi="Times New Roman"/>
          <w:sz w:val="14"/>
          <w:szCs w:val="14"/>
          <w:color w:val="auto"/>
        </w:rPr>
        <w:t>) of the Autorité des Marchés Financiers, does not constitute a public offer (</w:t>
      </w:r>
      <w:r>
        <w:rPr>
          <w:rFonts w:ascii="Times New Roman" w:cs="Times New Roman" w:eastAsia="Times New Roman" w:hAnsi="Times New Roman"/>
          <w:sz w:val="14"/>
          <w:szCs w:val="14"/>
          <w:i w:val="1"/>
          <w:iCs w:val="1"/>
          <w:color w:val="auto"/>
        </w:rPr>
        <w:t>appel public à l’épargne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-231140</wp:posOffset>
            </wp:positionV>
            <wp:extent cx="58420" cy="584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The shares may be resold directly or indirectly, only in compliance with Articles L.411-1, L.411-2, L.412-1 and L.621-8 through L.621-8-3 of the French </w:t>
      </w:r>
      <w:r>
        <w:rPr>
          <w:rFonts w:ascii="Times New Roman" w:cs="Times New Roman" w:eastAsia="Times New Roman" w:hAnsi="Times New Roman"/>
          <w:sz w:val="14"/>
          <w:szCs w:val="14"/>
          <w:i w:val="1"/>
          <w:iCs w:val="1"/>
          <w:color w:val="auto"/>
        </w:rPr>
        <w:t>Code monétaire et financier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60"/>
          </w:cols>
          <w:pgMar w:left="220" w:top="670" w:right="319" w:bottom="1440" w:gutter="0" w:footer="0" w:header="0"/>
        </w:sectPr>
      </w:pPr>
    </w:p>
    <w:bookmarkStart w:id="118" w:name="page119"/>
    <w:bookmarkEnd w:id="118"/>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99" w:lineRule="exact"/>
        <w:rPr>
          <w:sz w:val="20"/>
          <w:szCs w:val="20"/>
          <w:color w:val="auto"/>
        </w:rPr>
      </w:pPr>
    </w:p>
    <w:p>
      <w:pPr>
        <w:jc w:val="both"/>
        <w:ind w:firstLine="209"/>
        <w:spacing w:after="0" w:line="260" w:lineRule="auto"/>
        <w:rPr>
          <w:sz w:val="20"/>
          <w:szCs w:val="20"/>
          <w:color w:val="auto"/>
        </w:rPr>
      </w:pPr>
      <w:r>
        <w:rPr>
          <w:rFonts w:ascii="Times New Roman" w:cs="Times New Roman" w:eastAsia="Times New Roman" w:hAnsi="Times New Roman"/>
          <w:sz w:val="14"/>
          <w:szCs w:val="14"/>
          <w:color w:val="auto"/>
        </w:rPr>
        <w:t>Certain legal matters regarding the securities offered by this prospectus will be passed upon for GSC Investment LLC by Davis Polk &amp; Wardwell, New York, New York, and Venable LLP, Baltimore, Maryland. Davis Polk &amp; Wardwell and Venable LLP have from time to time represented certain of the underwriters, GSC Group and our investment adviser on unrelated matters. Certain legal matters in connection with the offering will be passed upon for the underwriters by Clifford Chance US LLP, New York, New York.</w:t>
      </w:r>
    </w:p>
    <w:p>
      <w:pPr>
        <w:spacing w:after="0" w:line="14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020"/>
          </w:cols>
          <w:pgMar w:left="220" w:top="482" w:right="659" w:bottom="1440" w:gutter="0" w:footer="0" w:header="0"/>
        </w:sectPr>
      </w:pPr>
    </w:p>
    <w:bookmarkStart w:id="119" w:name="page120"/>
    <w:bookmarkEnd w:id="119"/>
    <w:p>
      <w:pPr>
        <w:ind w:left="3960"/>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ACCOUNTANTS</w:t>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has been selected as our independent registered public accountants.</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99" w:lineRule="exact"/>
        <w:rPr>
          <w:sz w:val="20"/>
          <w:szCs w:val="20"/>
          <w:color w:val="auto"/>
        </w:rPr>
      </w:pPr>
    </w:p>
    <w:p>
      <w:pPr>
        <w:jc w:val="both"/>
        <w:ind w:firstLine="209"/>
        <w:spacing w:after="0" w:line="270"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N-2, together with all amendments and related exhibits, under the Securities Act, with respect to our shares of our common stock offered by this prospectus. The registration statement contains additional information about us and our shares of our common stock being offered by this prospectus.</w:t>
      </w:r>
    </w:p>
    <w:p>
      <w:pPr>
        <w:spacing w:after="0" w:line="161" w:lineRule="exact"/>
        <w:rPr>
          <w:sz w:val="20"/>
          <w:szCs w:val="20"/>
          <w:color w:val="auto"/>
        </w:rPr>
      </w:pPr>
    </w:p>
    <w:p>
      <w:pPr>
        <w:jc w:val="both"/>
        <w:ind w:right="20" w:firstLine="209"/>
        <w:spacing w:after="0" w:line="295" w:lineRule="auto"/>
        <w:rPr>
          <w:sz w:val="20"/>
          <w:szCs w:val="20"/>
          <w:color w:val="auto"/>
        </w:rPr>
      </w:pPr>
      <w:r>
        <w:rPr>
          <w:rFonts w:ascii="Times New Roman" w:cs="Times New Roman" w:eastAsia="Times New Roman" w:hAnsi="Times New Roman"/>
          <w:sz w:val="12"/>
          <w:szCs w:val="12"/>
          <w:color w:val="auto"/>
        </w:rPr>
        <w:t>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of which this prospectus forms a part and the related exhibits and schedules, at the Public Reference Room of the SEC at 100 F Street, N.E., Washington, D.C. 20549. You may obtain information on the operation of the Public Reference Room by calling the SEC at 1-800-SEC-0330.</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 xml:space="preserve">Copies of these reports, proxy and information statements and other information may be obtained, after paying a duplicating fee, by electronic request at the following e-mail address: publicinfo@sec.gov, or by writing the SEC’s Public Reference Section, Washington, D.C. 20549-0102. In addition, the SEC maintains an Internet website that contains reports, proxy and information statements and other information filed electronically by us with the SEC at </w:t>
      </w:r>
      <w:r>
        <w:rPr>
          <w:rFonts w:ascii="Times New Roman" w:cs="Times New Roman" w:eastAsia="Times New Roman" w:hAnsi="Times New Roman"/>
          <w:sz w:val="14"/>
          <w:szCs w:val="14"/>
          <w:i w:val="1"/>
          <w:iCs w:val="1"/>
          <w:color w:val="0000FF"/>
        </w:rPr>
        <w:t>http://www.sec.gov</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20"/>
          </w:cols>
          <w:pgMar w:left="220" w:top="670" w:right="2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332"/>
        </w:trPr>
        <w:tc>
          <w:tcPr>
            <w:tcW w:w="2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600" w:type="dxa"/>
            <w:vAlign w:val="bottom"/>
            <w:gridSpan w:val="2"/>
          </w:tcPr>
          <w:p>
            <w:pPr>
              <w:jc w:val="center"/>
              <w:ind w:right="4714"/>
              <w:spacing w:after="0"/>
              <w:rPr>
                <w:sz w:val="20"/>
                <w:szCs w:val="20"/>
                <w:color w:val="auto"/>
              </w:rPr>
            </w:pPr>
            <w:r>
              <w:rPr>
                <w:rFonts w:ascii="Times New Roman" w:cs="Times New Roman" w:eastAsia="Times New Roman" w:hAnsi="Times New Roman"/>
                <w:sz w:val="25"/>
                <w:szCs w:val="25"/>
                <w:b w:val="1"/>
                <w:bCs w:val="1"/>
                <w:color w:val="auto"/>
                <w:w w:val="99"/>
              </w:rPr>
              <w:t>Shares</w:t>
            </w:r>
          </w:p>
        </w:tc>
        <w:tc>
          <w:tcPr>
            <w:tcW w:w="0" w:type="dxa"/>
            <w:vAlign w:val="bottom"/>
          </w:tcPr>
          <w:p>
            <w:pPr>
              <w:spacing w:after="0"/>
              <w:rPr>
                <w:sz w:val="1"/>
                <w:szCs w:val="1"/>
                <w:color w:val="auto"/>
              </w:rPr>
            </w:pPr>
          </w:p>
        </w:tc>
      </w:tr>
      <w:tr>
        <w:trPr>
          <w:trHeight w:val="767"/>
        </w:trPr>
        <w:tc>
          <w:tcPr>
            <w:tcW w:w="2160" w:type="dxa"/>
            <w:vAlign w:val="bottom"/>
          </w:tcPr>
          <w:p>
            <w:pPr>
              <w:spacing w:after="0"/>
              <w:rPr>
                <w:sz w:val="24"/>
                <w:szCs w:val="24"/>
                <w:color w:val="auto"/>
              </w:rPr>
            </w:pPr>
          </w:p>
        </w:tc>
        <w:tc>
          <w:tcPr>
            <w:tcW w:w="9300" w:type="dxa"/>
            <w:vAlign w:val="bottom"/>
            <w:gridSpan w:val="3"/>
          </w:tcPr>
          <w:p>
            <w:pPr>
              <w:jc w:val="center"/>
              <w:ind w:right="2014"/>
              <w:spacing w:after="0"/>
              <w:rPr>
                <w:sz w:val="20"/>
                <w:szCs w:val="20"/>
                <w:color w:val="auto"/>
              </w:rPr>
            </w:pPr>
            <w:r>
              <w:rPr>
                <w:rFonts w:ascii="Times New Roman" w:cs="Times New Roman" w:eastAsia="Times New Roman" w:hAnsi="Times New Roman"/>
                <w:sz w:val="50"/>
                <w:szCs w:val="50"/>
                <w:b w:val="1"/>
                <w:bCs w:val="1"/>
                <w:color w:val="auto"/>
              </w:rPr>
              <w:t>GSC Investment Corp.</w:t>
            </w:r>
          </w:p>
        </w:tc>
        <w:tc>
          <w:tcPr>
            <w:tcW w:w="0" w:type="dxa"/>
            <w:vAlign w:val="bottom"/>
          </w:tcPr>
          <w:p>
            <w:pPr>
              <w:spacing w:after="0"/>
              <w:rPr>
                <w:sz w:val="1"/>
                <w:szCs w:val="1"/>
                <w:color w:val="auto"/>
              </w:rPr>
            </w:pPr>
          </w:p>
        </w:tc>
      </w:tr>
      <w:tr>
        <w:trPr>
          <w:trHeight w:val="426"/>
        </w:trPr>
        <w:tc>
          <w:tcPr>
            <w:tcW w:w="2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600" w:type="dxa"/>
            <w:vAlign w:val="bottom"/>
            <w:gridSpan w:val="2"/>
          </w:tcPr>
          <w:p>
            <w:pPr>
              <w:jc w:val="center"/>
              <w:ind w:right="4734"/>
              <w:spacing w:after="0"/>
              <w:rPr>
                <w:sz w:val="20"/>
                <w:szCs w:val="20"/>
                <w:color w:val="auto"/>
              </w:rPr>
            </w:pPr>
            <w:r>
              <w:rPr>
                <w:rFonts w:ascii="Times New Roman" w:cs="Times New Roman" w:eastAsia="Times New Roman" w:hAnsi="Times New Roman"/>
                <w:sz w:val="25"/>
                <w:szCs w:val="25"/>
                <w:b w:val="1"/>
                <w:bCs w:val="1"/>
                <w:color w:val="auto"/>
              </w:rPr>
              <w:t>Common Stock</w:t>
            </w:r>
          </w:p>
        </w:tc>
        <w:tc>
          <w:tcPr>
            <w:tcW w:w="0" w:type="dxa"/>
            <w:vAlign w:val="bottom"/>
          </w:tcPr>
          <w:p>
            <w:pPr>
              <w:spacing w:after="0"/>
              <w:rPr>
                <w:sz w:val="1"/>
                <w:szCs w:val="1"/>
                <w:color w:val="auto"/>
              </w:rPr>
            </w:pPr>
          </w:p>
        </w:tc>
      </w:tr>
      <w:tr>
        <w:trPr>
          <w:trHeight w:val="320"/>
        </w:trPr>
        <w:tc>
          <w:tcPr>
            <w:tcW w:w="2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600" w:type="dxa"/>
            <w:vAlign w:val="bottom"/>
            <w:gridSpan w:val="2"/>
          </w:tcPr>
          <w:p>
            <w:pPr>
              <w:jc w:val="center"/>
              <w:ind w:right="4734"/>
              <w:spacing w:after="0"/>
              <w:rPr>
                <w:sz w:val="20"/>
                <w:szCs w:val="20"/>
                <w:color w:val="auto"/>
              </w:rPr>
            </w:pPr>
            <w:r>
              <w:rPr>
                <w:rFonts w:ascii="Times New Roman" w:cs="Times New Roman" w:eastAsia="Times New Roman" w:hAnsi="Times New Roman"/>
                <w:sz w:val="14"/>
                <w:szCs w:val="14"/>
                <w:color w:val="auto"/>
                <w:w w:val="95"/>
              </w:rPr>
              <w:t>[LOGO]</w:t>
            </w:r>
          </w:p>
        </w:tc>
        <w:tc>
          <w:tcPr>
            <w:tcW w:w="0" w:type="dxa"/>
            <w:vAlign w:val="bottom"/>
          </w:tcPr>
          <w:p>
            <w:pPr>
              <w:spacing w:after="0"/>
              <w:rPr>
                <w:sz w:val="1"/>
                <w:szCs w:val="1"/>
                <w:color w:val="auto"/>
              </w:rPr>
            </w:pPr>
          </w:p>
        </w:tc>
      </w:tr>
      <w:tr>
        <w:trPr>
          <w:trHeight w:val="525"/>
        </w:trPr>
        <w:tc>
          <w:tcPr>
            <w:tcW w:w="2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600" w:type="dxa"/>
            <w:vAlign w:val="bottom"/>
            <w:gridSpan w:val="2"/>
          </w:tcPr>
          <w:p>
            <w:pPr>
              <w:jc w:val="center"/>
              <w:ind w:right="4714"/>
              <w:spacing w:after="0"/>
              <w:rPr>
                <w:sz w:val="20"/>
                <w:szCs w:val="20"/>
                <w:color w:val="auto"/>
              </w:rPr>
            </w:pPr>
            <w:r>
              <w:rPr>
                <w:rFonts w:ascii="Times New Roman" w:cs="Times New Roman" w:eastAsia="Times New Roman" w:hAnsi="Times New Roman"/>
                <w:sz w:val="14"/>
                <w:szCs w:val="14"/>
                <w:b w:val="1"/>
                <w:bCs w:val="1"/>
                <w:color w:val="auto"/>
                <w:w w:val="96"/>
              </w:rPr>
              <w:t>P R O S P E C T U S</w:t>
            </w:r>
          </w:p>
        </w:tc>
        <w:tc>
          <w:tcPr>
            <w:tcW w:w="0" w:type="dxa"/>
            <w:vAlign w:val="bottom"/>
          </w:tcPr>
          <w:p>
            <w:pPr>
              <w:spacing w:after="0"/>
              <w:rPr>
                <w:sz w:val="1"/>
                <w:szCs w:val="1"/>
                <w:color w:val="auto"/>
              </w:rPr>
            </w:pPr>
          </w:p>
        </w:tc>
      </w:tr>
      <w:tr>
        <w:trPr>
          <w:trHeight w:val="356"/>
        </w:trPr>
        <w:tc>
          <w:tcPr>
            <w:tcW w:w="2160" w:type="dxa"/>
            <w:vAlign w:val="bottom"/>
          </w:tcPr>
          <w:p>
            <w:pPr>
              <w:spacing w:after="0"/>
              <w:rPr>
                <w:sz w:val="24"/>
                <w:szCs w:val="24"/>
                <w:color w:val="auto"/>
              </w:rPr>
            </w:pPr>
          </w:p>
        </w:tc>
        <w:tc>
          <w:tcPr>
            <w:tcW w:w="4440" w:type="dxa"/>
            <w:vAlign w:val="bottom"/>
            <w:gridSpan w:val="2"/>
          </w:tcPr>
          <w:p>
            <w:pPr>
              <w:jc w:val="center"/>
              <w:ind w:left="2540"/>
              <w:spacing w:after="0"/>
              <w:rPr>
                <w:sz w:val="20"/>
                <w:szCs w:val="20"/>
                <w:color w:val="auto"/>
              </w:rPr>
            </w:pPr>
            <w:r>
              <w:rPr>
                <w:rFonts w:ascii="Times New Roman" w:cs="Times New Roman" w:eastAsia="Times New Roman" w:hAnsi="Times New Roman"/>
                <w:sz w:val="14"/>
                <w:szCs w:val="14"/>
                <w:b w:val="1"/>
                <w:bCs w:val="1"/>
                <w:color w:val="auto"/>
                <w:w w:val="97"/>
              </w:rPr>
              <w:t>, 2007</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2160" w:type="dxa"/>
            <w:vAlign w:val="bottom"/>
            <w:vMerge w:val="restart"/>
          </w:tcPr>
          <w:p>
            <w:pPr>
              <w:spacing w:after="0"/>
              <w:rPr>
                <w:sz w:val="20"/>
                <w:szCs w:val="20"/>
                <w:color w:val="auto"/>
              </w:rPr>
            </w:pPr>
            <w:r>
              <w:rPr>
                <w:rFonts w:ascii="Times New Roman" w:cs="Times New Roman" w:eastAsia="Times New Roman" w:hAnsi="Times New Roman"/>
                <w:sz w:val="25"/>
                <w:szCs w:val="25"/>
                <w:b w:val="1"/>
                <w:bCs w:val="1"/>
                <w:color w:val="auto"/>
              </w:rPr>
              <w:t>Citigroup</w:t>
            </w:r>
          </w:p>
        </w:tc>
        <w:tc>
          <w:tcPr>
            <w:tcW w:w="2700" w:type="dxa"/>
            <w:vAlign w:val="bottom"/>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860" w:type="dxa"/>
            <w:vAlign w:val="bottom"/>
            <w:vMerge w:val="restart"/>
          </w:tcPr>
          <w:p>
            <w:pPr>
              <w:ind w:left="3720"/>
              <w:spacing w:after="0"/>
              <w:rPr>
                <w:sz w:val="20"/>
                <w:szCs w:val="20"/>
                <w:color w:val="auto"/>
              </w:rPr>
            </w:pPr>
            <w:r>
              <w:rPr>
                <w:rFonts w:ascii="Times New Roman" w:cs="Times New Roman" w:eastAsia="Times New Roman" w:hAnsi="Times New Roman"/>
                <w:sz w:val="25"/>
                <w:szCs w:val="25"/>
                <w:b w:val="1"/>
                <w:bCs w:val="1"/>
                <w:color w:val="auto"/>
                <w:w w:val="98"/>
              </w:rPr>
              <w:t>JPMorgan</w:t>
            </w:r>
          </w:p>
        </w:tc>
        <w:tc>
          <w:tcPr>
            <w:tcW w:w="0" w:type="dxa"/>
            <w:vAlign w:val="bottom"/>
          </w:tcPr>
          <w:p>
            <w:pPr>
              <w:spacing w:after="0"/>
              <w:rPr>
                <w:sz w:val="1"/>
                <w:szCs w:val="1"/>
                <w:color w:val="auto"/>
              </w:rPr>
            </w:pPr>
          </w:p>
        </w:tc>
      </w:tr>
      <w:tr>
        <w:trPr>
          <w:trHeight w:val="370"/>
        </w:trPr>
        <w:tc>
          <w:tcPr>
            <w:tcW w:w="216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61"/>
        </w:trPr>
        <w:tc>
          <w:tcPr>
            <w:tcW w:w="2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192405</wp:posOffset>
            </wp:positionV>
            <wp:extent cx="7283450" cy="323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3450" cy="32385"/>
                    </a:xfrm>
                    <a:prstGeom prst="rect">
                      <a:avLst/>
                    </a:prstGeom>
                    <a:noFill/>
                  </pic:spPr>
                </pic:pic>
              </a:graphicData>
            </a:graphic>
          </wp:anchor>
        </w:drawing>
        <w:drawing>
          <wp:anchor simplePos="0" relativeHeight="251657728" behindDoc="1" locked="0" layoutInCell="0" allowOverlap="1">
            <wp:simplePos x="0" y="0"/>
            <wp:positionH relativeFrom="column">
              <wp:posOffset>7270115</wp:posOffset>
            </wp:positionH>
            <wp:positionV relativeFrom="paragraph">
              <wp:posOffset>-31750</wp:posOffset>
            </wp:positionV>
            <wp:extent cx="12700" cy="323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2700" cy="323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32385"/>
                    </a:xfrm>
                    <a:prstGeom prst="rect">
                      <a:avLst/>
                    </a:prstGeom>
                    <a:noFill/>
                  </pic:spPr>
                </pic:pic>
              </a:graphicData>
            </a:graphic>
          </wp:anchor>
        </w:drawing>
      </w:r>
    </w:p>
    <w:p>
      <w:pPr>
        <w:sectPr>
          <w:pgSz w:w="11900" w:h="16838" w:orient="portrait"/>
          <w:cols w:equalWidth="0" w:num="1">
            <w:col w:w="11460"/>
          </w:cols>
          <w:pgMar w:left="220" w:top="742" w:right="219" w:bottom="1440" w:gutter="0" w:footer="0" w:header="0"/>
        </w:sectPr>
      </w:pPr>
    </w:p>
    <w:bookmarkStart w:id="121" w:name="page122"/>
    <w:bookmarkEnd w:id="121"/>
    <w:p>
      <w:pPr>
        <w:jc w:val="right"/>
        <w:ind w:right="4000"/>
        <w:spacing w:after="0"/>
        <w:rPr>
          <w:sz w:val="20"/>
          <w:szCs w:val="20"/>
          <w:color w:val="auto"/>
        </w:rPr>
      </w:pPr>
      <w:r>
        <w:rPr>
          <w:rFonts w:ascii="Times New Roman" w:cs="Times New Roman" w:eastAsia="Times New Roman" w:hAnsi="Times New Roman"/>
          <w:sz w:val="14"/>
          <w:szCs w:val="14"/>
          <w:b w:val="1"/>
          <w:bCs w:val="1"/>
          <w:color w:val="auto"/>
        </w:rPr>
        <w:t>PART C—OTHER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25. Financial Statements and Exhibits</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1. Financial Statements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2.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0"/>
          <w:szCs w:val="10"/>
          <w:b w:val="1"/>
          <w:bCs w:val="1"/>
          <w:color w:val="auto"/>
        </w:rPr>
        <w:t>Number</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692531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25310" cy="6350"/>
                    </a:xfrm>
                    <a:prstGeom prst="rect">
                      <a:avLst/>
                    </a:prstGeom>
                    <a:noFill/>
                  </pic:spPr>
                </pic:pic>
              </a:graphicData>
            </a:graphic>
          </wp:anchor>
        </w:drawing>
      </w:r>
    </w:p>
    <w:p>
      <w:pPr>
        <w:sectPr>
          <w:pgSz w:w="11900" w:h="16838" w:orient="portrait"/>
          <w:cols w:equalWidth="0" w:num="1">
            <w:col w:w="10820"/>
          </w:cols>
          <w:pgMar w:left="220" w:top="858" w:right="85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n.3</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Form of Charter of GSC Investment Corp. (the “Company”).*</w:t>
            </w:r>
          </w:p>
        </w:tc>
        <w:tc>
          <w:tcPr>
            <w:tcW w:w="138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Form of bylaws of the Company.*</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188"/>
        </w:trPr>
        <w:tc>
          <w:tcPr>
            <w:tcW w:w="51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Specimen certificate of the Company’s common stock, par value $0.0001 per share.*</w:t>
            </w:r>
          </w:p>
        </w:tc>
        <w:tc>
          <w:tcPr>
            <w:tcW w:w="4260" w:type="dxa"/>
            <w:vAlign w:val="bottom"/>
          </w:tcPr>
          <w:p>
            <w:pPr>
              <w:spacing w:after="0"/>
              <w:rPr>
                <w:sz w:val="16"/>
                <w:szCs w:val="16"/>
                <w:color w:val="auto"/>
              </w:rPr>
            </w:pPr>
          </w:p>
        </w:tc>
      </w:tr>
      <w:tr>
        <w:trPr>
          <w:trHeight w:val="188"/>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Form of Registration Rights Agreement dated</w:t>
            </w:r>
          </w:p>
        </w:tc>
        <w:tc>
          <w:tcPr>
            <w:tcW w:w="682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 2006 between GSC Investment Corp., GSCP (NJ) L.P., JP Morgan Securities, Inc., and UBS Securities LLC. *</w:t>
            </w: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Form of Dividend Reinvestment Plan.*</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188"/>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senior secured revolving Credit Facility dated</w:t>
            </w:r>
          </w:p>
        </w:tc>
        <w:tc>
          <w:tcPr>
            <w:tcW w:w="6260" w:type="dxa"/>
            <w:vAlign w:val="bottom"/>
            <w:gridSpan w:val="3"/>
          </w:tcPr>
          <w:p>
            <w:pPr>
              <w:jc w:val="center"/>
              <w:ind w:right="1032"/>
              <w:spacing w:after="0"/>
              <w:rPr>
                <w:sz w:val="20"/>
                <w:szCs w:val="20"/>
                <w:color w:val="auto"/>
              </w:rPr>
            </w:pPr>
            <w:r>
              <w:rPr>
                <w:rFonts w:ascii="Times New Roman" w:cs="Times New Roman" w:eastAsia="Times New Roman" w:hAnsi="Times New Roman"/>
                <w:sz w:val="14"/>
                <w:szCs w:val="14"/>
                <w:color w:val="auto"/>
                <w:w w:val="97"/>
              </w:rPr>
              <w:t>, 2006 between GSC Investment Corp. and Citibank, N.A. and JPMorgan Chase Bank, N.A.*</w:t>
            </w:r>
          </w:p>
        </w:tc>
      </w:tr>
      <w:tr>
        <w:trPr>
          <w:trHeight w:val="188"/>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short-term senior secured Credit Facility dated</w:t>
            </w:r>
          </w:p>
        </w:tc>
        <w:tc>
          <w:tcPr>
            <w:tcW w:w="62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2006 between GSC Partners CDO Fund III, Limited and Citibank, N.A. and JPMorgan Chase Bank, N.A.*</w:t>
            </w:r>
          </w:p>
        </w:tc>
      </w:tr>
      <w:tr>
        <w:trPr>
          <w:trHeight w:val="181"/>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Form of Investment Advisory and Management Agreement dated</w:t>
            </w: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2006 between GSC Investment Corp. and GSCP (NJ) L.P. *</w:t>
            </w:r>
          </w:p>
        </w:tc>
      </w:tr>
      <w:tr>
        <w:trPr>
          <w:trHeight w:val="167"/>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Form of Underwriting Agreement dated</w:t>
            </w:r>
          </w:p>
        </w:tc>
        <w:tc>
          <w:tcPr>
            <w:tcW w:w="7120" w:type="dxa"/>
            <w:vAlign w:val="bottom"/>
            <w:gridSpan w:val="5"/>
          </w:tcPr>
          <w:p>
            <w:pPr>
              <w:jc w:val="center"/>
              <w:ind w:right="212"/>
              <w:spacing w:after="0"/>
              <w:rPr>
                <w:sz w:val="20"/>
                <w:szCs w:val="20"/>
                <w:color w:val="auto"/>
              </w:rPr>
            </w:pPr>
            <w:r>
              <w:rPr>
                <w:rFonts w:ascii="Times New Roman" w:cs="Times New Roman" w:eastAsia="Times New Roman" w:hAnsi="Times New Roman"/>
                <w:sz w:val="14"/>
                <w:szCs w:val="14"/>
                <w:color w:val="auto"/>
                <w:w w:val="96"/>
              </w:rPr>
              <w:t>, 2006 between the Company and Citigroup Global Markets, Inc. and J.P. Morgan Securities Inc., as representatives of the</w:t>
            </w:r>
          </w:p>
        </w:tc>
      </w:tr>
      <w:tr>
        <w:trPr>
          <w:trHeight w:val="175"/>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underwriters named therein.*</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Form of Custody Agreement dated</w:t>
            </w:r>
          </w:p>
        </w:tc>
        <w:tc>
          <w:tcPr>
            <w:tcW w:w="2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2006 between GSC Investment Corp. and</w:t>
            </w:r>
          </w:p>
        </w:tc>
        <w:tc>
          <w:tcPr>
            <w:tcW w:w="4260" w:type="dxa"/>
            <w:vAlign w:val="bottom"/>
          </w:tcPr>
          <w:p>
            <w:pPr>
              <w:jc w:val="center"/>
              <w:ind w:right="3032"/>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7"/>
              </w:rPr>
              <w:t>Form of Transfer Agency and Registrar Agreement dated</w:t>
            </w:r>
          </w:p>
        </w:tc>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 2006 between GSC Investment Corp. and American Stock Transfer and Trust Company.*</w:t>
            </w: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w w:val="96"/>
              </w:rPr>
              <w:t>Form of Administration Agreement dated</w:t>
            </w:r>
          </w:p>
        </w:tc>
        <w:tc>
          <w:tcPr>
            <w:tcW w:w="300" w:type="dxa"/>
            <w:vAlign w:val="bottom"/>
          </w:tcPr>
          <w:p>
            <w:pPr>
              <w:spacing w:after="0"/>
              <w:rPr>
                <w:sz w:val="16"/>
                <w:szCs w:val="16"/>
                <w:color w:val="auto"/>
              </w:rPr>
            </w:pPr>
          </w:p>
        </w:tc>
        <w:tc>
          <w:tcPr>
            <w:tcW w:w="68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2006 between GSC Investment Corp. and GSCP (NJ) L.P. *</w:t>
            </w:r>
          </w:p>
        </w:tc>
      </w:tr>
      <w:tr>
        <w:trPr>
          <w:trHeight w:val="181"/>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Form of Trademark License Agreement dated</w:t>
            </w:r>
          </w:p>
        </w:tc>
        <w:tc>
          <w:tcPr>
            <w:tcW w:w="682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 2006 between GSC Investment Corp. and GSCP (NJ) L.P. *</w:t>
            </w:r>
          </w:p>
        </w:tc>
      </w:tr>
      <w:tr>
        <w:trPr>
          <w:trHeight w:val="167"/>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Contribution and Exchange Agreement dated October</w:t>
            </w:r>
          </w:p>
        </w:tc>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6"/>
              </w:rPr>
              <w:t>, 2006 among GSC Investment LLC, GSC CDO III, L.L.C., GSCP (NJ), L.P., and the other investors party thereto.</w:t>
            </w:r>
          </w:p>
        </w:tc>
      </w:tr>
      <w:tr>
        <w:trPr>
          <w:trHeight w:val="175"/>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Portfolio Acquisition Agreement dated</w:t>
            </w:r>
          </w:p>
        </w:tc>
        <w:tc>
          <w:tcPr>
            <w:tcW w:w="712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 2006 between GSC Investment Corp. and GSC Partners CDO Fund III, Limited. *</w:t>
            </w: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Opinion of Davis Polk &amp; Wardwell, counsel to the Registrant.*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Thomas V. Inglesby pursuant to Rule 438 under the Securities Act of 1933 to be named as a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Richard M. Hayden pursuant to Rule 438 under the Securities Act of 1933 to be named as a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Robert F. Cummings, Jr. pursuant to Rule 438 under the Securities Act of 1933 to be named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299720</wp:posOffset>
            </wp:positionV>
            <wp:extent cx="7283450"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2">
            <w:col w:w="700" w:space="720"/>
            <w:col w:w="9400"/>
          </w:cols>
          <w:pgMar w:left="220" w:top="858" w:right="8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7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4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74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n.4</w:t>
            </w: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Consent of</w:t>
            </w:r>
          </w:p>
        </w:tc>
        <w:tc>
          <w:tcPr>
            <w:tcW w:w="7580" w:type="dxa"/>
            <w:vAlign w:val="bottom"/>
            <w:gridSpan w:val="2"/>
          </w:tcPr>
          <w:p>
            <w:pPr>
              <w:jc w:val="right"/>
              <w:ind w:right="4640"/>
              <w:spacing w:after="0"/>
              <w:rPr>
                <w:sz w:val="20"/>
                <w:szCs w:val="20"/>
                <w:color w:val="auto"/>
              </w:rPr>
            </w:pPr>
            <w:r>
              <w:rPr>
                <w:rFonts w:ascii="Times New Roman" w:cs="Times New Roman" w:eastAsia="Times New Roman" w:hAnsi="Times New Roman"/>
                <w:sz w:val="14"/>
                <w:szCs w:val="14"/>
                <w:color w:val="auto"/>
              </w:rPr>
              <w:t>, Independent Registered Public Accounting Firm.*</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n.5</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Consent of Davis Polk &amp; Wardwell, counsel to the Registrant (included in Exhibit 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o</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p</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q</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rr</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Code of Ethics of the Company adopted under Rule 17j-1.*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60" w:type="dxa"/>
            <w:vAlign w:val="bottom"/>
            <w:tcBorders>
              <w:bottom w:val="single" w:sz="8" w:color="808080"/>
            </w:tcBorders>
          </w:tcPr>
          <w:p>
            <w:pPr>
              <w:spacing w:after="0"/>
              <w:rPr>
                <w:sz w:val="23"/>
                <w:szCs w:val="23"/>
                <w:color w:val="auto"/>
              </w:rPr>
            </w:pPr>
          </w:p>
        </w:tc>
        <w:tc>
          <w:tcPr>
            <w:tcW w:w="1200" w:type="dxa"/>
            <w:vAlign w:val="bottom"/>
            <w:tcBorders>
              <w:bottom w:val="single" w:sz="8" w:color="808080"/>
            </w:tcBorders>
            <w:gridSpan w:val="3"/>
          </w:tcPr>
          <w:p>
            <w:pPr>
              <w:spacing w:after="0"/>
              <w:rPr>
                <w:sz w:val="23"/>
                <w:szCs w:val="23"/>
                <w:color w:val="auto"/>
              </w:rPr>
            </w:pPr>
          </w:p>
        </w:tc>
        <w:tc>
          <w:tcPr>
            <w:tcW w:w="74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To be filed by amendment.</w:t>
            </w:r>
          </w:p>
        </w:tc>
        <w:tc>
          <w:tcPr>
            <w:tcW w:w="7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Item 26. Marketing Arrangements</w:t>
            </w: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98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The information contained under the heading “Underwriting” in this Registration Statement is incorporated herein by reference.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99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Item 27. Other Expenses of Issuance and Distribution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98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The following table sets forth the estimated expenses payable by us in connection with the offering (excluding underwriting discounts and commissions):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94"/>
        </w:trPr>
        <w:tc>
          <w:tcPr>
            <w:tcW w:w="142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16,050</w:t>
            </w:r>
          </w:p>
        </w:tc>
        <w:tc>
          <w:tcPr>
            <w:tcW w:w="0" w:type="dxa"/>
            <w:vAlign w:val="bottom"/>
          </w:tcPr>
          <w:p>
            <w:pPr>
              <w:spacing w:after="0"/>
              <w:rPr>
                <w:sz w:val="1"/>
                <w:szCs w:val="1"/>
                <w:color w:val="auto"/>
              </w:rPr>
            </w:pPr>
          </w:p>
        </w:tc>
      </w:tr>
      <w:tr>
        <w:trPr>
          <w:trHeight w:val="188"/>
        </w:trPr>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NASD filing fee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NASDAQ Global Market listing fee</w:t>
            </w: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Blue sky qualification fees and expenses</w:t>
            </w: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Transfer Agent’s fee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105029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050290" cy="6350"/>
                    </a:xfrm>
                    <a:prstGeom prst="rect">
                      <a:avLst/>
                    </a:prstGeom>
                    <a:noFill/>
                  </pic:spPr>
                </pic:pic>
              </a:graphicData>
            </a:graphic>
          </wp:anchor>
        </w:drawing>
      </w:r>
    </w:p>
    <w:p>
      <w:pPr>
        <w:spacing w:after="0" w:line="339" w:lineRule="exact"/>
        <w:rPr>
          <w:sz w:val="20"/>
          <w:szCs w:val="20"/>
          <w:color w:val="auto"/>
        </w:rPr>
      </w:pPr>
    </w:p>
    <w:p>
      <w:pPr>
        <w:ind w:left="540" w:hanging="536"/>
        <w:spacing w:after="0"/>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completed by amendment.</w:t>
      </w:r>
    </w:p>
    <w:p>
      <w:pPr>
        <w:spacing w:after="0" w:line="383"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The amounts set forth above, except for the Securities and Exchange Commission, National Association of Securities Dealers, Inc. and The NASDAQ Global Market fees, are in each case estimated. All of the expenses set forth above shall be borne by the Registrant.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28. Persons Controlled by or Under Common Control</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information contained under the heading “Control Persons and Principal Stockholders”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60"/>
          </w:cols>
          <w:pgMar w:left="220" w:top="503"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9"/>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29. Number of Holders of Securities</w:t>
            </w:r>
          </w:p>
        </w:tc>
        <w:tc>
          <w:tcPr>
            <w:tcW w:w="5320" w:type="dxa"/>
            <w:vAlign w:val="bottom"/>
          </w:tcPr>
          <w:p>
            <w:pPr>
              <w:spacing w:after="0"/>
              <w:rPr>
                <w:sz w:val="15"/>
                <w:szCs w:val="15"/>
                <w:color w:val="auto"/>
              </w:rPr>
            </w:pPr>
          </w:p>
        </w:tc>
      </w:tr>
      <w:tr>
        <w:trPr>
          <w:trHeight w:val="356"/>
        </w:trPr>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7"/>
              </w:rPr>
              <w:t>The following table sets forth the number of record holders of the Registrant’s common equity at</w:t>
            </w:r>
          </w:p>
        </w:tc>
        <w:tc>
          <w:tcPr>
            <w:tcW w:w="5320" w:type="dxa"/>
            <w:vAlign w:val="bottom"/>
          </w:tcPr>
          <w:p>
            <w:pPr>
              <w:jc w:val="right"/>
              <w:ind w:right="4722"/>
              <w:spacing w:after="0"/>
              <w:rPr>
                <w:sz w:val="20"/>
                <w:szCs w:val="20"/>
                <w:color w:val="auto"/>
              </w:rPr>
            </w:pPr>
            <w:r>
              <w:rPr>
                <w:rFonts w:ascii="Times New Roman" w:cs="Times New Roman" w:eastAsia="Times New Roman" w:hAnsi="Times New Roman"/>
                <w:sz w:val="14"/>
                <w:szCs w:val="14"/>
                <w:color w:val="auto"/>
              </w:rPr>
              <w:t>2006.</w:t>
            </w:r>
          </w:p>
        </w:tc>
      </w:tr>
      <w:tr>
        <w:trPr>
          <w:trHeight w:val="348"/>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w:t>
            </w:r>
          </w:p>
        </w:tc>
      </w:tr>
      <w:tr>
        <w:trPr>
          <w:trHeight w:val="188"/>
        </w:trPr>
        <w:tc>
          <w:tcPr>
            <w:tcW w:w="55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Title of Class</w:t>
            </w:r>
          </w:p>
        </w:tc>
        <w:tc>
          <w:tcPr>
            <w:tcW w:w="5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Record Holders</w:t>
            </w:r>
          </w:p>
        </w:tc>
      </w:tr>
      <w:tr>
        <w:trPr>
          <w:trHeight w:val="94"/>
        </w:trPr>
        <w:tc>
          <w:tcPr>
            <w:tcW w:w="5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32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105029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50290" cy="6350"/>
                    </a:xfrm>
                    <a:prstGeom prst="rect">
                      <a:avLst/>
                    </a:prstGeom>
                    <a:noFill/>
                  </pic:spPr>
                </pic:pic>
              </a:graphicData>
            </a:graphic>
          </wp:anchor>
        </w:drawing>
      </w:r>
    </w:p>
    <w:p>
      <w:pPr>
        <w:spacing w:after="0" w:line="164" w:lineRule="exact"/>
        <w:rPr>
          <w:sz w:val="20"/>
          <w:szCs w:val="20"/>
          <w:color w:val="auto"/>
        </w:rPr>
      </w:pPr>
    </w:p>
    <w:p>
      <w:pPr>
        <w:ind w:left="540" w:hanging="536"/>
        <w:spacing w:after="0"/>
        <w:tabs>
          <w:tab w:leader="none" w:pos="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completed by amendment.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30. Indemnification</w:t>
      </w:r>
    </w:p>
    <w:p>
      <w:pPr>
        <w:spacing w:after="0" w:line="199" w:lineRule="exact"/>
        <w:rPr>
          <w:sz w:val="20"/>
          <w:szCs w:val="20"/>
          <w:color w:val="auto"/>
        </w:rPr>
      </w:pPr>
    </w:p>
    <w:p>
      <w:pPr>
        <w:ind w:right="340" w:firstLine="209"/>
        <w:spacing w:after="0" w:line="270" w:lineRule="auto"/>
        <w:rPr>
          <w:sz w:val="20"/>
          <w:szCs w:val="20"/>
          <w:color w:val="auto"/>
        </w:rPr>
      </w:pPr>
      <w:r>
        <w:rPr>
          <w:rFonts w:ascii="Times New Roman" w:cs="Times New Roman" w:eastAsia="Times New Roman" w:hAnsi="Times New Roman"/>
          <w:sz w:val="14"/>
          <w:szCs w:val="14"/>
          <w:color w:val="auto"/>
        </w:rPr>
        <w:t>The information contained under the heading “Description of Our Common Stock—Limitation on liability of directors and officers; indemnification and advance of expenses” is incorporated herein by reference.</w:t>
      </w:r>
    </w:p>
    <w:p>
      <w:pPr>
        <w:spacing w:after="0" w:line="161" w:lineRule="exact"/>
        <w:rPr>
          <w:sz w:val="20"/>
          <w:szCs w:val="20"/>
          <w:color w:val="auto"/>
        </w:rPr>
      </w:pPr>
    </w:p>
    <w:p>
      <w:pPr>
        <w:jc w:val="both"/>
        <w:ind w:right="20" w:firstLine="209"/>
        <w:spacing w:after="0" w:line="25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as amended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in the successful defense of an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Prior to the completion of this offering, the Registrant will carry liability insurance for the benefit of its directors and officers (other than with respect to claims resulting from the willful misfeasance, bad</w:t>
      </w:r>
    </w:p>
    <w:p>
      <w:pPr>
        <w:spacing w:after="0" w:line="37" w:lineRule="exact"/>
        <w:rPr>
          <w:sz w:val="20"/>
          <w:szCs w:val="20"/>
          <w:color w:val="auto"/>
        </w:rPr>
      </w:pPr>
    </w:p>
    <w:p>
      <w:pPr>
        <w:spacing w:after="0"/>
        <w:tabs>
          <w:tab w:leader="none" w:pos="7720" w:val="left"/>
          <w:tab w:leader="none" w:pos="9060" w:val="left"/>
        </w:tabs>
        <w:rPr>
          <w:sz w:val="20"/>
          <w:szCs w:val="20"/>
          <w:color w:val="auto"/>
        </w:rPr>
      </w:pPr>
      <w:r>
        <w:rPr>
          <w:rFonts w:ascii="Times New Roman" w:cs="Times New Roman" w:eastAsia="Times New Roman" w:hAnsi="Times New Roman"/>
          <w:sz w:val="14"/>
          <w:szCs w:val="14"/>
          <w:color w:val="auto"/>
        </w:rPr>
        <w:t>faith, gross negligence or reckless disregard of the duties involved in the conduct of his or her office) on a claims-made basis of up to $</w:t>
      </w:r>
      <w:r>
        <w:rPr>
          <w:sz w:val="20"/>
          <w:szCs w:val="20"/>
          <w:color w:val="auto"/>
        </w:rPr>
        <w:tab/>
      </w:r>
      <w:r>
        <w:rPr>
          <w:rFonts w:ascii="Times New Roman" w:cs="Times New Roman" w:eastAsia="Times New Roman" w:hAnsi="Times New Roman"/>
          <w:sz w:val="14"/>
          <w:szCs w:val="14"/>
          <w:color w:val="auto"/>
        </w:rPr>
        <w:t>, subject to a $</w:t>
      </w:r>
      <w:r>
        <w:rPr>
          <w:sz w:val="20"/>
          <w:szCs w:val="20"/>
          <w:color w:val="auto"/>
        </w:rPr>
        <w:tab/>
      </w:r>
      <w:r>
        <w:rPr>
          <w:rFonts w:ascii="Times New Roman" w:cs="Times New Roman" w:eastAsia="Times New Roman" w:hAnsi="Times New Roman"/>
          <w:sz w:val="12"/>
          <w:szCs w:val="12"/>
          <w:color w:val="auto"/>
        </w:rPr>
        <w:t>retention and the other terms thereof.</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have agreed to indemnify the underwriters against specified liabilities for actions taken in their capacities as such, including liabilities under the Securities 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31. Business and Other Connections of Investment Adviser</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information contained under the heading “Certain Relationships — Certain Affiliations” is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32. Location of Accounts and Records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Following the election to be treated as a business development company, the Registrant will maintain physical possession of each account, book or other document required to be maintained by Section 31(a)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Investment Company Act of 1940, as amended, and the rules and regulations thereunder at the offices of:</w:t>
      </w:r>
    </w:p>
    <w:p>
      <w:pPr>
        <w:spacing w:after="0" w:line="177" w:lineRule="exact"/>
        <w:rPr>
          <w:sz w:val="20"/>
          <w:szCs w:val="20"/>
          <w:color w:val="auto"/>
        </w:rPr>
      </w:pPr>
    </w:p>
    <w:p>
      <w:pPr>
        <w:ind w:left="1160" w:hanging="581"/>
        <w:spacing w:after="0"/>
        <w:tabs>
          <w:tab w:leader="none" w:pos="1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12 East 49th Street, Suite 3200, New York, New York 10017</w:t>
      </w:r>
    </w:p>
    <w:p>
      <w:pPr>
        <w:spacing w:after="0" w:line="215" w:lineRule="exact"/>
        <w:rPr>
          <w:rFonts w:ascii="Times New Roman" w:cs="Times New Roman" w:eastAsia="Times New Roman" w:hAnsi="Times New Roman"/>
          <w:sz w:val="14"/>
          <w:szCs w:val="14"/>
          <w:color w:val="auto"/>
        </w:rPr>
      </w:pPr>
    </w:p>
    <w:p>
      <w:pPr>
        <w:ind w:left="1160" w:hanging="581"/>
        <w:spacing w:after="0"/>
        <w:tabs>
          <w:tab w:leader="none" w:pos="1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Custodian; and</w:t>
      </w:r>
    </w:p>
    <w:p>
      <w:pPr>
        <w:spacing w:after="0" w:line="215" w:lineRule="exact"/>
        <w:rPr>
          <w:rFonts w:ascii="Times New Roman" w:cs="Times New Roman" w:eastAsia="Times New Roman" w:hAnsi="Times New Roman"/>
          <w:sz w:val="14"/>
          <w:szCs w:val="14"/>
          <w:color w:val="auto"/>
        </w:rPr>
      </w:pPr>
    </w:p>
    <w:p>
      <w:pPr>
        <w:ind w:left="1160" w:hanging="581"/>
        <w:spacing w:after="0"/>
        <w:tabs>
          <w:tab w:leader="none" w:pos="1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33. Management Services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information contained under the heading “Management — Investment advisory and management agreement”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color w:val="auto"/>
        </w:rPr>
        <w:t>Item 34. Undertakings</w:t>
      </w:r>
    </w:p>
    <w:p>
      <w:pPr>
        <w:spacing w:after="0" w:line="199" w:lineRule="exact"/>
        <w:rPr>
          <w:sz w:val="20"/>
          <w:szCs w:val="20"/>
          <w:color w:val="auto"/>
        </w:rPr>
      </w:pPr>
    </w:p>
    <w:p>
      <w:pPr>
        <w:ind w:firstLine="213"/>
        <w:spacing w:after="0" w:line="270" w:lineRule="auto"/>
        <w:tabs>
          <w:tab w:leader="none" w:pos="34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undertakes to suspend the offering of shares until the prospectus is amended if (1) subsequent to the effective date of this registration statement, the net asset value declines more than ten percent from the net asset value as of the effective date of this registration statement or (2) the net asset value increases to an amount greater than the net proceeds as stated in the prospectus.</w:t>
      </w:r>
    </w:p>
    <w:p>
      <w:pPr>
        <w:spacing w:after="0" w:line="161" w:lineRule="exact"/>
        <w:rPr>
          <w:rFonts w:ascii="Times New Roman" w:cs="Times New Roman" w:eastAsia="Times New Roman" w:hAnsi="Times New Roman"/>
          <w:sz w:val="14"/>
          <w:szCs w:val="14"/>
          <w:color w:val="auto"/>
        </w:rPr>
      </w:pPr>
    </w:p>
    <w:p>
      <w:pPr>
        <w:ind w:left="340" w:hanging="127"/>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94" w:lineRule="exact"/>
        <w:rPr>
          <w:rFonts w:ascii="Times New Roman" w:cs="Times New Roman" w:eastAsia="Times New Roman" w:hAnsi="Times New Roman"/>
          <w:sz w:val="14"/>
          <w:szCs w:val="14"/>
          <w:color w:val="auto"/>
        </w:rPr>
      </w:pPr>
    </w:p>
    <w:p>
      <w:pPr>
        <w:ind w:left="340" w:hanging="127"/>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94" w:lineRule="exact"/>
        <w:rPr>
          <w:rFonts w:ascii="Times New Roman" w:cs="Times New Roman" w:eastAsia="Times New Roman" w:hAnsi="Times New Roman"/>
          <w:sz w:val="14"/>
          <w:szCs w:val="14"/>
          <w:color w:val="auto"/>
        </w:rPr>
      </w:pPr>
    </w:p>
    <w:p>
      <w:pPr>
        <w:ind w:left="340" w:hanging="127"/>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94" w:lineRule="exact"/>
        <w:rPr>
          <w:rFonts w:ascii="Times New Roman" w:cs="Times New Roman" w:eastAsia="Times New Roman" w:hAnsi="Times New Roman"/>
          <w:sz w:val="14"/>
          <w:szCs w:val="14"/>
          <w:color w:val="auto"/>
        </w:rPr>
      </w:pPr>
    </w:p>
    <w:p>
      <w:pPr>
        <w:ind w:left="340" w:hanging="127"/>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undertakes that:</w:t>
      </w:r>
    </w:p>
    <w:p>
      <w:pPr>
        <w:spacing w:after="0" w:line="195" w:lineRule="exact"/>
        <w:rPr>
          <w:sz w:val="20"/>
          <w:szCs w:val="20"/>
          <w:color w:val="auto"/>
        </w:rPr>
      </w:pPr>
    </w:p>
    <w:p>
      <w:pPr>
        <w:ind w:left="420" w:right="400" w:firstLine="212"/>
        <w:spacing w:after="0" w:line="260" w:lineRule="auto"/>
        <w:tabs>
          <w:tab w:leader="none" w:pos="814"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under Rule 497(h) under the Securities Act shall be deemed to be part of this registration statement as of the time it was declared effective; and</w:t>
      </w:r>
    </w:p>
    <w:p>
      <w:pPr>
        <w:spacing w:after="0" w:line="167" w:lineRule="exact"/>
        <w:rPr>
          <w:rFonts w:ascii="Times New Roman" w:cs="Times New Roman" w:eastAsia="Times New Roman" w:hAnsi="Times New Roman"/>
          <w:sz w:val="14"/>
          <w:szCs w:val="14"/>
          <w:color w:val="auto"/>
        </w:rPr>
      </w:pPr>
    </w:p>
    <w:p>
      <w:pPr>
        <w:ind w:left="420" w:right="360" w:firstLine="212"/>
        <w:spacing w:after="0" w:line="270" w:lineRule="auto"/>
        <w:tabs>
          <w:tab w:leader="none" w:pos="822"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4"/>
          <w:szCs w:val="14"/>
          <w:color w:val="auto"/>
        </w:rPr>
      </w:pPr>
    </w:p>
    <w:p>
      <w:pPr>
        <w:ind w:right="420" w:firstLine="213"/>
        <w:spacing w:after="0" w:line="270" w:lineRule="auto"/>
        <w:tabs>
          <w:tab w:leader="none" w:pos="34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undertakes to send by first class mail or other means designed to ensure equally prompt delivery, within two business days of receipt of a written or oral request, any Statement of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283450"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300"/>
          </w:cols>
          <w:pgMar w:left="220" w:top="670" w:right="37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9" w:lineRule="exact"/>
        <w:rPr>
          <w:sz w:val="20"/>
          <w:szCs w:val="20"/>
          <w:color w:val="auto"/>
        </w:rPr>
      </w:pPr>
    </w:p>
    <w:p>
      <w:pPr>
        <w:ind w:right="200" w:firstLine="209"/>
        <w:spacing w:after="0" w:line="27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New York, and State of New York, on the 17th day of October 2006.</w:t>
      </w:r>
    </w:p>
    <w:p>
      <w:pPr>
        <w:spacing w:after="0" w:line="1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GSC INVESTMENT LLC</w:t>
      </w:r>
    </w:p>
    <w:p>
      <w:pPr>
        <w:spacing w:after="0" w:line="178" w:lineRule="exact"/>
        <w:rPr>
          <w:sz w:val="20"/>
          <w:szCs w:val="20"/>
          <w:color w:val="auto"/>
        </w:rPr>
      </w:pPr>
    </w:p>
    <w:p>
      <w:pPr>
        <w:ind w:left="5740"/>
        <w:spacing w:after="0"/>
        <w:tabs>
          <w:tab w:leader="none" w:pos="6120" w:val="left"/>
        </w:tabs>
        <w:rPr>
          <w:sz w:val="20"/>
          <w:szCs w:val="20"/>
          <w:color w:val="auto"/>
        </w:rPr>
      </w:pPr>
      <w:r>
        <w:rPr>
          <w:rFonts w:ascii="Times New Roman" w:cs="Times New Roman" w:eastAsia="Times New Roman" w:hAnsi="Times New Roman"/>
          <w:sz w:val="14"/>
          <w:szCs w:val="14"/>
          <w:color w:val="auto"/>
        </w:rPr>
        <w:t>By:</w:t>
        <w:tab/>
        <w:t>/s/ Thomas V. Inglesby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63500</wp:posOffset>
            </wp:positionV>
            <wp:extent cx="2040255"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040255" cy="6350"/>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p>
      <w:pPr>
        <w:spacing w:after="0" w:line="18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THOMAS V. INGLESBY</w:t>
      </w:r>
    </w:p>
    <w:p>
      <w:pPr>
        <w:spacing w:after="0" w:line="63" w:lineRule="exact"/>
        <w:rPr>
          <w:sz w:val="20"/>
          <w:szCs w:val="20"/>
          <w:color w:val="auto"/>
        </w:rPr>
      </w:pPr>
    </w:p>
    <w:p>
      <w:pPr>
        <w:sectPr>
          <w:pgSz w:w="11900" w:h="16838" w:orient="portrait"/>
          <w:cols w:equalWidth="0" w:num="2">
            <w:col w:w="6520" w:space="200"/>
            <w:col w:w="4740"/>
          </w:cols>
          <w:pgMar w:left="220" w:top="670" w:right="219" w:bottom="1440" w:gutter="0" w:footer="0" w:header="0"/>
          <w:type w:val="continuous"/>
        </w:sectPr>
      </w:pPr>
    </w:p>
    <w:p>
      <w:pPr>
        <w:ind w:left="61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Director and Chief Executive Officer,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GSC Investment LLC</w:t>
      </w:r>
    </w:p>
    <w:p>
      <w:pPr>
        <w:spacing w:after="0" w:line="187" w:lineRule="exact"/>
        <w:rPr>
          <w:sz w:val="20"/>
          <w:szCs w:val="20"/>
          <w:color w:val="auto"/>
        </w:rPr>
      </w:pPr>
    </w:p>
    <w:p>
      <w:pPr>
        <w:sectPr>
          <w:pgSz w:w="11900" w:h="16838" w:orient="portrait"/>
          <w:cols w:equalWidth="0" w:num="2">
            <w:col w:w="6440" w:space="280"/>
            <w:col w:w="4740"/>
          </w:cols>
          <w:pgMar w:left="220" w:top="670" w:right="219" w:bottom="1440" w:gutter="0" w:footer="0" w:header="0"/>
          <w:type w:val="continuous"/>
        </w:sectPr>
      </w:pPr>
    </w:p>
    <w:p>
      <w:pPr>
        <w:ind w:right="60" w:firstLine="209"/>
        <w:spacing w:after="0" w:line="254" w:lineRule="auto"/>
        <w:rPr>
          <w:sz w:val="20"/>
          <w:szCs w:val="20"/>
          <w:color w:val="auto"/>
        </w:rPr>
      </w:pPr>
      <w:r>
        <w:rPr>
          <w:rFonts w:ascii="Times New Roman" w:cs="Times New Roman" w:eastAsia="Times New Roman" w:hAnsi="Times New Roman"/>
          <w:sz w:val="14"/>
          <w:szCs w:val="14"/>
          <w:color w:val="auto"/>
        </w:rPr>
        <w:t>KNOW ALL MEN BY THESE PRESENT, each person whose signature appears below hereby constitutes and appoints Thomas V. Inglesby and David L. Goret and each of them, his or her true and lawful attorneys-in-fact and agents, with full power of substitution and resubstitution, for him or her and in his or her name, place, and stead, in any and all capacities, to sign any and all amendments to this Registration Statement and any registration statement filed pursuant to Rule 462(b) under the Securities Act, and to file the same,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04" w:lineRule="exact"/>
        <w:rPr>
          <w:sz w:val="20"/>
          <w:szCs w:val="20"/>
          <w:color w:val="auto"/>
        </w:rPr>
      </w:pPr>
    </w:p>
    <w:p>
      <w:pPr>
        <w:ind w:left="1500"/>
        <w:spacing w:after="0"/>
        <w:tabs>
          <w:tab w:leader="none" w:pos="5300" w:val="left"/>
          <w:tab w:leader="none" w:pos="9020" w:val="left"/>
        </w:tabs>
        <w:rPr>
          <w:sz w:val="20"/>
          <w:szCs w:val="20"/>
          <w:color w:val="auto"/>
        </w:rPr>
      </w:pPr>
      <w:r>
        <w:rPr>
          <w:rFonts w:ascii="Times New Roman" w:cs="Times New Roman" w:eastAsia="Times New Roman" w:hAnsi="Times New Roman"/>
          <w:sz w:val="10"/>
          <w:szCs w:val="10"/>
          <w:b w:val="1"/>
          <w:bCs w:val="1"/>
          <w:color w:val="auto"/>
        </w:rPr>
        <w:t>Signature</w:t>
      </w:r>
      <w:r>
        <w:rPr>
          <w:sz w:val="20"/>
          <w:szCs w:val="20"/>
          <w:color w:val="auto"/>
        </w:rPr>
        <w:tab/>
      </w:r>
      <w:r>
        <w:rPr>
          <w:rFonts w:ascii="Times New Roman" w:cs="Times New Roman" w:eastAsia="Times New Roman" w:hAnsi="Times New Roman"/>
          <w:sz w:val="10"/>
          <w:szCs w:val="10"/>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vertAlign w:val="subscript"/>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691197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11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 Richard M. Hayden</w:t>
            </w:r>
          </w:p>
        </w:tc>
        <w:tc>
          <w:tcPr>
            <w:tcW w:w="408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7"/>
              </w:rPr>
              <w:t>Chairman of the Board of Directors</w:t>
            </w:r>
          </w:p>
        </w:tc>
        <w:tc>
          <w:tcPr>
            <w:tcW w:w="3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October 17, 2006</w:t>
            </w:r>
          </w:p>
        </w:tc>
      </w:tr>
      <w:tr>
        <w:trPr>
          <w:trHeight w:val="86"/>
        </w:trPr>
        <w:tc>
          <w:tcPr>
            <w:tcW w:w="3480" w:type="dxa"/>
            <w:vAlign w:val="bottom"/>
            <w:tcBorders>
              <w:bottom w:val="single" w:sz="8" w:color="808080"/>
            </w:tcBorders>
          </w:tcPr>
          <w:p>
            <w:pPr>
              <w:spacing w:after="0"/>
              <w:rPr>
                <w:sz w:val="7"/>
                <w:szCs w:val="7"/>
                <w:color w:val="auto"/>
              </w:rPr>
            </w:pPr>
          </w:p>
        </w:tc>
        <w:tc>
          <w:tcPr>
            <w:tcW w:w="4080" w:type="dxa"/>
            <w:vAlign w:val="bottom"/>
          </w:tcPr>
          <w:p>
            <w:pPr>
              <w:spacing w:after="0"/>
              <w:rPr>
                <w:sz w:val="7"/>
                <w:szCs w:val="7"/>
                <w:color w:val="auto"/>
              </w:rPr>
            </w:pPr>
          </w:p>
        </w:tc>
        <w:tc>
          <w:tcPr>
            <w:tcW w:w="3900" w:type="dxa"/>
            <w:vAlign w:val="bottom"/>
          </w:tcPr>
          <w:p>
            <w:pPr>
              <w:spacing w:after="0"/>
              <w:rPr>
                <w:sz w:val="7"/>
                <w:szCs w:val="7"/>
                <w:color w:val="auto"/>
              </w:rPr>
            </w:pPr>
          </w:p>
        </w:tc>
      </w:tr>
      <w:tr>
        <w:trPr>
          <w:trHeight w:val="253"/>
        </w:trPr>
        <w:tc>
          <w:tcPr>
            <w:tcW w:w="3480" w:type="dxa"/>
            <w:vAlign w:val="bottom"/>
          </w:tcPr>
          <w:p>
            <w:pPr>
              <w:ind w:left="1160"/>
              <w:spacing w:after="0"/>
              <w:rPr>
                <w:sz w:val="20"/>
                <w:szCs w:val="20"/>
                <w:color w:val="auto"/>
              </w:rPr>
            </w:pPr>
            <w:r>
              <w:rPr>
                <w:rFonts w:ascii="Times New Roman" w:cs="Times New Roman" w:eastAsia="Times New Roman" w:hAnsi="Times New Roman"/>
                <w:sz w:val="10"/>
                <w:szCs w:val="10"/>
                <w:b w:val="1"/>
                <w:bCs w:val="1"/>
                <w:color w:val="auto"/>
              </w:rPr>
              <w:t>RICHARD M. HAYDEN</w:t>
            </w:r>
          </w:p>
        </w:tc>
        <w:tc>
          <w:tcPr>
            <w:tcW w:w="4080" w:type="dxa"/>
            <w:vAlign w:val="bottom"/>
          </w:tcPr>
          <w:p>
            <w:pPr>
              <w:spacing w:after="0"/>
              <w:rPr>
                <w:sz w:val="21"/>
                <w:szCs w:val="21"/>
                <w:color w:val="auto"/>
              </w:rPr>
            </w:pPr>
          </w:p>
        </w:tc>
        <w:tc>
          <w:tcPr>
            <w:tcW w:w="3900" w:type="dxa"/>
            <w:vAlign w:val="bottom"/>
          </w:tcPr>
          <w:p>
            <w:pPr>
              <w:spacing w:after="0"/>
              <w:rPr>
                <w:sz w:val="21"/>
                <w:szCs w:val="21"/>
                <w:color w:val="auto"/>
              </w:rPr>
            </w:pPr>
          </w:p>
        </w:tc>
      </w:tr>
      <w:tr>
        <w:trPr>
          <w:trHeight w:val="573"/>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 Thomas V. Inglesby</w:t>
            </w:r>
          </w:p>
        </w:tc>
        <w:tc>
          <w:tcPr>
            <w:tcW w:w="408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6"/>
              </w:rPr>
              <w:t>Director and Chief Executive Officer</w:t>
            </w:r>
          </w:p>
        </w:tc>
        <w:tc>
          <w:tcPr>
            <w:tcW w:w="3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October 17, 2006</w:t>
            </w:r>
          </w:p>
        </w:tc>
      </w:tr>
      <w:tr>
        <w:trPr>
          <w:trHeight w:val="86"/>
        </w:trPr>
        <w:tc>
          <w:tcPr>
            <w:tcW w:w="3480" w:type="dxa"/>
            <w:vAlign w:val="bottom"/>
            <w:tcBorders>
              <w:bottom w:val="single" w:sz="8" w:color="808080"/>
            </w:tcBorders>
          </w:tcPr>
          <w:p>
            <w:pPr>
              <w:spacing w:after="0"/>
              <w:rPr>
                <w:sz w:val="7"/>
                <w:szCs w:val="7"/>
                <w:color w:val="auto"/>
              </w:rPr>
            </w:pPr>
          </w:p>
        </w:tc>
        <w:tc>
          <w:tcPr>
            <w:tcW w:w="4080" w:type="dxa"/>
            <w:vAlign w:val="bottom"/>
          </w:tcPr>
          <w:p>
            <w:pPr>
              <w:spacing w:after="0"/>
              <w:rPr>
                <w:sz w:val="7"/>
                <w:szCs w:val="7"/>
                <w:color w:val="auto"/>
              </w:rPr>
            </w:pPr>
          </w:p>
        </w:tc>
        <w:tc>
          <w:tcPr>
            <w:tcW w:w="3900" w:type="dxa"/>
            <w:vAlign w:val="bottom"/>
          </w:tcPr>
          <w:p>
            <w:pPr>
              <w:spacing w:after="0"/>
              <w:rPr>
                <w:sz w:val="7"/>
                <w:szCs w:val="7"/>
                <w:color w:val="auto"/>
              </w:rPr>
            </w:pPr>
          </w:p>
        </w:tc>
      </w:tr>
      <w:tr>
        <w:trPr>
          <w:trHeight w:val="253"/>
        </w:trPr>
        <w:tc>
          <w:tcPr>
            <w:tcW w:w="348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THOMAS V. INGLESBY</w:t>
            </w:r>
          </w:p>
        </w:tc>
        <w:tc>
          <w:tcPr>
            <w:tcW w:w="4080" w:type="dxa"/>
            <w:vAlign w:val="bottom"/>
          </w:tcPr>
          <w:p>
            <w:pPr>
              <w:spacing w:after="0"/>
              <w:rPr>
                <w:sz w:val="21"/>
                <w:szCs w:val="21"/>
                <w:color w:val="auto"/>
              </w:rPr>
            </w:pPr>
          </w:p>
        </w:tc>
        <w:tc>
          <w:tcPr>
            <w:tcW w:w="3900" w:type="dxa"/>
            <w:vAlign w:val="bottom"/>
          </w:tcPr>
          <w:p>
            <w:pPr>
              <w:spacing w:after="0"/>
              <w:rPr>
                <w:sz w:val="21"/>
                <w:szCs w:val="21"/>
                <w:color w:val="auto"/>
              </w:rPr>
            </w:pPr>
          </w:p>
        </w:tc>
      </w:tr>
      <w:tr>
        <w:trPr>
          <w:trHeight w:val="573"/>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 Richard J. Allorto, Jr.</w:t>
            </w:r>
          </w:p>
        </w:tc>
        <w:tc>
          <w:tcPr>
            <w:tcW w:w="408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6"/>
              </w:rPr>
              <w:t>Chief Financial Officer</w:t>
            </w:r>
          </w:p>
        </w:tc>
        <w:tc>
          <w:tcPr>
            <w:tcW w:w="3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October 17, 2006</w:t>
            </w:r>
          </w:p>
        </w:tc>
      </w:tr>
      <w:tr>
        <w:trPr>
          <w:trHeight w:val="86"/>
        </w:trPr>
        <w:tc>
          <w:tcPr>
            <w:tcW w:w="3480" w:type="dxa"/>
            <w:vAlign w:val="bottom"/>
            <w:tcBorders>
              <w:bottom w:val="single" w:sz="8" w:color="808080"/>
            </w:tcBorders>
          </w:tcPr>
          <w:p>
            <w:pPr>
              <w:spacing w:after="0"/>
              <w:rPr>
                <w:sz w:val="7"/>
                <w:szCs w:val="7"/>
                <w:color w:val="auto"/>
              </w:rPr>
            </w:pPr>
          </w:p>
        </w:tc>
        <w:tc>
          <w:tcPr>
            <w:tcW w:w="4080" w:type="dxa"/>
            <w:vAlign w:val="bottom"/>
          </w:tcPr>
          <w:p>
            <w:pPr>
              <w:spacing w:after="0"/>
              <w:rPr>
                <w:sz w:val="7"/>
                <w:szCs w:val="7"/>
                <w:color w:val="auto"/>
              </w:rPr>
            </w:pPr>
          </w:p>
        </w:tc>
        <w:tc>
          <w:tcPr>
            <w:tcW w:w="3900" w:type="dxa"/>
            <w:vAlign w:val="bottom"/>
          </w:tcPr>
          <w:p>
            <w:pPr>
              <w:spacing w:after="0"/>
              <w:rPr>
                <w:sz w:val="7"/>
                <w:szCs w:val="7"/>
                <w:color w:val="auto"/>
              </w:rPr>
            </w:pPr>
          </w:p>
        </w:tc>
      </w:tr>
      <w:tr>
        <w:trPr>
          <w:trHeight w:val="253"/>
        </w:trPr>
        <w:tc>
          <w:tcPr>
            <w:tcW w:w="3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RICHARD J. ALLORTO, JR.</w:t>
            </w:r>
          </w:p>
        </w:tc>
        <w:tc>
          <w:tcPr>
            <w:tcW w:w="4080" w:type="dxa"/>
            <w:vAlign w:val="bottom"/>
          </w:tcPr>
          <w:p>
            <w:pPr>
              <w:spacing w:after="0"/>
              <w:rPr>
                <w:sz w:val="21"/>
                <w:szCs w:val="21"/>
                <w:color w:val="auto"/>
              </w:rPr>
            </w:pPr>
          </w:p>
        </w:tc>
        <w:tc>
          <w:tcPr>
            <w:tcW w:w="3900" w:type="dxa"/>
            <w:vAlign w:val="bottom"/>
          </w:tcPr>
          <w:p>
            <w:pPr>
              <w:spacing w:after="0"/>
              <w:rPr>
                <w:sz w:val="21"/>
                <w:szCs w:val="21"/>
                <w:color w:val="auto"/>
              </w:rPr>
            </w:pPr>
          </w:p>
        </w:tc>
      </w:tr>
      <w:tr>
        <w:trPr>
          <w:trHeight w:val="573"/>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 Robert F. Cummings, Jr.</w:t>
            </w:r>
          </w:p>
        </w:tc>
        <w:tc>
          <w:tcPr>
            <w:tcW w:w="408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8"/>
              </w:rPr>
              <w:t>Director</w:t>
            </w:r>
          </w:p>
        </w:tc>
        <w:tc>
          <w:tcPr>
            <w:tcW w:w="3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October 17, 2006</w:t>
            </w:r>
          </w:p>
        </w:tc>
      </w:tr>
      <w:tr>
        <w:trPr>
          <w:trHeight w:val="86"/>
        </w:trPr>
        <w:tc>
          <w:tcPr>
            <w:tcW w:w="3480" w:type="dxa"/>
            <w:vAlign w:val="bottom"/>
            <w:tcBorders>
              <w:bottom w:val="single" w:sz="8" w:color="808080"/>
            </w:tcBorders>
          </w:tcPr>
          <w:p>
            <w:pPr>
              <w:spacing w:after="0"/>
              <w:rPr>
                <w:sz w:val="7"/>
                <w:szCs w:val="7"/>
                <w:color w:val="auto"/>
              </w:rPr>
            </w:pPr>
          </w:p>
        </w:tc>
        <w:tc>
          <w:tcPr>
            <w:tcW w:w="4080" w:type="dxa"/>
            <w:vAlign w:val="bottom"/>
          </w:tcPr>
          <w:p>
            <w:pPr>
              <w:spacing w:after="0"/>
              <w:rPr>
                <w:sz w:val="7"/>
                <w:szCs w:val="7"/>
                <w:color w:val="auto"/>
              </w:rPr>
            </w:pPr>
          </w:p>
        </w:tc>
        <w:tc>
          <w:tcPr>
            <w:tcW w:w="3900" w:type="dxa"/>
            <w:vAlign w:val="bottom"/>
          </w:tcPr>
          <w:p>
            <w:pPr>
              <w:spacing w:after="0"/>
              <w:rPr>
                <w:sz w:val="7"/>
                <w:szCs w:val="7"/>
                <w:color w:val="auto"/>
              </w:rPr>
            </w:pPr>
          </w:p>
        </w:tc>
      </w:tr>
      <w:tr>
        <w:trPr>
          <w:trHeight w:val="261"/>
        </w:trPr>
        <w:tc>
          <w:tcPr>
            <w:tcW w:w="3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ROBERT F. CUMMINGS, JR</w:t>
            </w:r>
            <w:r>
              <w:rPr>
                <w:rFonts w:ascii="Times New Roman" w:cs="Times New Roman" w:eastAsia="Times New Roman" w:hAnsi="Times New Roman"/>
                <w:sz w:val="13"/>
                <w:szCs w:val="13"/>
                <w:color w:val="auto"/>
              </w:rPr>
              <w:t>.</w:t>
            </w:r>
          </w:p>
        </w:tc>
        <w:tc>
          <w:tcPr>
            <w:tcW w:w="4080" w:type="dxa"/>
            <w:vAlign w:val="bottom"/>
          </w:tcPr>
          <w:p>
            <w:pPr>
              <w:spacing w:after="0"/>
              <w:rPr>
                <w:sz w:val="22"/>
                <w:szCs w:val="22"/>
                <w:color w:val="auto"/>
              </w:rPr>
            </w:pPr>
          </w:p>
        </w:tc>
        <w:tc>
          <w:tcPr>
            <w:tcW w:w="3900" w:type="dxa"/>
            <w:vAlign w:val="bottom"/>
          </w:tcPr>
          <w:p>
            <w:pPr>
              <w:spacing w:after="0"/>
              <w:rPr>
                <w:sz w:val="22"/>
                <w:szCs w:val="22"/>
                <w:color w:val="auto"/>
              </w:rPr>
            </w:pPr>
          </w:p>
        </w:tc>
      </w:tr>
      <w:tr>
        <w:trPr>
          <w:trHeight w:val="855"/>
        </w:trPr>
        <w:tc>
          <w:tcPr>
            <w:tcW w:w="348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-25400</wp:posOffset>
            </wp:positionV>
            <wp:extent cx="12700"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12700"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type w:val="continuous"/>
        </w:sectPr>
      </w:pPr>
    </w:p>
    <w:bookmarkStart w:id="126" w:name="page127"/>
    <w:bookmarkEnd w:id="126"/>
    <w:p>
      <w:pPr>
        <w:ind w:left="5060"/>
        <w:spacing w:after="0"/>
        <w:rPr>
          <w:sz w:val="20"/>
          <w:szCs w:val="20"/>
          <w:color w:val="auto"/>
        </w:rPr>
      </w:pPr>
      <w:r>
        <w:rPr>
          <w:rFonts w:ascii="Times New Roman" w:cs="Times New Roman" w:eastAsia="Times New Roman" w:hAnsi="Times New Roman"/>
          <w:sz w:val="12"/>
          <w:szCs w:val="12"/>
          <w:b w:val="1"/>
          <w:bCs w:val="1"/>
          <w:color w:val="auto"/>
        </w:rPr>
        <w:t>INDEX OF EXHIBITS</w:t>
      </w:r>
    </w:p>
    <w:p>
      <w:pPr>
        <w:sectPr>
          <w:pgSz w:w="11900" w:h="16838" w:orient="portrait"/>
          <w:cols w:equalWidth="0" w:num="1">
            <w:col w:w="10540"/>
          </w:cols>
          <w:pgMar w:left="220" w:top="670" w:right="11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57150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196215</wp:posOffset>
            </wp:positionV>
            <wp:extent cx="105029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502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02107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21070" cy="635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Form of Charter of GSC Investment Corp. (the “Company”).*</w:t>
            </w:r>
          </w:p>
        </w:tc>
        <w:tc>
          <w:tcPr>
            <w:tcW w:w="120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188"/>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Bylaws of the Company.*</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188"/>
        </w:trPr>
        <w:tc>
          <w:tcPr>
            <w:tcW w:w="5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Specimen certificate of the Company’s common stock, par value $0.0001 per share.*</w:t>
            </w:r>
          </w:p>
        </w:tc>
        <w:tc>
          <w:tcPr>
            <w:tcW w:w="3980" w:type="dxa"/>
            <w:vAlign w:val="bottom"/>
          </w:tcPr>
          <w:p>
            <w:pPr>
              <w:spacing w:after="0"/>
              <w:rPr>
                <w:sz w:val="16"/>
                <w:szCs w:val="16"/>
                <w:color w:val="auto"/>
              </w:rPr>
            </w:pPr>
          </w:p>
        </w:tc>
      </w:tr>
      <w:tr>
        <w:trPr>
          <w:trHeight w:val="188"/>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Form of Registration Rights Agreement dated</w:t>
            </w:r>
          </w:p>
        </w:tc>
        <w:tc>
          <w:tcPr>
            <w:tcW w:w="654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w w:val="98"/>
              </w:rPr>
              <w:t>, 2006 between GSC Investment Corp., GSCP (NJ) L.P., JP Morgan Securities, Inc., and UBS Securities LLC. *</w:t>
            </w:r>
          </w:p>
        </w:tc>
      </w:tr>
      <w:tr>
        <w:trPr>
          <w:trHeight w:val="188"/>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Dividend Reinvestment Plan.*</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188"/>
        </w:trPr>
        <w:tc>
          <w:tcPr>
            <w:tcW w:w="3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Form of senior secured revolving Credit Facility dated</w:t>
            </w:r>
          </w:p>
        </w:tc>
        <w:tc>
          <w:tcPr>
            <w:tcW w:w="5960" w:type="dxa"/>
            <w:vAlign w:val="bottom"/>
            <w:gridSpan w:val="3"/>
          </w:tcPr>
          <w:p>
            <w:pPr>
              <w:jc w:val="center"/>
              <w:ind w:right="772"/>
              <w:spacing w:after="0"/>
              <w:rPr>
                <w:sz w:val="20"/>
                <w:szCs w:val="20"/>
                <w:color w:val="auto"/>
              </w:rPr>
            </w:pPr>
            <w:r>
              <w:rPr>
                <w:rFonts w:ascii="Times New Roman" w:cs="Times New Roman" w:eastAsia="Times New Roman" w:hAnsi="Times New Roman"/>
                <w:sz w:val="14"/>
                <w:szCs w:val="14"/>
                <w:color w:val="auto"/>
                <w:w w:val="97"/>
              </w:rPr>
              <w:t>, 2006 between GSC Investment Corp. and Citibank, N.A. and JPMorgan Chase Bank, N.A.*</w:t>
            </w:r>
          </w:p>
        </w:tc>
      </w:tr>
      <w:tr>
        <w:trPr>
          <w:trHeight w:val="188"/>
        </w:trPr>
        <w:tc>
          <w:tcPr>
            <w:tcW w:w="3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Form of short-term senior secured Credit Facility dated</w:t>
            </w:r>
          </w:p>
        </w:tc>
        <w:tc>
          <w:tcPr>
            <w:tcW w:w="59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w w:val="97"/>
              </w:rPr>
              <w:t>, 2006 between GSC Partners CDO Fund III, Limited and Citibank, N.A. and JPMorgan Chase Bank, N.A.*</w:t>
            </w:r>
          </w:p>
        </w:tc>
      </w:tr>
      <w:tr>
        <w:trPr>
          <w:trHeight w:val="188"/>
        </w:trPr>
        <w:tc>
          <w:tcPr>
            <w:tcW w:w="39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Form of Investment Advisory and Management Agreement dated</w:t>
            </w: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2006 between GSC Investment Corp. and GSCP (NJ) L.P. *</w:t>
            </w:r>
          </w:p>
        </w:tc>
      </w:tr>
      <w:tr>
        <w:trPr>
          <w:trHeight w:val="18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Underwriting Agreement dated</w:t>
            </w:r>
          </w:p>
        </w:tc>
        <w:tc>
          <w:tcPr>
            <w:tcW w:w="68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w w:val="97"/>
              </w:rPr>
              <w:t>, 2006 between the Company and Citigroup Global Markets, Inc. and J.P. Morgan Securities Inc., as representatives of the</w:t>
            </w:r>
          </w:p>
        </w:tc>
      </w:tr>
      <w:tr>
        <w:trPr>
          <w:trHeight w:val="175"/>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underwriters named therein.*</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188"/>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Custody Agreement dated</w:t>
            </w:r>
          </w:p>
        </w:tc>
        <w:tc>
          <w:tcPr>
            <w:tcW w:w="2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2006 between GSC Investment Corp. and</w:t>
            </w:r>
          </w:p>
        </w:tc>
        <w:tc>
          <w:tcPr>
            <w:tcW w:w="3980" w:type="dxa"/>
            <w:vAlign w:val="bottom"/>
          </w:tcPr>
          <w:p>
            <w:pPr>
              <w:jc w:val="right"/>
              <w:ind w:right="3272"/>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316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7"/>
              </w:rPr>
              <w:t>Form of Transfer Agency and Registrar Agreement dated</w:t>
            </w:r>
          </w:p>
        </w:tc>
        <w:tc>
          <w:tcPr>
            <w:tcW w:w="59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2006 between GSC Investment Corp. and American Stock Transfer and Trust Company.*</w:t>
            </w:r>
          </w:p>
        </w:tc>
      </w:tr>
      <w:tr>
        <w:trPr>
          <w:trHeight w:val="188"/>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6"/>
              </w:rPr>
              <w:t>Form of Administration Agreement dated</w:t>
            </w:r>
          </w:p>
        </w:tc>
        <w:tc>
          <w:tcPr>
            <w:tcW w:w="300" w:type="dxa"/>
            <w:vAlign w:val="bottom"/>
          </w:tcPr>
          <w:p>
            <w:pPr>
              <w:spacing w:after="0"/>
              <w:rPr>
                <w:sz w:val="16"/>
                <w:szCs w:val="16"/>
                <w:color w:val="auto"/>
              </w:rPr>
            </w:pPr>
          </w:p>
        </w:tc>
        <w:tc>
          <w:tcPr>
            <w:tcW w:w="65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2006 between GSC Investment Corp. and GSCP (NJ) L.P. *</w:t>
            </w:r>
          </w:p>
        </w:tc>
      </w:tr>
      <w:tr>
        <w:trPr>
          <w:trHeight w:val="181"/>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Form of Trademark License Agreement dated</w:t>
            </w:r>
          </w:p>
        </w:tc>
        <w:tc>
          <w:tcPr>
            <w:tcW w:w="654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 2006 between GSC Investment Corp. and GSCP (NJ) L.P. *</w:t>
            </w:r>
          </w:p>
        </w:tc>
      </w:tr>
      <w:tr>
        <w:trPr>
          <w:trHeight w:val="167"/>
        </w:trPr>
        <w:tc>
          <w:tcPr>
            <w:tcW w:w="3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Contribution and Exchange Agreement dated October</w:t>
            </w:r>
          </w:p>
        </w:tc>
        <w:tc>
          <w:tcPr>
            <w:tcW w:w="5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w w:val="96"/>
              </w:rPr>
              <w:t>, 2006 among GSC Investment LLC, GSC CDO III, L.L.C., GSCP (NJ), L.P., and the other investors party</w:t>
            </w:r>
          </w:p>
        </w:tc>
      </w:tr>
      <w:tr>
        <w:trPr>
          <w:trHeight w:val="175"/>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thereto. *</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188"/>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Portfolio Acquisition Agreement dated</w:t>
            </w:r>
          </w:p>
        </w:tc>
        <w:tc>
          <w:tcPr>
            <w:tcW w:w="684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 2006 between GSC Investment Corp. and GSC Partners CDO Fund III, Limited. *</w:t>
            </w:r>
          </w:p>
        </w:tc>
      </w:tr>
      <w:tr>
        <w:trPr>
          <w:trHeight w:val="188"/>
        </w:trPr>
        <w:tc>
          <w:tcPr>
            <w:tcW w:w="39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Opinion of Davis Polk &amp; Wardwell, counsel to the Registrant.*</w:t>
            </w:r>
          </w:p>
        </w:tc>
        <w:tc>
          <w:tcPr>
            <w:tcW w:w="120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188"/>
        </w:trPr>
        <w:tc>
          <w:tcPr>
            <w:tcW w:w="91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Consent of Thomas V. Inglesby pursuant to Rule 438 under the Securities Act of 1933 to be named as a director.**</w:t>
            </w:r>
          </w:p>
        </w:tc>
      </w:tr>
      <w:tr>
        <w:trPr>
          <w:trHeight w:val="188"/>
        </w:trPr>
        <w:tc>
          <w:tcPr>
            <w:tcW w:w="91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Consent of Richard M. Hayden pursuant to Rule 438 under the Securities Act of 1933 to be named as a director.**</w:t>
            </w:r>
          </w:p>
        </w:tc>
      </w:tr>
      <w:tr>
        <w:trPr>
          <w:trHeight w:val="188"/>
        </w:trPr>
        <w:tc>
          <w:tcPr>
            <w:tcW w:w="91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Consent of Robert F. Cummings, Jr. pursuant to Rule 438 under the Securities Act of 1933 to be named as a director.**</w:t>
            </w: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Consent of</w:t>
            </w:r>
          </w:p>
        </w:tc>
        <w:tc>
          <w:tcPr>
            <w:tcW w:w="29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w w:val="96"/>
              </w:rPr>
              <w:t>, Independent Registered Public Accounting Firm.*</w:t>
            </w:r>
          </w:p>
        </w:tc>
        <w:tc>
          <w:tcPr>
            <w:tcW w:w="120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Davis Polk &amp; Wardwell, counsel to the Registrant (included in Exhibit 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Code of Ethics of the Company adopted under Rule 17j-1.*</w:t>
      </w:r>
    </w:p>
    <w:p>
      <w:pPr>
        <w:spacing w:after="0" w:line="200" w:lineRule="exact"/>
        <w:rPr>
          <w:sz w:val="20"/>
          <w:szCs w:val="20"/>
          <w:color w:val="auto"/>
        </w:rPr>
      </w:pPr>
    </w:p>
    <w:p>
      <w:pPr>
        <w:sectPr>
          <w:pgSz w:w="11900" w:h="16838" w:orient="portrait"/>
          <w:cols w:equalWidth="0" w:num="2">
            <w:col w:w="700" w:space="720"/>
            <w:col w:w="9120"/>
          </w:cols>
          <w:pgMar w:left="220" w:top="670" w:right="1139" w:bottom="1440" w:gutter="0" w:footer="0" w:header="0"/>
          <w:type w:val="continuous"/>
        </w:sectPr>
      </w:pPr>
    </w:p>
    <w:p>
      <w:pPr>
        <w:spacing w:after="0" w:line="173" w:lineRule="exact"/>
        <w:rPr>
          <w:sz w:val="20"/>
          <w:szCs w:val="20"/>
          <w:color w:val="auto"/>
        </w:rPr>
      </w:pPr>
    </w:p>
    <w:p>
      <w:pPr>
        <w:ind w:left="540" w:hanging="536"/>
        <w:spacing w:after="0"/>
        <w:tabs>
          <w:tab w:leader="none" w:pos="5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by amendment.</w:t>
      </w:r>
    </w:p>
    <w:p>
      <w:pPr>
        <w:spacing w:after="0" w:line="37"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729678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6785" cy="26035"/>
                    </a:xfrm>
                    <a:prstGeom prst="rect">
                      <a:avLst/>
                    </a:prstGeom>
                    <a:noFill/>
                  </pic:spPr>
                </pic:pic>
              </a:graphicData>
            </a:graphic>
          </wp:anchor>
        </w:drawing>
      </w:r>
    </w:p>
    <w:p>
      <w:pPr>
        <w:sectPr>
          <w:pgSz w:w="11900" w:h="16838" w:orient="portrait"/>
          <w:cols w:equalWidth="0" w:num="1">
            <w:col w:w="10540"/>
          </w:cols>
          <w:pgMar w:left="220" w:top="670" w:right="1139" w:bottom="1440" w:gutter="0" w:footer="0" w:header="0"/>
          <w:type w:val="continuous"/>
        </w:sectPr>
      </w:pPr>
    </w:p>
    <w:bookmarkStart w:id="127" w:name="page128"/>
    <w:bookmarkEnd w:id="127"/>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CONSENT OF PROSPECTIVE DIRECTOR</w:t>
      </w:r>
    </w:p>
    <w:p>
      <w:pPr>
        <w:spacing w:after="0" w:line="199"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The undersigned hereby consents, in accordance with Rule 438 under the Securities Act of 1933, as amended, to being named as a prospective director in the registration statement on Form N-2, and any amendments thereto, to be filed by GSC Investment LLC.</w:t>
      </w:r>
    </w:p>
    <w:p>
      <w:pPr>
        <w:spacing w:after="0" w:line="16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/s/ Thomas V. Inglesby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63500</wp:posOffset>
            </wp:positionV>
            <wp:extent cx="190754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907540" cy="6350"/>
                    </a:xfrm>
                    <a:prstGeom prst="rect">
                      <a:avLst/>
                    </a:prstGeom>
                    <a:noFill/>
                  </pic:spPr>
                </pic:pic>
              </a:graphicData>
            </a:graphic>
          </wp:anchor>
        </w:drawing>
      </w:r>
    </w:p>
    <w:p>
      <w:pPr>
        <w:spacing w:after="0" w:line="19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Name: Thomas V. Inglesby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220"/>
          </w:cols>
          <w:pgMar w:left="220" w:top="126" w:right="459" w:bottom="1440" w:gutter="0" w:footer="0" w:header="0"/>
        </w:sectPr>
      </w:pPr>
    </w:p>
    <w:bookmarkStart w:id="128" w:name="page129"/>
    <w:bookmarkEnd w:id="128"/>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CONSENT OF PROSPECTIVE DIRECTOR</w:t>
      </w:r>
    </w:p>
    <w:p>
      <w:pPr>
        <w:spacing w:after="0" w:line="199"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The undersigned hereby consents, in accordance with Rule 438 under the Securities Act of 1933, as amended, to being named as a prospective director in the registration statement on Form N-2, and any amendments thereto, to be filed by GSC Investment LLC.</w:t>
      </w:r>
    </w:p>
    <w:p>
      <w:pPr>
        <w:spacing w:after="0" w:line="16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/s/ Richard M. Hayden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63500</wp:posOffset>
            </wp:positionV>
            <wp:extent cx="190754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907540" cy="6350"/>
                    </a:xfrm>
                    <a:prstGeom prst="rect">
                      <a:avLst/>
                    </a:prstGeom>
                    <a:noFill/>
                  </pic:spPr>
                </pic:pic>
              </a:graphicData>
            </a:graphic>
          </wp:anchor>
        </w:drawing>
      </w:r>
    </w:p>
    <w:p>
      <w:pPr>
        <w:spacing w:after="0" w:line="19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Name: Richard M. Hayden</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p>
      <w:pPr>
        <w:sectPr>
          <w:pgSz w:w="11900" w:h="16838" w:orient="portrait"/>
          <w:cols w:equalWidth="0" w:num="1">
            <w:col w:w="11220"/>
          </w:cols>
          <w:pgMar w:left="220" w:top="126" w:right="459" w:bottom="1440" w:gutter="0" w:footer="0" w:header="0"/>
        </w:sectPr>
      </w:pPr>
    </w:p>
    <w:bookmarkStart w:id="129" w:name="page130"/>
    <w:bookmarkEnd w:id="129"/>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CONSENT OF PROSPECTIVE DIRECTOR</w:t>
      </w:r>
    </w:p>
    <w:p>
      <w:pPr>
        <w:spacing w:after="0" w:line="199" w:lineRule="exact"/>
        <w:rPr>
          <w:sz w:val="20"/>
          <w:szCs w:val="20"/>
          <w:color w:val="auto"/>
        </w:rPr>
      </w:pPr>
    </w:p>
    <w:p>
      <w:pPr>
        <w:ind w:firstLine="209"/>
        <w:spacing w:after="0" w:line="270" w:lineRule="auto"/>
        <w:rPr>
          <w:sz w:val="20"/>
          <w:szCs w:val="20"/>
          <w:color w:val="auto"/>
        </w:rPr>
      </w:pPr>
      <w:r>
        <w:rPr>
          <w:rFonts w:ascii="Times New Roman" w:cs="Times New Roman" w:eastAsia="Times New Roman" w:hAnsi="Times New Roman"/>
          <w:sz w:val="14"/>
          <w:szCs w:val="14"/>
          <w:color w:val="auto"/>
        </w:rPr>
        <w:t>The undersigned hereby consents, in accordance with Rule 438 under the Securities Act of 1933, as amended, to being named as a prospective director in the registration statement on Form N-2, and any amendments thereto, to be filed by GSC Investment LLC.</w:t>
      </w:r>
    </w:p>
    <w:p>
      <w:pPr>
        <w:spacing w:after="0" w:line="16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/s/ Robert F. Cummings,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63500</wp:posOffset>
            </wp:positionV>
            <wp:extent cx="190754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907540" cy="6350"/>
                    </a:xfrm>
                    <a:prstGeom prst="rect">
                      <a:avLst/>
                    </a:prstGeom>
                    <a:noFill/>
                  </pic:spPr>
                </pic:pic>
              </a:graphicData>
            </a:graphic>
          </wp:anchor>
        </w:drawing>
      </w:r>
    </w:p>
    <w:p>
      <w:pPr>
        <w:spacing w:after="0" w:line="19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Name: Robert F. Cummings, Jr.</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October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83450"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3450" cy="26035"/>
                    </a:xfrm>
                    <a:prstGeom prst="rect">
                      <a:avLst/>
                    </a:prstGeom>
                    <a:noFill/>
                  </pic:spPr>
                </pic:pic>
              </a:graphicData>
            </a:graphic>
          </wp:anchor>
        </w:drawing>
      </w:r>
    </w:p>
    <w:sectPr>
      <w:pgSz w:w="11900" w:h="16838" w:orient="portrait"/>
      <w:cols w:equalWidth="0" w:num="1">
        <w:col w:w="11220"/>
      </w:cols>
      <w:pgMar w:left="220" w:top="12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lvl w:ilvl="1">
      <w:lvlJc w:val="left"/>
      <w:lvlText w:val="(%2)"/>
      <w:numFmt w:val="decimal"/>
      <w:start w:val="212"/>
    </w:lvl>
  </w:abstractNum>
  <w:abstractNum w:abstractNumId="3">
    <w:nsid w:val="6763845E"/>
    <w:multiLevelType w:val="hybridMultilevel"/>
    <w:lvl w:ilvl="0">
      <w:lvlJc w:val="left"/>
      <w:lvlText w:val="(%1)"/>
      <w:numFmt w:val="decimal"/>
      <w:start w:val="212"/>
    </w:lvl>
    <w:lvl w:ilvl="1">
      <w:lvlJc w:val="left"/>
      <w:lvlText w:val="%2"/>
      <w:numFmt w:val="decimal"/>
      <w:start w:val="1"/>
    </w:lvl>
  </w:abstractNum>
  <w:abstractNum w:abstractNumId="4">
    <w:nsid w:val="75A2A8D4"/>
    <w:multiLevelType w:val="hybridMultilevel"/>
    <w:lvl w:ilvl="0">
      <w:lvlJc w:val="left"/>
      <w:lvlText w:val="%1"/>
      <w:numFmt w:val="decimal"/>
      <w:start w:val="1"/>
    </w:lvl>
    <w:lvl w:ilvl="1">
      <w:lvlJc w:val="left"/>
      <w:lvlText w:val="(%2)"/>
      <w:numFmt w:val="decimal"/>
      <w:start w:val="212"/>
    </w:lvl>
  </w:abstractNum>
  <w:abstractNum w:abstractNumId="5">
    <w:nsid w:val="8EDBDAB"/>
    <w:multiLevelType w:val="hybridMultilevel"/>
    <w:lvl w:ilvl="0">
      <w:lvlJc w:val="left"/>
      <w:lvlText w:val="(%1)"/>
      <w:numFmt w:val="decimal"/>
      <w:start w:val="212"/>
    </w:lvl>
    <w:lvl w:ilvl="1">
      <w:lvlJc w:val="left"/>
      <w:lvlText w:val="%2"/>
      <w:numFmt w:val="decimal"/>
      <w:start w:val="1"/>
    </w:lvl>
  </w:abstractNum>
  <w:abstractNum w:abstractNumId="6">
    <w:nsid w:val="79838CB2"/>
    <w:multiLevelType w:val="hybridMultilevel"/>
    <w:lvl w:ilvl="0">
      <w:lvlJc w:val="left"/>
      <w:lvlText w:val="o"/>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2"/>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6"/>
    </w:lvl>
  </w:abstractNum>
  <w:abstractNum w:abstractNumId="22">
    <w:nsid w:val="4516DDE9"/>
    <w:multiLevelType w:val="hybridMultilevel"/>
    <w:lvl w:ilvl="0">
      <w:lvlJc w:val="left"/>
      <w:lvlText w:val="(%1)"/>
      <w:numFmt w:val="decimal"/>
      <w:start w:val="7"/>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amp;"/>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lowerRoman"/>
      <w:start w:val="3"/>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lvl w:ilvl="1">
      <w:lvlJc w:val="left"/>
      <w:lvlText w:val="(%2)"/>
      <w:numFmt w:val="lowerLetter"/>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1"/>
      <w:numFmt w:val="decimal"/>
      <w:start w:val="1"/>
    </w:lvl>
    <w:lvl w:ilvl="1">
      <w:lvlJc w:val="left"/>
      <w:lvlText w:val="(%2)"/>
      <w:numFmt w:val="lowerRoman"/>
      <w:start w:val="2"/>
    </w:lvl>
  </w:abstractNum>
  <w:abstractNum w:abstractNumId="35">
    <w:nsid w:val="51EAD36B"/>
    <w:multiLevelType w:val="hybridMultilevel"/>
    <w:lvl w:ilvl="0">
      <w:lvlJc w:val="left"/>
      <w:lvlText w:val="(%1)"/>
      <w:numFmt w:val="decimal"/>
      <w:start w:val="2"/>
    </w:lvl>
    <w:lvl w:ilvl="1">
      <w:lvlJc w:val="left"/>
      <w:lvlText w:val="%2"/>
      <w:numFmt w:val="lowerRoman"/>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6"/>
    </w:lvl>
    <w:lvl w:ilvl="1">
      <w:lvlJc w:val="left"/>
      <w:lvlText w:val="%2"/>
      <w:numFmt w:val="lowerLetter"/>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2019-12-15T12:42:37Z</dcterms:created>
  <dcterms:modified xsi:type="dcterms:W3CDTF">2019-12-15T12:42:37Z</dcterms:modified>
</cp:coreProperties>
</file>