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26" w:lineRule="exact"/>
        <w:rPr>
          <w:sz w:val="24"/>
          <w:szCs w:val="24"/>
          <w:color w:val="auto"/>
        </w:rPr>
      </w:pPr>
    </w:p>
    <w:p>
      <w:pPr>
        <w:ind w:left="780" w:hanging="441"/>
        <w:spacing w:after="0"/>
        <w:tabs>
          <w:tab w:leader="none" w:pos="78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November 30, 2013</w:t>
      </w:r>
    </w:p>
    <w:p>
      <w:pPr>
        <w:spacing w:after="0" w:line="216" w:lineRule="exact"/>
        <w:rPr>
          <w:sz w:val="24"/>
          <w:szCs w:val="24"/>
          <w:color w:val="auto"/>
        </w:rPr>
      </w:pPr>
    </w:p>
    <w:p>
      <w:pPr>
        <w:ind w:left="780" w:hanging="441"/>
        <w:spacing w:after="0"/>
        <w:tabs>
          <w:tab w:leader="none" w:pos="7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1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1-33376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SARATOGA INVESTMENT CORP.</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420" w:type="dxa"/>
        <w:tblCellMar>
          <w:top w:w="0" w:type="dxa"/>
          <w:left w:w="0" w:type="dxa"/>
          <w:bottom w:w="0" w:type="dxa"/>
          <w:right w:w="0" w:type="dxa"/>
        </w:tblCellMar>
      </w:tblPr>
      <w:tr>
        <w:trPr>
          <w:trHeight w:val="220"/>
        </w:trPr>
        <w:tc>
          <w:tcPr>
            <w:tcW w:w="6360" w:type="dxa"/>
            <w:vAlign w:val="bottom"/>
          </w:tcPr>
          <w:p>
            <w:pPr>
              <w:jc w:val="center"/>
              <w:ind w:right="3490"/>
              <w:spacing w:after="0"/>
              <w:rPr>
                <w:sz w:val="20"/>
                <w:szCs w:val="20"/>
                <w:color w:val="auto"/>
              </w:rPr>
            </w:pPr>
            <w:r>
              <w:rPr>
                <w:rFonts w:ascii="Arial" w:cs="Arial" w:eastAsia="Arial" w:hAnsi="Arial"/>
                <w:sz w:val="18"/>
                <w:szCs w:val="18"/>
                <w:b w:val="1"/>
                <w:bCs w:val="1"/>
                <w:color w:val="auto"/>
                <w:w w:val="98"/>
              </w:rPr>
              <w:t>Maryland</w:t>
            </w:r>
          </w:p>
        </w:tc>
        <w:tc>
          <w:tcPr>
            <w:tcW w:w="1520" w:type="dxa"/>
            <w:vAlign w:val="bottom"/>
          </w:tcPr>
          <w:p>
            <w:pPr>
              <w:jc w:val="right"/>
              <w:ind w:right="150"/>
              <w:spacing w:after="0"/>
              <w:rPr>
                <w:sz w:val="20"/>
                <w:szCs w:val="20"/>
                <w:color w:val="auto"/>
              </w:rPr>
            </w:pPr>
            <w:r>
              <w:rPr>
                <w:rFonts w:ascii="Arial" w:cs="Arial" w:eastAsia="Arial" w:hAnsi="Arial"/>
                <w:sz w:val="18"/>
                <w:szCs w:val="18"/>
                <w:b w:val="1"/>
                <w:bCs w:val="1"/>
                <w:color w:val="auto"/>
              </w:rPr>
              <w:t>20-8700615</w:t>
            </w:r>
          </w:p>
        </w:tc>
      </w:tr>
      <w:tr>
        <w:trPr>
          <w:trHeight w:val="216"/>
        </w:trPr>
        <w:tc>
          <w:tcPr>
            <w:tcW w:w="6360" w:type="dxa"/>
            <w:vAlign w:val="bottom"/>
          </w:tcPr>
          <w:p>
            <w:pPr>
              <w:jc w:val="center"/>
              <w:ind w:right="3490"/>
              <w:spacing w:after="0"/>
              <w:rPr>
                <w:sz w:val="20"/>
                <w:szCs w:val="20"/>
                <w:color w:val="auto"/>
              </w:rPr>
            </w:pPr>
            <w:r>
              <w:rPr>
                <w:rFonts w:ascii="Arial" w:cs="Arial" w:eastAsia="Arial" w:hAnsi="Arial"/>
                <w:sz w:val="18"/>
                <w:szCs w:val="18"/>
                <w:color w:val="auto"/>
                <w:w w:val="93"/>
              </w:rPr>
              <w:t>(State or other jurisdiction of</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3"/>
              </w:rPr>
              <w:t>(I.R.S. Employer</w:t>
            </w:r>
          </w:p>
        </w:tc>
      </w:tr>
      <w:tr>
        <w:trPr>
          <w:trHeight w:val="230"/>
        </w:trPr>
        <w:tc>
          <w:tcPr>
            <w:tcW w:w="6360" w:type="dxa"/>
            <w:vAlign w:val="bottom"/>
          </w:tcPr>
          <w:p>
            <w:pPr>
              <w:jc w:val="center"/>
              <w:ind w:right="3490"/>
              <w:spacing w:after="0"/>
              <w:rPr>
                <w:sz w:val="20"/>
                <w:szCs w:val="20"/>
                <w:color w:val="auto"/>
              </w:rPr>
            </w:pPr>
            <w:r>
              <w:rPr>
                <w:rFonts w:ascii="Arial" w:cs="Arial" w:eastAsia="Arial" w:hAnsi="Arial"/>
                <w:sz w:val="18"/>
                <w:szCs w:val="18"/>
                <w:color w:val="auto"/>
                <w:w w:val="93"/>
              </w:rPr>
              <w:t>incorporation or organization)</w:t>
            </w:r>
          </w:p>
        </w:tc>
        <w:tc>
          <w:tcPr>
            <w:tcW w:w="1520" w:type="dxa"/>
            <w:vAlign w:val="bottom"/>
          </w:tcPr>
          <w:p>
            <w:pPr>
              <w:jc w:val="center"/>
              <w:ind w:left="90"/>
              <w:spacing w:after="0"/>
              <w:rPr>
                <w:sz w:val="20"/>
                <w:szCs w:val="20"/>
                <w:color w:val="auto"/>
              </w:rPr>
            </w:pPr>
            <w:r>
              <w:rPr>
                <w:rFonts w:ascii="Arial" w:cs="Arial" w:eastAsia="Arial" w:hAnsi="Arial"/>
                <w:sz w:val="18"/>
                <w:szCs w:val="18"/>
                <w:color w:val="auto"/>
                <w:w w:val="95"/>
              </w:rPr>
              <w:t>Identification No.)</w:t>
            </w:r>
          </w:p>
        </w:tc>
      </w:tr>
      <w:tr>
        <w:trPr>
          <w:trHeight w:val="414"/>
        </w:trPr>
        <w:tc>
          <w:tcPr>
            <w:tcW w:w="6360" w:type="dxa"/>
            <w:vAlign w:val="bottom"/>
          </w:tcPr>
          <w:p>
            <w:pPr>
              <w:jc w:val="center"/>
              <w:ind w:right="3490"/>
              <w:spacing w:after="0"/>
              <w:rPr>
                <w:sz w:val="20"/>
                <w:szCs w:val="20"/>
                <w:color w:val="auto"/>
              </w:rPr>
            </w:pPr>
            <w:r>
              <w:rPr>
                <w:rFonts w:ascii="Arial" w:cs="Arial" w:eastAsia="Arial" w:hAnsi="Arial"/>
                <w:sz w:val="18"/>
                <w:szCs w:val="18"/>
                <w:b w:val="1"/>
                <w:bCs w:val="1"/>
                <w:color w:val="auto"/>
                <w:w w:val="88"/>
              </w:rPr>
              <w:t>535 Madison Avenue</w:t>
            </w:r>
          </w:p>
        </w:tc>
        <w:tc>
          <w:tcPr>
            <w:tcW w:w="1520" w:type="dxa"/>
            <w:vAlign w:val="bottom"/>
          </w:tcPr>
          <w:p>
            <w:pPr>
              <w:spacing w:after="0"/>
              <w:rPr>
                <w:sz w:val="24"/>
                <w:szCs w:val="24"/>
                <w:color w:val="auto"/>
              </w:rPr>
            </w:pPr>
          </w:p>
        </w:tc>
      </w:tr>
      <w:tr>
        <w:trPr>
          <w:trHeight w:val="220"/>
        </w:trPr>
        <w:tc>
          <w:tcPr>
            <w:tcW w:w="6360" w:type="dxa"/>
            <w:vAlign w:val="bottom"/>
          </w:tcPr>
          <w:p>
            <w:pPr>
              <w:jc w:val="center"/>
              <w:ind w:right="3490"/>
              <w:spacing w:after="0"/>
              <w:rPr>
                <w:sz w:val="20"/>
                <w:szCs w:val="20"/>
                <w:color w:val="auto"/>
              </w:rPr>
            </w:pPr>
            <w:r>
              <w:rPr>
                <w:rFonts w:ascii="Arial" w:cs="Arial" w:eastAsia="Arial" w:hAnsi="Arial"/>
                <w:sz w:val="18"/>
                <w:szCs w:val="18"/>
                <w:b w:val="1"/>
                <w:bCs w:val="1"/>
                <w:color w:val="auto"/>
                <w:w w:val="93"/>
              </w:rPr>
              <w:t>New York, New York</w:t>
            </w:r>
          </w:p>
        </w:tc>
        <w:tc>
          <w:tcPr>
            <w:tcW w:w="1520" w:type="dxa"/>
            <w:vAlign w:val="bottom"/>
          </w:tcPr>
          <w:p>
            <w:pPr>
              <w:jc w:val="right"/>
              <w:ind w:right="370"/>
              <w:spacing w:after="0"/>
              <w:rPr>
                <w:sz w:val="20"/>
                <w:szCs w:val="20"/>
                <w:color w:val="auto"/>
              </w:rPr>
            </w:pPr>
            <w:r>
              <w:rPr>
                <w:rFonts w:ascii="Arial" w:cs="Arial" w:eastAsia="Arial" w:hAnsi="Arial"/>
                <w:sz w:val="18"/>
                <w:szCs w:val="18"/>
                <w:b w:val="1"/>
                <w:bCs w:val="1"/>
                <w:color w:val="auto"/>
              </w:rPr>
              <w:t>10022</w:t>
            </w:r>
          </w:p>
        </w:tc>
      </w:tr>
      <w:tr>
        <w:trPr>
          <w:trHeight w:val="230"/>
        </w:trPr>
        <w:tc>
          <w:tcPr>
            <w:tcW w:w="6360" w:type="dxa"/>
            <w:vAlign w:val="bottom"/>
          </w:tcPr>
          <w:p>
            <w:pPr>
              <w:jc w:val="center"/>
              <w:ind w:right="3490"/>
              <w:spacing w:after="0"/>
              <w:rPr>
                <w:sz w:val="20"/>
                <w:szCs w:val="20"/>
                <w:color w:val="auto"/>
              </w:rPr>
            </w:pPr>
            <w:r>
              <w:rPr>
                <w:rFonts w:ascii="Arial" w:cs="Arial" w:eastAsia="Arial" w:hAnsi="Arial"/>
                <w:sz w:val="18"/>
                <w:szCs w:val="18"/>
                <w:color w:val="auto"/>
                <w:w w:val="92"/>
              </w:rPr>
              <w:t>(Address of principal executive office)</w:t>
            </w:r>
          </w:p>
        </w:tc>
        <w:tc>
          <w:tcPr>
            <w:tcW w:w="1520" w:type="dxa"/>
            <w:vAlign w:val="bottom"/>
          </w:tcPr>
          <w:p>
            <w:pPr>
              <w:jc w:val="center"/>
              <w:ind w:left="70"/>
              <w:spacing w:after="0"/>
              <w:rPr>
                <w:sz w:val="20"/>
                <w:szCs w:val="20"/>
                <w:color w:val="auto"/>
              </w:rPr>
            </w:pPr>
            <w:r>
              <w:rPr>
                <w:rFonts w:ascii="Arial" w:cs="Arial" w:eastAsia="Arial" w:hAnsi="Arial"/>
                <w:sz w:val="18"/>
                <w:szCs w:val="18"/>
                <w:color w:val="auto"/>
                <w:w w:val="94"/>
              </w:rPr>
              <w:t>(Zip Code)</w:t>
            </w:r>
          </w:p>
        </w:tc>
      </w:tr>
      <w:tr>
        <w:trPr>
          <w:trHeight w:val="418"/>
        </w:trPr>
        <w:tc>
          <w:tcPr>
            <w:tcW w:w="6360" w:type="dxa"/>
            <w:vAlign w:val="bottom"/>
          </w:tcPr>
          <w:p>
            <w:pPr>
              <w:jc w:val="right"/>
              <w:ind w:right="1410"/>
              <w:spacing w:after="0"/>
              <w:rPr>
                <w:sz w:val="20"/>
                <w:szCs w:val="20"/>
                <w:color w:val="auto"/>
              </w:rPr>
            </w:pPr>
            <w:r>
              <w:rPr>
                <w:rFonts w:ascii="Arial" w:cs="Arial" w:eastAsia="Arial" w:hAnsi="Arial"/>
                <w:sz w:val="18"/>
                <w:szCs w:val="18"/>
                <w:b w:val="1"/>
                <w:bCs w:val="1"/>
                <w:color w:val="auto"/>
              </w:rPr>
              <w:t>(212) 906-7800</w:t>
            </w:r>
          </w:p>
        </w:tc>
        <w:tc>
          <w:tcPr>
            <w:tcW w:w="1520" w:type="dxa"/>
            <w:vAlign w:val="bottom"/>
          </w:tcPr>
          <w:p>
            <w:pPr>
              <w:spacing w:after="0"/>
              <w:rPr>
                <w:sz w:val="24"/>
                <w:szCs w:val="24"/>
                <w:color w:val="auto"/>
              </w:rPr>
            </w:pPr>
          </w:p>
        </w:tc>
      </w:tr>
      <w:tr>
        <w:trPr>
          <w:trHeight w:val="230"/>
        </w:trPr>
        <w:tc>
          <w:tcPr>
            <w:tcW w:w="6360" w:type="dxa"/>
            <w:vAlign w:val="bottom"/>
          </w:tcPr>
          <w:p>
            <w:pPr>
              <w:jc w:val="center"/>
              <w:ind w:left="2130"/>
              <w:spacing w:after="0"/>
              <w:rPr>
                <w:sz w:val="20"/>
                <w:szCs w:val="20"/>
                <w:color w:val="auto"/>
              </w:rPr>
            </w:pPr>
            <w:r>
              <w:rPr>
                <w:rFonts w:ascii="Arial" w:cs="Arial" w:eastAsia="Arial" w:hAnsi="Arial"/>
                <w:sz w:val="18"/>
                <w:szCs w:val="18"/>
                <w:color w:val="auto"/>
                <w:w w:val="90"/>
              </w:rPr>
              <w:t>(Registrant’s telephone number, including area code)</w:t>
            </w:r>
          </w:p>
        </w:tc>
        <w:tc>
          <w:tcPr>
            <w:tcW w:w="152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211" w:lineRule="exact"/>
        <w:rPr>
          <w:sz w:val="24"/>
          <w:szCs w:val="24"/>
          <w:color w:val="auto"/>
        </w:rPr>
      </w:pPr>
    </w:p>
    <w:p>
      <w:pPr>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o</w:t>
      </w:r>
    </w:p>
    <w:p>
      <w:pPr>
        <w:spacing w:after="0" w:line="181" w:lineRule="exact"/>
        <w:rPr>
          <w:sz w:val="24"/>
          <w:szCs w:val="24"/>
          <w:color w:val="auto"/>
        </w:rPr>
      </w:pPr>
    </w:p>
    <w:p>
      <w:pPr>
        <w:ind w:right="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o No o</w:t>
      </w:r>
    </w:p>
    <w:p>
      <w:pPr>
        <w:spacing w:after="0" w:line="181" w:lineRule="exact"/>
        <w:rPr>
          <w:sz w:val="24"/>
          <w:szCs w:val="24"/>
          <w:color w:val="auto"/>
        </w:rPr>
      </w:pPr>
    </w:p>
    <w:p>
      <w:pPr>
        <w:ind w:right="60" w:firstLine="324"/>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33" w:right="239" w:bottom="0" w:gutter="0" w:footer="0" w:header="0"/>
        </w:sectPr>
      </w:pPr>
    </w:p>
    <w:p>
      <w:pPr>
        <w:spacing w:after="0" w:line="124" w:lineRule="exact"/>
        <w:rPr>
          <w:sz w:val="24"/>
          <w:szCs w:val="24"/>
          <w:color w:val="auto"/>
        </w:rPr>
      </w:pPr>
    </w:p>
    <w:p>
      <w:pPr>
        <w:ind w:left="1900"/>
        <w:spacing w:after="0"/>
        <w:rPr>
          <w:sz w:val="20"/>
          <w:szCs w:val="20"/>
          <w:color w:val="auto"/>
        </w:rPr>
      </w:pPr>
      <w:r>
        <w:rPr>
          <w:rFonts w:ascii="Arial" w:cs="Arial" w:eastAsia="Arial" w:hAnsi="Arial"/>
          <w:sz w:val="16"/>
          <w:szCs w:val="16"/>
          <w:color w:val="auto"/>
        </w:rPr>
        <w:t>Large Accelerated Filer o</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 o</w:t>
      </w:r>
    </w:p>
    <w:p>
      <w:pPr>
        <w:spacing w:after="0" w:line="200" w:lineRule="exact"/>
        <w:rPr>
          <w:sz w:val="24"/>
          <w:szCs w:val="24"/>
          <w:color w:val="auto"/>
        </w:rPr>
      </w:pPr>
    </w:p>
    <w:p>
      <w:pPr>
        <w:sectPr>
          <w:pgSz w:w="11900" w:h="16838" w:orient="portrait"/>
          <w:cols w:equalWidth="0" w:num="2">
            <w:col w:w="7220" w:space="720"/>
            <w:col w:w="3480"/>
          </w:cols>
          <w:pgMar w:left="240" w:top="233" w:right="239" w:bottom="0" w:gutter="0" w:footer="0" w:header="0"/>
          <w:type w:val="continuous"/>
        </w:sectPr>
      </w:pPr>
    </w:p>
    <w:p>
      <w:pPr>
        <w:spacing w:after="0" w:line="48" w:lineRule="exact"/>
        <w:rPr>
          <w:sz w:val="24"/>
          <w:szCs w:val="24"/>
          <w:color w:val="auto"/>
        </w:rPr>
      </w:pPr>
    </w:p>
    <w:p>
      <w:pPr>
        <w:ind w:left="1940"/>
        <w:spacing w:after="0"/>
        <w:rPr>
          <w:sz w:val="20"/>
          <w:szCs w:val="20"/>
          <w:color w:val="auto"/>
        </w:rPr>
      </w:pPr>
      <w:r>
        <w:rPr>
          <w:rFonts w:ascii="Arial" w:cs="Arial" w:eastAsia="Arial" w:hAnsi="Arial"/>
          <w:sz w:val="16"/>
          <w:szCs w:val="16"/>
          <w:color w:val="auto"/>
        </w:rPr>
        <w:t>Non-Accelerated Filer x</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2">
            <w:col w:w="6800" w:space="720"/>
            <w:col w:w="3900"/>
          </w:cols>
          <w:pgMar w:left="240" w:top="233" w:right="239" w:bottom="0" w:gutter="0" w:footer="0" w:header="0"/>
          <w:type w:val="continuous"/>
        </w:sectPr>
      </w:pPr>
    </w:p>
    <w:p>
      <w:pPr>
        <w:spacing w:after="0" w:line="4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 Yes o No x</w:t>
      </w:r>
    </w:p>
    <w:p>
      <w:pPr>
        <w:spacing w:after="0" w:line="225"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shares of the registrant’s common stock, $0.001 par value, outstanding as of January 14, 2014 was 5,379,616.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223520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6"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6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Page</w:t>
            </w:r>
          </w:p>
        </w:tc>
      </w:tr>
      <w:tr>
        <w:trPr>
          <w:trHeight w:val="385"/>
        </w:trPr>
        <w:tc>
          <w:tcPr>
            <w:tcW w:w="600" w:type="dxa"/>
            <w:vAlign w:val="bottom"/>
            <w:tcBorders>
              <w:bottom w:val="single" w:sz="8" w:color="0000EE"/>
            </w:tcBorders>
            <w:gridSpan w:val="2"/>
          </w:tcPr>
          <w:p>
            <w:pPr>
              <w:spacing w:after="0"/>
              <w:rPr>
                <w:rFonts w:ascii="Arial" w:cs="Arial" w:eastAsia="Arial" w:hAnsi="Arial"/>
                <w:sz w:val="18"/>
                <w:szCs w:val="18"/>
                <w:b w:val="1"/>
                <w:bCs w:val="1"/>
                <w:color w:val="0000EE"/>
                <w:w w:val="98"/>
              </w:rPr>
            </w:pPr>
            <w:hyperlink w:anchor="page2">
              <w:r>
                <w:rPr>
                  <w:rFonts w:ascii="Arial" w:cs="Arial" w:eastAsia="Arial" w:hAnsi="Arial"/>
                  <w:sz w:val="18"/>
                  <w:szCs w:val="18"/>
                  <w:b w:val="1"/>
                  <w:bCs w:val="1"/>
                  <w:color w:val="0000EE"/>
                  <w:w w:val="98"/>
                </w:rPr>
                <w:t>PART I</w:t>
              </w:r>
            </w:hyperlink>
          </w:p>
        </w:tc>
        <w:tc>
          <w:tcPr>
            <w:tcW w:w="620" w:type="dxa"/>
            <w:vAlign w:val="bottom"/>
          </w:tcPr>
          <w:p>
            <w:pPr>
              <w:spacing w:after="0"/>
              <w:rPr>
                <w:sz w:val="24"/>
                <w:szCs w:val="24"/>
                <w:color w:val="auto"/>
              </w:rPr>
            </w:pPr>
          </w:p>
        </w:tc>
        <w:tc>
          <w:tcPr>
            <w:tcW w:w="24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2">
              <w:r>
                <w:rPr>
                  <w:rFonts w:ascii="Arial" w:cs="Arial" w:eastAsia="Arial" w:hAnsi="Arial"/>
                  <w:sz w:val="18"/>
                  <w:szCs w:val="18"/>
                  <w:b w:val="1"/>
                  <w:bCs w:val="1"/>
                  <w:color w:val="0000EE"/>
                </w:rPr>
                <w:t>FINANCIAL INFORMATION</w:t>
              </w:r>
            </w:hyperlink>
          </w:p>
        </w:tc>
        <w:tc>
          <w:tcPr>
            <w:tcW w:w="7060" w:type="dxa"/>
            <w:vAlign w:val="bottom"/>
            <w:gridSpan w:val="3"/>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3</w:t>
            </w:r>
          </w:p>
        </w:tc>
      </w:tr>
      <w:tr>
        <w:trPr>
          <w:trHeight w:val="412"/>
        </w:trPr>
        <w:tc>
          <w:tcPr>
            <w:tcW w:w="520" w:type="dxa"/>
            <w:vAlign w:val="bottom"/>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Item 1.</w:t>
              </w:r>
            </w:hyperlink>
          </w:p>
        </w:tc>
        <w:tc>
          <w:tcPr>
            <w:tcW w:w="700" w:type="dxa"/>
            <w:vAlign w:val="bottom"/>
            <w:gridSpan w:val="2"/>
          </w:tcPr>
          <w:p>
            <w:pPr>
              <w:spacing w:after="0"/>
              <w:rPr>
                <w:sz w:val="24"/>
                <w:szCs w:val="24"/>
                <w:color w:val="auto"/>
              </w:rPr>
            </w:pPr>
          </w:p>
        </w:tc>
        <w:tc>
          <w:tcPr>
            <w:tcW w:w="94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Financial Statements</w:t>
              </w:r>
            </w:hyperlink>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5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500" w:type="dxa"/>
            <w:vAlign w:val="bottom"/>
            <w:shd w:val="clear" w:color="auto" w:fill="0000EE"/>
          </w:tcPr>
          <w:p>
            <w:pPr>
              <w:spacing w:after="0" w:line="20" w:lineRule="exact"/>
              <w:rPr>
                <w:sz w:val="1"/>
                <w:szCs w:val="1"/>
                <w:color w:val="auto"/>
              </w:rPr>
            </w:pPr>
          </w:p>
        </w:tc>
        <w:tc>
          <w:tcPr>
            <w:tcW w:w="650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0" w:type="dxa"/>
            <w:vAlign w:val="bottom"/>
            <w:tcBorders>
              <w:bottom w:val="single" w:sz="8" w:color="0000EE"/>
            </w:tcBorders>
            <w:gridSpan w:val="3"/>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Consolidated Statements of Assets and Liabilities as of November 30, 2013 (unaudited) and February 28, 2013</w:t>
              </w:r>
            </w:hyperlink>
          </w:p>
        </w:tc>
        <w:tc>
          <w:tcPr>
            <w:tcW w:w="1460" w:type="dxa"/>
            <w:vAlign w:val="bottom"/>
            <w:gridSpan w:val="2"/>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520" w:type="dxa"/>
            <w:vAlign w:val="bottom"/>
            <w:tcBorders>
              <w:bottom w:val="single" w:sz="8" w:color="0000EE"/>
            </w:tcBorders>
            <w:gridSpan w:val="4"/>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Statements of Operations for the three and nine months ended November 30, 2013 and 2012 (unaudited)</w:t>
              </w:r>
            </w:hyperlink>
          </w:p>
        </w:tc>
        <w:tc>
          <w:tcPr>
            <w:tcW w:w="9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20"/>
          </w:cols>
          <w:pgMar w:left="240" w:top="233" w:right="239" w:bottom="0" w:gutter="0" w:footer="0" w:header="0"/>
          <w:type w:val="continuous"/>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20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Schedules of Investments as of November 30, 2013 (unaudited) and February 28, 2013</w:t>
              </w:r>
            </w:hyperlink>
          </w:p>
        </w:tc>
        <w:tc>
          <w:tcPr>
            <w:tcW w:w="114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600" w:type="dxa"/>
            <w:vAlign w:val="bottom"/>
            <w:gridSpan w:val="2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Consolidated Statements of Changes in Net Assets for the nine months ended November 30, 2013 and 2012 (unaudited)</w:t>
              </w:r>
            </w:hyperlink>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340" w:type="dxa"/>
            <w:vAlign w:val="bottom"/>
            <w:tcBorders>
              <w:top w:val="single" w:sz="8" w:color="0000EE"/>
            </w:tcBorders>
            <w:gridSpan w:val="18"/>
          </w:tcPr>
          <w:p>
            <w:pPr>
              <w:spacing w:after="0"/>
              <w:rPr>
                <w:rFonts w:ascii="Arial" w:cs="Arial" w:eastAsia="Arial" w:hAnsi="Arial"/>
                <w:sz w:val="18"/>
                <w:szCs w:val="18"/>
                <w:color w:val="0000EE"/>
                <w:w w:val="95"/>
              </w:rPr>
            </w:pPr>
            <w:hyperlink w:anchor="page7">
              <w:r>
                <w:rPr>
                  <w:rFonts w:ascii="Arial" w:cs="Arial" w:eastAsia="Arial" w:hAnsi="Arial"/>
                  <w:sz w:val="18"/>
                  <w:szCs w:val="18"/>
                  <w:color w:val="0000EE"/>
                  <w:w w:val="95"/>
                </w:rPr>
                <w:t>Consolidated Statements of Cash Flows for the nine months ended November 30, 2013 and 2012 (unaudited)</w:t>
              </w:r>
            </w:hyperlink>
          </w:p>
        </w:tc>
        <w:tc>
          <w:tcPr>
            <w:tcW w:w="24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41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84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89"/>
              </w:rPr>
            </w:pPr>
            <w:hyperlink w:anchor="page8">
              <w:r>
                <w:rPr>
                  <w:rFonts w:ascii="Arial" w:cs="Arial" w:eastAsia="Arial" w:hAnsi="Arial"/>
                  <w:sz w:val="18"/>
                  <w:szCs w:val="18"/>
                  <w:color w:val="0000EE"/>
                  <w:w w:val="89"/>
                </w:rPr>
                <w:t>Notes to Consolidated Financial Statements as of November 30, 2013 (unaudited)</w:t>
              </w:r>
            </w:hyperlink>
          </w:p>
        </w:tc>
        <w:tc>
          <w:tcPr>
            <w:tcW w:w="4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12"/>
        </w:trPr>
        <w:tc>
          <w:tcPr>
            <w:tcW w:w="640" w:type="dxa"/>
            <w:vAlign w:val="bottom"/>
            <w:gridSpan w:val="4"/>
          </w:tcPr>
          <w:p>
            <w:pPr>
              <w:spacing w:after="0"/>
              <w:rPr>
                <w:rFonts w:ascii="Arial" w:cs="Arial" w:eastAsia="Arial" w:hAnsi="Arial"/>
                <w:sz w:val="18"/>
                <w:szCs w:val="18"/>
                <w:color w:val="0000EE"/>
              </w:rPr>
            </w:pPr>
            <w:hyperlink w:anchor="page25">
              <w:r>
                <w:rPr>
                  <w:rFonts w:ascii="Arial" w:cs="Arial" w:eastAsia="Arial" w:hAnsi="Arial"/>
                  <w:sz w:val="18"/>
                  <w:szCs w:val="18"/>
                  <w:color w:val="0000EE"/>
                </w:rPr>
                <w:t>Item 2.</w:t>
              </w:r>
            </w:hyperlink>
          </w:p>
        </w:tc>
        <w:tc>
          <w:tcPr>
            <w:tcW w:w="640" w:type="dxa"/>
            <w:vAlign w:val="bottom"/>
            <w:gridSpan w:val="3"/>
          </w:tcPr>
          <w:p>
            <w:pPr>
              <w:spacing w:after="0"/>
              <w:rPr>
                <w:sz w:val="24"/>
                <w:szCs w:val="24"/>
                <w:color w:val="auto"/>
              </w:rPr>
            </w:pPr>
          </w:p>
        </w:tc>
        <w:tc>
          <w:tcPr>
            <w:tcW w:w="6520" w:type="dxa"/>
            <w:vAlign w:val="bottom"/>
            <w:gridSpan w:val="14"/>
          </w:tcPr>
          <w:p>
            <w:pPr>
              <w:spacing w:after="0"/>
              <w:rPr>
                <w:rFonts w:ascii="Arial" w:cs="Arial" w:eastAsia="Arial" w:hAnsi="Arial"/>
                <w:sz w:val="18"/>
                <w:szCs w:val="18"/>
                <w:color w:val="0000EE"/>
                <w:w w:val="91"/>
              </w:rPr>
            </w:pPr>
            <w:hyperlink w:anchor="page25">
              <w:r>
                <w:rPr>
                  <w:rFonts w:ascii="Arial" w:cs="Arial" w:eastAsia="Arial" w:hAnsi="Arial"/>
                  <w:sz w:val="18"/>
                  <w:szCs w:val="18"/>
                  <w:color w:val="0000EE"/>
                  <w:w w:val="91"/>
                </w:rPr>
                <w:t>Management’s Discussion and Analysis of Financial Condition and Results of Operations</w:t>
              </w:r>
            </w:hyperlink>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Item 3.</w:t>
              </w:r>
            </w:hyperlink>
          </w:p>
        </w:tc>
        <w:tc>
          <w:tcPr>
            <w:tcW w:w="100" w:type="dxa"/>
            <w:vAlign w:val="bottom"/>
            <w:tcBorders>
              <w:top w:val="single" w:sz="8" w:color="0000EE"/>
            </w:tcBorders>
          </w:tcPr>
          <w:p>
            <w:pPr>
              <w:spacing w:after="0"/>
              <w:rPr>
                <w:sz w:val="24"/>
                <w:szCs w:val="24"/>
                <w:color w:val="auto"/>
              </w:rPr>
            </w:pPr>
          </w:p>
        </w:tc>
        <w:tc>
          <w:tcPr>
            <w:tcW w:w="640" w:type="dxa"/>
            <w:vAlign w:val="bottom"/>
            <w:gridSpan w:val="3"/>
          </w:tcPr>
          <w:p>
            <w:pPr>
              <w:spacing w:after="0"/>
              <w:rPr>
                <w:sz w:val="24"/>
                <w:szCs w:val="24"/>
                <w:color w:val="auto"/>
              </w:rPr>
            </w:pPr>
          </w:p>
        </w:tc>
        <w:tc>
          <w:tcPr>
            <w:tcW w:w="4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1"/>
              </w:rPr>
            </w:pPr>
            <w:hyperlink w:anchor="page37">
              <w:r>
                <w:rPr>
                  <w:rFonts w:ascii="Arial" w:cs="Arial" w:eastAsia="Arial" w:hAnsi="Arial"/>
                  <w:sz w:val="18"/>
                  <w:szCs w:val="18"/>
                  <w:color w:val="0000EE"/>
                  <w:w w:val="91"/>
                </w:rPr>
                <w:t>Quantitative and Qualitative Disclosures About Market Risk</w:t>
              </w:r>
            </w:hyperlink>
          </w:p>
        </w:tc>
        <w:tc>
          <w:tcPr>
            <w:tcW w:w="2000" w:type="dxa"/>
            <w:vAlign w:val="bottom"/>
            <w:tcBorders>
              <w:top w:val="single" w:sz="8" w:color="0000EE"/>
            </w:tcBorders>
            <w:gridSpan w:val="2"/>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4.</w:t>
              </w:r>
            </w:hyperlink>
          </w:p>
        </w:tc>
        <w:tc>
          <w:tcPr>
            <w:tcW w:w="760" w:type="dxa"/>
            <w:vAlign w:val="bottom"/>
            <w:gridSpan w:val="5"/>
          </w:tcPr>
          <w:p>
            <w:pPr>
              <w:spacing w:after="0"/>
              <w:rPr>
                <w:sz w:val="24"/>
                <w:szCs w:val="24"/>
                <w:color w:val="auto"/>
              </w:rPr>
            </w:pPr>
          </w:p>
        </w:tc>
        <w:tc>
          <w:tcPr>
            <w:tcW w:w="172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7">
              <w:r>
                <w:rPr>
                  <w:rFonts w:ascii="Arial" w:cs="Arial" w:eastAsia="Arial" w:hAnsi="Arial"/>
                  <w:sz w:val="18"/>
                  <w:szCs w:val="18"/>
                  <w:color w:val="0000EE"/>
                  <w:w w:val="85"/>
                </w:rPr>
                <w:t>Controls and Procedures</w:t>
              </w:r>
            </w:hyperlink>
          </w:p>
        </w:tc>
        <w:tc>
          <w:tcPr>
            <w:tcW w:w="4600" w:type="dxa"/>
            <w:vAlign w:val="bottom"/>
            <w:gridSpan w:val="6"/>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1280" w:type="dxa"/>
            <w:vAlign w:val="bottom"/>
            <w:gridSpan w:val="7"/>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PART II</w:t>
              </w:r>
            </w:hyperlink>
          </w:p>
        </w:tc>
        <w:tc>
          <w:tcPr>
            <w:tcW w:w="6320" w:type="dxa"/>
            <w:vAlign w:val="bottom"/>
            <w:gridSpan w:val="11"/>
          </w:tcPr>
          <w:p>
            <w:pPr>
              <w:spacing w:after="0"/>
              <w:rPr>
                <w:rFonts w:ascii="Arial" w:cs="Arial" w:eastAsia="Arial" w:hAnsi="Arial"/>
                <w:sz w:val="18"/>
                <w:szCs w:val="18"/>
                <w:b w:val="1"/>
                <w:bCs w:val="1"/>
                <w:color w:val="0000EE"/>
              </w:rPr>
            </w:pPr>
            <w:hyperlink w:anchor="page38">
              <w:r>
                <w:rPr>
                  <w:rFonts w:ascii="Arial" w:cs="Arial" w:eastAsia="Arial" w:hAnsi="Arial"/>
                  <w:sz w:val="18"/>
                  <w:szCs w:val="18"/>
                  <w:b w:val="1"/>
                  <w:bCs w:val="1"/>
                  <w:color w:val="0000EE"/>
                </w:rPr>
                <w:t>OTHER INFORMATION</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53</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1.</w:t>
              </w:r>
            </w:hyperlink>
          </w:p>
        </w:tc>
        <w:tc>
          <w:tcPr>
            <w:tcW w:w="120" w:type="dxa"/>
            <w:vAlign w:val="bottom"/>
            <w:tcBorders>
              <w:top w:val="single" w:sz="8" w:color="0000EE"/>
            </w:tcBorders>
            <w:gridSpan w:val="2"/>
          </w:tcPr>
          <w:p>
            <w:pPr>
              <w:spacing w:after="0"/>
              <w:rPr>
                <w:sz w:val="24"/>
                <w:szCs w:val="24"/>
                <w:color w:val="auto"/>
              </w:rPr>
            </w:pPr>
          </w:p>
        </w:tc>
        <w:tc>
          <w:tcPr>
            <w:tcW w:w="620" w:type="dxa"/>
            <w:vAlign w:val="bottom"/>
            <w:gridSpan w:val="2"/>
          </w:tcPr>
          <w:p>
            <w:pPr>
              <w:spacing w:after="0"/>
              <w:rPr>
                <w:sz w:val="24"/>
                <w:szCs w:val="24"/>
                <w:color w:val="auto"/>
              </w:rPr>
            </w:pPr>
          </w:p>
        </w:tc>
        <w:tc>
          <w:tcPr>
            <w:tcW w:w="128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4"/>
              </w:rPr>
            </w:pPr>
            <w:hyperlink w:anchor="page38">
              <w:r>
                <w:rPr>
                  <w:rFonts w:ascii="Arial" w:cs="Arial" w:eastAsia="Arial" w:hAnsi="Arial"/>
                  <w:sz w:val="18"/>
                  <w:szCs w:val="18"/>
                  <w:color w:val="0000EE"/>
                  <w:w w:val="84"/>
                </w:rPr>
                <w:t>Legal Proceedings</w:t>
              </w:r>
            </w:hyperlink>
          </w:p>
        </w:tc>
        <w:tc>
          <w:tcPr>
            <w:tcW w:w="680" w:type="dxa"/>
            <w:vAlign w:val="bottom"/>
            <w:tcBorders>
              <w:top w:val="single" w:sz="8" w:color="0000EE"/>
            </w:tcBorders>
            <w:gridSpan w:val="2"/>
          </w:tcPr>
          <w:p>
            <w:pPr>
              <w:spacing w:after="0"/>
              <w:rPr>
                <w:sz w:val="24"/>
                <w:szCs w:val="24"/>
                <w:color w:val="auto"/>
              </w:rPr>
            </w:pPr>
          </w:p>
        </w:tc>
        <w:tc>
          <w:tcPr>
            <w:tcW w:w="4360" w:type="dxa"/>
            <w:vAlign w:val="bottom"/>
            <w:gridSpan w:val="5"/>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1280" w:type="dxa"/>
            <w:vAlign w:val="bottom"/>
            <w:gridSpan w:val="7"/>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1A.</w:t>
              </w:r>
            </w:hyperlink>
          </w:p>
        </w:tc>
        <w:tc>
          <w:tcPr>
            <w:tcW w:w="632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Risk Factors</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0"/>
        </w:trPr>
        <w:tc>
          <w:tcPr>
            <w:tcW w:w="640" w:type="dxa"/>
            <w:vAlign w:val="bottom"/>
            <w:gridSpan w:val="4"/>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640" w:type="dxa"/>
            <w:vAlign w:val="bottom"/>
            <w:gridSpan w:val="3"/>
          </w:tcPr>
          <w:p>
            <w:pPr>
              <w:spacing w:after="0"/>
              <w:rPr>
                <w:sz w:val="24"/>
                <w:szCs w:val="24"/>
                <w:color w:val="auto"/>
              </w:rPr>
            </w:pPr>
          </w:p>
        </w:tc>
        <w:tc>
          <w:tcPr>
            <w:tcW w:w="4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Unregistered Sales of Equity Securities and Use of Proceeds</w:t>
              </w:r>
            </w:hyperlink>
          </w:p>
        </w:tc>
        <w:tc>
          <w:tcPr>
            <w:tcW w:w="2020" w:type="dxa"/>
            <w:vAlign w:val="bottom"/>
            <w:gridSpan w:val="3"/>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760" w:type="dxa"/>
            <w:vAlign w:val="bottom"/>
            <w:gridSpan w:val="6"/>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Item 3.</w:t>
              </w:r>
            </w:hyperlink>
          </w:p>
        </w:tc>
        <w:tc>
          <w:tcPr>
            <w:tcW w:w="520" w:type="dxa"/>
            <w:vAlign w:val="bottom"/>
          </w:tcPr>
          <w:p>
            <w:pPr>
              <w:spacing w:after="0"/>
              <w:rPr>
                <w:sz w:val="24"/>
                <w:szCs w:val="24"/>
                <w:color w:val="auto"/>
              </w:rPr>
            </w:pPr>
          </w:p>
        </w:tc>
        <w:tc>
          <w:tcPr>
            <w:tcW w:w="632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Defaults upon Senior Securities</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12"/>
        </w:trPr>
        <w:tc>
          <w:tcPr>
            <w:tcW w:w="54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4.</w:t>
              </w:r>
            </w:hyperlink>
          </w:p>
        </w:tc>
        <w:tc>
          <w:tcPr>
            <w:tcW w:w="220" w:type="dxa"/>
            <w:vAlign w:val="bottom"/>
            <w:tcBorders>
              <w:top w:val="single" w:sz="8" w:color="0000EE"/>
            </w:tcBorders>
            <w:gridSpan w:val="3"/>
          </w:tcPr>
          <w:p>
            <w:pPr>
              <w:spacing w:after="0"/>
              <w:rPr>
                <w:sz w:val="24"/>
                <w:szCs w:val="24"/>
                <w:color w:val="auto"/>
              </w:rPr>
            </w:pPr>
          </w:p>
        </w:tc>
        <w:tc>
          <w:tcPr>
            <w:tcW w:w="520" w:type="dxa"/>
            <w:vAlign w:val="bottom"/>
          </w:tcPr>
          <w:p>
            <w:pPr>
              <w:spacing w:after="0"/>
              <w:rPr>
                <w:sz w:val="24"/>
                <w:szCs w:val="24"/>
                <w:color w:val="auto"/>
              </w:rPr>
            </w:pPr>
          </w:p>
        </w:tc>
        <w:tc>
          <w:tcPr>
            <w:tcW w:w="172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Mine Safety Disclosures</w:t>
              </w:r>
            </w:hyperlink>
          </w:p>
        </w:tc>
        <w:tc>
          <w:tcPr>
            <w:tcW w:w="500" w:type="dxa"/>
            <w:vAlign w:val="bottom"/>
            <w:tcBorders>
              <w:top w:val="single" w:sz="8" w:color="0000EE"/>
            </w:tcBorders>
            <w:gridSpan w:val="2"/>
          </w:tcPr>
          <w:p>
            <w:pPr>
              <w:spacing w:after="0"/>
              <w:rPr>
                <w:sz w:val="24"/>
                <w:szCs w:val="24"/>
                <w:color w:val="auto"/>
              </w:rPr>
            </w:pPr>
          </w:p>
        </w:tc>
        <w:tc>
          <w:tcPr>
            <w:tcW w:w="4100" w:type="dxa"/>
            <w:vAlign w:val="bottom"/>
            <w:gridSpan w:val="4"/>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2"/>
        </w:trPr>
        <w:tc>
          <w:tcPr>
            <w:tcW w:w="540" w:type="dxa"/>
            <w:vAlign w:val="bottom"/>
            <w:tcBorders>
              <w:bottom w:val="single" w:sz="8" w:color="0000EE"/>
            </w:tcBorders>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5.</w:t>
              </w:r>
            </w:hyperlink>
          </w:p>
        </w:tc>
        <w:tc>
          <w:tcPr>
            <w:tcW w:w="740" w:type="dxa"/>
            <w:vAlign w:val="bottom"/>
            <w:gridSpan w:val="4"/>
          </w:tcPr>
          <w:p>
            <w:pPr>
              <w:spacing w:after="0"/>
              <w:rPr>
                <w:sz w:val="24"/>
                <w:szCs w:val="24"/>
                <w:color w:val="auto"/>
              </w:rPr>
            </w:pPr>
          </w:p>
        </w:tc>
        <w:tc>
          <w:tcPr>
            <w:tcW w:w="1260" w:type="dxa"/>
            <w:vAlign w:val="bottom"/>
            <w:tcBorders>
              <w:bottom w:val="single" w:sz="8" w:color="0000EE"/>
            </w:tcBorders>
            <w:gridSpan w:val="3"/>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Other Information</w:t>
              </w:r>
            </w:hyperlink>
          </w:p>
        </w:tc>
        <w:tc>
          <w:tcPr>
            <w:tcW w:w="5060" w:type="dxa"/>
            <w:vAlign w:val="bottom"/>
            <w:gridSpan w:val="8"/>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412"/>
        </w:trPr>
        <w:tc>
          <w:tcPr>
            <w:tcW w:w="540" w:type="dxa"/>
            <w:vAlign w:val="bottom"/>
            <w:gridSpan w:val="3"/>
          </w:tcPr>
          <w:p>
            <w:pPr>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740" w:type="dxa"/>
            <w:vAlign w:val="bottom"/>
            <w:gridSpan w:val="4"/>
          </w:tcPr>
          <w:p>
            <w:pPr>
              <w:spacing w:after="0"/>
              <w:rPr>
                <w:sz w:val="24"/>
                <w:szCs w:val="24"/>
                <w:color w:val="auto"/>
              </w:rPr>
            </w:pPr>
          </w:p>
        </w:tc>
        <w:tc>
          <w:tcPr>
            <w:tcW w:w="6320" w:type="dxa"/>
            <w:vAlign w:val="bottom"/>
            <w:gridSpan w:val="11"/>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
        </w:trPr>
        <w:tc>
          <w:tcPr>
            <w:tcW w:w="540" w:type="dxa"/>
            <w:vAlign w:val="bottom"/>
            <w:gridSpan w:val="3"/>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520" w:type="dxa"/>
            <w:vAlign w:val="bottom"/>
            <w:tcBorders>
              <w:right w:val="single" w:sz="8" w:color="0000EE"/>
            </w:tcBorders>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280" w:type="dxa"/>
            <w:vAlign w:val="bottom"/>
            <w:gridSpan w:val="7"/>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3"/>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Pr>
          <w:p>
            <w:pPr>
              <w:spacing w:after="0"/>
              <w:rPr>
                <w:sz w:val="24"/>
                <w:szCs w:val="24"/>
                <w:color w:val="auto"/>
              </w:rPr>
            </w:pPr>
          </w:p>
        </w:tc>
        <w:tc>
          <w:tcPr>
            <w:tcW w:w="5840" w:type="dxa"/>
            <w:vAlign w:val="bottom"/>
            <w:gridSpan w:val="10"/>
          </w:tcPr>
          <w:p>
            <w:pPr>
              <w:jc w:val="center"/>
              <w:ind w:left="2930"/>
              <w:spacing w:after="0"/>
              <w:rPr>
                <w:sz w:val="20"/>
                <w:szCs w:val="20"/>
                <w:color w:val="auto"/>
              </w:rPr>
            </w:pPr>
            <w:r>
              <w:rPr>
                <w:rFonts w:ascii="Arial" w:cs="Arial" w:eastAsia="Arial" w:hAnsi="Arial"/>
                <w:sz w:val="18"/>
                <w:szCs w:val="18"/>
                <w:color w:val="auto"/>
                <w:w w:val="99"/>
              </w:rPr>
              <w:t>2</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520" w:type="dxa"/>
            <w:vAlign w:val="bottom"/>
            <w:tcBorders>
              <w:bottom w:val="single" w:sz="8" w:color="010101"/>
            </w:tcBorders>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42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44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20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4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7600" w:type="dxa"/>
            <w:vAlign w:val="bottom"/>
            <w:gridSpan w:val="18"/>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rPr>
              <w:t>PART I FINANCIAL INFORMATION</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600" w:type="dxa"/>
            <w:vAlign w:val="bottom"/>
            <w:gridSpan w:val="18"/>
          </w:tcPr>
          <w:p>
            <w:pPr>
              <w:spacing w:after="0"/>
              <w:rPr>
                <w:sz w:val="20"/>
                <w:szCs w:val="20"/>
                <w:color w:val="auto"/>
              </w:rPr>
            </w:pPr>
            <w:r>
              <w:rPr>
                <w:rFonts w:ascii="Arial" w:cs="Arial" w:eastAsia="Arial" w:hAnsi="Arial"/>
                <w:sz w:val="18"/>
                <w:szCs w:val="18"/>
                <w:b w:val="1"/>
                <w:bCs w:val="1"/>
                <w:color w:val="auto"/>
              </w:rPr>
              <w:t>Item 1. Financial Statements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4"/>
          </w:tcPr>
          <w:p>
            <w:pPr>
              <w:jc w:val="center"/>
              <w:ind w:left="250"/>
              <w:spacing w:after="0"/>
              <w:rPr>
                <w:sz w:val="20"/>
                <w:szCs w:val="20"/>
                <w:color w:val="auto"/>
              </w:rPr>
            </w:pPr>
            <w:r>
              <w:rPr>
                <w:rFonts w:ascii="Arial" w:cs="Arial" w:eastAsia="Arial" w:hAnsi="Arial"/>
                <w:sz w:val="18"/>
                <w:szCs w:val="18"/>
                <w:b w:val="1"/>
                <w:bCs w:val="1"/>
                <w:color w:val="auto"/>
                <w:w w:val="90"/>
              </w:rPr>
              <w:t>Saratoga Investment Corp.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100" w:type="dxa"/>
            <w:vAlign w:val="bottom"/>
            <w:gridSpan w:val="4"/>
          </w:tcPr>
          <w:p>
            <w:pPr>
              <w:jc w:val="center"/>
              <w:ind w:left="23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20" w:type="dxa"/>
            <w:vAlign w:val="bottom"/>
            <w:gridSpan w:val="4"/>
          </w:tcPr>
          <w:p>
            <w:pPr>
              <w:jc w:val="right"/>
              <w:ind w:right="560"/>
              <w:spacing w:after="0" w:line="142" w:lineRule="exact"/>
              <w:rPr>
                <w:sz w:val="20"/>
                <w:szCs w:val="20"/>
                <w:color w:val="auto"/>
              </w:rPr>
            </w:pPr>
            <w:r>
              <w:rPr>
                <w:rFonts w:ascii="Arial" w:cs="Arial" w:eastAsia="Arial" w:hAnsi="Arial"/>
                <w:sz w:val="14"/>
                <w:szCs w:val="14"/>
                <w:b w:val="1"/>
                <w:bCs w:val="1"/>
                <w:color w:val="auto"/>
                <w:w w:val="97"/>
              </w:rPr>
              <w:t>November 30, 2013</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tcPr>
          <w:p>
            <w:pPr>
              <w:jc w:val="right"/>
              <w:ind w:right="210"/>
              <w:spacing w:after="0" w:line="142" w:lineRule="exact"/>
              <w:rPr>
                <w:sz w:val="20"/>
                <w:szCs w:val="20"/>
                <w:color w:val="auto"/>
              </w:rPr>
            </w:pPr>
            <w:r>
              <w:rPr>
                <w:rFonts w:ascii="Arial" w:cs="Arial" w:eastAsia="Arial" w:hAnsi="Arial"/>
                <w:sz w:val="14"/>
                <w:szCs w:val="14"/>
                <w:b w:val="1"/>
                <w:bCs w:val="1"/>
                <w:color w:val="auto"/>
                <w:w w:val="94"/>
              </w:rPr>
              <w:t>February 28, 2013</w:t>
            </w: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gridSpan w:val="3"/>
          </w:tcPr>
          <w:p>
            <w:pPr>
              <w:jc w:val="right"/>
              <w:ind w:right="419"/>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ASSETS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Investments at fair value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580" w:type="dxa"/>
            <w:vAlign w:val="bottom"/>
            <w:gridSpan w:val="17"/>
          </w:tcPr>
          <w:p>
            <w:pPr>
              <w:ind w:left="160"/>
              <w:spacing w:after="0" w:line="201" w:lineRule="exact"/>
              <w:rPr>
                <w:sz w:val="20"/>
                <w:szCs w:val="20"/>
                <w:color w:val="auto"/>
              </w:rPr>
            </w:pPr>
            <w:r>
              <w:rPr>
                <w:rFonts w:ascii="Arial" w:cs="Arial" w:eastAsia="Arial" w:hAnsi="Arial"/>
                <w:sz w:val="18"/>
                <w:szCs w:val="18"/>
                <w:color w:val="auto"/>
              </w:rPr>
              <w:t>Non-control/non-affiliate investments (amortized cost of $180,323,606 and $130,465,086,</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580" w:type="dxa"/>
            <w:vAlign w:val="bottom"/>
            <w:gridSpan w:val="17"/>
          </w:tcPr>
          <w:p>
            <w:pPr>
              <w:ind w:left="340"/>
              <w:spacing w:after="0"/>
              <w:rPr>
                <w:sz w:val="20"/>
                <w:szCs w:val="20"/>
                <w:color w:val="auto"/>
              </w:rPr>
            </w:pPr>
            <w:r>
              <w:rPr>
                <w:rFonts w:ascii="Arial" w:cs="Arial" w:eastAsia="Arial" w:hAnsi="Arial"/>
                <w:sz w:val="18"/>
                <w:szCs w:val="18"/>
                <w:color w:val="auto"/>
              </w:rPr>
              <w:t>respectively)</w:t>
            </w:r>
          </w:p>
        </w:tc>
        <w:tc>
          <w:tcPr>
            <w:tcW w:w="20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179,759,938</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0"/>
                <w:szCs w:val="20"/>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129,563,428</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shd w:val="clear" w:color="auto" w:fill="CCEEFF"/>
          </w:tcPr>
          <w:p>
            <w:pPr>
              <w:ind w:left="160"/>
              <w:spacing w:after="0"/>
              <w:rPr>
                <w:sz w:val="20"/>
                <w:szCs w:val="20"/>
                <w:color w:val="auto"/>
              </w:rPr>
            </w:pPr>
            <w:r>
              <w:rPr>
                <w:rFonts w:ascii="Arial" w:cs="Arial" w:eastAsia="Arial" w:hAnsi="Arial"/>
                <w:sz w:val="18"/>
                <w:szCs w:val="18"/>
                <w:color w:val="auto"/>
              </w:rPr>
              <w:t>Control investments (cost of $16,555,808 and $18,944,966 respectively)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19,018,842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25,516,959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580" w:type="dxa"/>
            <w:vAlign w:val="bottom"/>
            <w:gridSpan w:val="17"/>
          </w:tcPr>
          <w:p>
            <w:pPr>
              <w:ind w:left="160"/>
              <w:spacing w:after="0"/>
              <w:rPr>
                <w:sz w:val="20"/>
                <w:szCs w:val="20"/>
                <w:color w:val="auto"/>
              </w:rPr>
            </w:pPr>
            <w:r>
              <w:rPr>
                <w:rFonts w:ascii="Arial" w:cs="Arial" w:eastAsia="Arial" w:hAnsi="Arial"/>
                <w:sz w:val="18"/>
                <w:szCs w:val="18"/>
                <w:color w:val="auto"/>
                <w:w w:val="97"/>
              </w:rPr>
              <w:t>Total investments at fair value (amortized cost of $196,879,414 and $149,410,052 respectively)</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198,778,780</w:t>
            </w:r>
          </w:p>
        </w:tc>
        <w:tc>
          <w:tcPr>
            <w:tcW w:w="3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155,080,387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3,359,983</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149,025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tcPr>
          <w:p>
            <w:pPr>
              <w:spacing w:after="0"/>
              <w:rPr>
                <w:sz w:val="20"/>
                <w:szCs w:val="20"/>
                <w:color w:val="auto"/>
              </w:rPr>
            </w:pPr>
            <w:r>
              <w:rPr>
                <w:rFonts w:ascii="Arial" w:cs="Arial" w:eastAsia="Arial" w:hAnsi="Arial"/>
                <w:sz w:val="18"/>
                <w:szCs w:val="18"/>
                <w:color w:val="auto"/>
              </w:rPr>
              <w:t>Cash and cash equivalents, reserve accounts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1,599,132</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12,086,142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Interest receivable, (net of reserve of $310,146 and $53,543, respectively)</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2,751,138</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2,889,358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tcPr>
          <w:p>
            <w:pPr>
              <w:spacing w:after="0"/>
              <w:rPr>
                <w:sz w:val="20"/>
                <w:szCs w:val="20"/>
                <w:color w:val="auto"/>
              </w:rPr>
            </w:pPr>
            <w:r>
              <w:rPr>
                <w:rFonts w:ascii="Arial" w:cs="Arial" w:eastAsia="Arial" w:hAnsi="Arial"/>
                <w:sz w:val="18"/>
                <w:szCs w:val="18"/>
                <w:color w:val="auto"/>
              </w:rPr>
              <w:t>Due from manager</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300"/>
              <w:spacing w:after="0"/>
              <w:rPr>
                <w:sz w:val="20"/>
                <w:szCs w:val="20"/>
                <w:color w:val="auto"/>
              </w:rPr>
            </w:pPr>
            <w:r>
              <w:rPr>
                <w:rFonts w:ascii="Arial" w:cs="Arial" w:eastAsia="Arial" w:hAnsi="Arial"/>
                <w:sz w:val="18"/>
                <w:szCs w:val="18"/>
                <w:color w:val="auto"/>
              </w:rPr>
              <w:t>4,929</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Deferred debt financing costs, net</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4,008,926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2,090,184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tcPr>
          <w:p>
            <w:pPr>
              <w:spacing w:after="0"/>
              <w:rPr>
                <w:sz w:val="20"/>
                <w:szCs w:val="20"/>
                <w:color w:val="auto"/>
              </w:rPr>
            </w:pPr>
            <w:r>
              <w:rPr>
                <w:rFonts w:ascii="Arial" w:cs="Arial" w:eastAsia="Arial" w:hAnsi="Arial"/>
                <w:sz w:val="18"/>
                <w:szCs w:val="18"/>
                <w:color w:val="auto"/>
              </w:rPr>
              <w:t>Management fee receivable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300"/>
              <w:spacing w:after="0"/>
              <w:rPr>
                <w:sz w:val="20"/>
                <w:szCs w:val="20"/>
                <w:color w:val="auto"/>
              </w:rPr>
            </w:pPr>
            <w:r>
              <w:rPr>
                <w:rFonts w:ascii="Arial" w:cs="Arial" w:eastAsia="Arial" w:hAnsi="Arial"/>
                <w:sz w:val="18"/>
                <w:szCs w:val="18"/>
                <w:color w:val="auto"/>
              </w:rPr>
              <w:t>166,682</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215,853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Other assets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99,597</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83,407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tcPr>
          <w:p>
            <w:pPr>
              <w:spacing w:after="0"/>
              <w:rPr>
                <w:sz w:val="20"/>
                <w:szCs w:val="20"/>
                <w:color w:val="auto"/>
              </w:rPr>
            </w:pPr>
            <w:r>
              <w:rPr>
                <w:rFonts w:ascii="Arial" w:cs="Arial" w:eastAsia="Arial" w:hAnsi="Arial"/>
                <w:sz w:val="18"/>
                <w:szCs w:val="18"/>
                <w:color w:val="auto"/>
              </w:rPr>
              <w:t>Receivable from unsettled trades</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1,817,074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Borders>
              <w:top w:val="single" w:sz="8" w:color="CCEEFF"/>
              <w:bottom w:val="single" w:sz="8" w:color="CCEEFF"/>
              <w:right w:val="single" w:sz="8" w:color="CCEEFF"/>
            </w:tcBorders>
            <w:gridSpan w:val="6"/>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5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CCEEFF"/>
            </w:tcBorders>
            <w:shd w:val="clear" w:color="auto" w:fill="CCEEFF"/>
          </w:tcPr>
          <w:p>
            <w:pPr>
              <w:spacing w:after="0"/>
              <w:rPr>
                <w:sz w:val="18"/>
                <w:szCs w:val="18"/>
                <w:color w:val="auto"/>
              </w:rPr>
            </w:pPr>
          </w:p>
        </w:tc>
        <w:tc>
          <w:tcPr>
            <w:tcW w:w="20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210,769,167</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174,411,430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26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rPr>
              <w:t>LIABILITIES</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tcPr>
          <w:p>
            <w:pPr>
              <w:spacing w:after="0"/>
              <w:rPr>
                <w:sz w:val="20"/>
                <w:szCs w:val="20"/>
                <w:color w:val="auto"/>
              </w:rPr>
            </w:pPr>
            <w:r>
              <w:rPr>
                <w:rFonts w:ascii="Arial" w:cs="Arial" w:eastAsia="Arial" w:hAnsi="Arial"/>
                <w:sz w:val="18"/>
                <w:szCs w:val="18"/>
                <w:color w:val="auto"/>
              </w:rPr>
              <w:t>Revolving credit facility</w:t>
            </w:r>
          </w:p>
        </w:tc>
        <w:tc>
          <w:tcPr>
            <w:tcW w:w="200" w:type="dxa"/>
            <w:vAlign w:val="bottom"/>
            <w:gridSpan w:val="3"/>
          </w:tcPr>
          <w:p>
            <w:pPr>
              <w:jc w:val="right"/>
              <w:ind w:right="100"/>
              <w:spacing w:after="0"/>
              <w:rPr>
                <w:sz w:val="20"/>
                <w:szCs w:val="20"/>
                <w:color w:val="auto"/>
              </w:rPr>
            </w:pPr>
            <w:r>
              <w:rPr>
                <w:rFonts w:ascii="Arial" w:cs="Arial" w:eastAsia="Arial" w:hAnsi="Arial"/>
                <w:sz w:val="18"/>
                <w:szCs w:val="18"/>
                <w:color w:val="auto"/>
                <w:w w:val="79"/>
              </w:rPr>
              <w:t>$</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4,000,000</w:t>
            </w:r>
          </w:p>
        </w:tc>
        <w:tc>
          <w:tcPr>
            <w:tcW w:w="3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24,300,000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SBA debentures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40,000,000</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gridSpan w:val="6"/>
          </w:tcPr>
          <w:p>
            <w:pPr>
              <w:spacing w:after="0"/>
              <w:rPr>
                <w:sz w:val="20"/>
                <w:szCs w:val="20"/>
                <w:color w:val="auto"/>
              </w:rPr>
            </w:pPr>
            <w:r>
              <w:rPr>
                <w:rFonts w:ascii="Arial" w:cs="Arial" w:eastAsia="Arial" w:hAnsi="Arial"/>
                <w:sz w:val="18"/>
                <w:szCs w:val="18"/>
                <w:color w:val="auto"/>
              </w:rPr>
              <w:t>Notes payable</w:t>
            </w: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300"/>
              <w:spacing w:after="0"/>
              <w:rPr>
                <w:sz w:val="20"/>
                <w:szCs w:val="20"/>
                <w:color w:val="auto"/>
              </w:rPr>
            </w:pPr>
            <w:r>
              <w:rPr>
                <w:rFonts w:ascii="Arial" w:cs="Arial" w:eastAsia="Arial" w:hAnsi="Arial"/>
                <w:sz w:val="18"/>
                <w:szCs w:val="18"/>
                <w:color w:val="auto"/>
              </w:rPr>
              <w:t>48,300,000</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Dividend payable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2,507,112</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tcPr>
          <w:p>
            <w:pPr>
              <w:spacing w:after="0"/>
              <w:rPr>
                <w:sz w:val="20"/>
                <w:szCs w:val="20"/>
                <w:color w:val="auto"/>
              </w:rPr>
            </w:pPr>
            <w:r>
              <w:rPr>
                <w:rFonts w:ascii="Arial" w:cs="Arial" w:eastAsia="Arial" w:hAnsi="Arial"/>
                <w:sz w:val="18"/>
                <w:szCs w:val="18"/>
                <w:color w:val="auto"/>
              </w:rPr>
              <w:t>Management and incentive fees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3,587,061</w:t>
            </w: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4,509,322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381,485</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435,038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17"/>
          </w:tcPr>
          <w:p>
            <w:pPr>
              <w:spacing w:after="0"/>
              <w:rPr>
                <w:sz w:val="20"/>
                <w:szCs w:val="20"/>
                <w:color w:val="auto"/>
              </w:rPr>
            </w:pPr>
            <w:r>
              <w:rPr>
                <w:rFonts w:ascii="Arial" w:cs="Arial" w:eastAsia="Arial" w:hAnsi="Arial"/>
                <w:sz w:val="18"/>
                <w:szCs w:val="18"/>
                <w:color w:val="auto"/>
              </w:rPr>
              <w:t>Interest and debt fees payable</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4"/>
          </w:tcPr>
          <w:p>
            <w:pPr>
              <w:jc w:val="right"/>
              <w:ind w:right="300"/>
              <w:spacing w:after="0"/>
              <w:rPr>
                <w:sz w:val="20"/>
                <w:szCs w:val="20"/>
                <w:color w:val="auto"/>
              </w:rPr>
            </w:pPr>
            <w:r>
              <w:rPr>
                <w:rFonts w:ascii="Arial" w:cs="Arial" w:eastAsia="Arial" w:hAnsi="Arial"/>
                <w:sz w:val="18"/>
                <w:szCs w:val="18"/>
                <w:color w:val="auto"/>
              </w:rPr>
              <w:t>514,333</w:t>
            </w: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257,796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8"/>
                <w:szCs w:val="18"/>
                <w:color w:val="auto"/>
                <w:w w:val="94"/>
              </w:rPr>
              <w:t>Due to manager</w:t>
            </w: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273,083</w:t>
            </w: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222,513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80" w:type="dxa"/>
            <w:vAlign w:val="bottom"/>
            <w:tcBorders>
              <w:bottom w:val="single" w:sz="8" w:color="CCEEFF"/>
            </w:tcBorders>
            <w:gridSpan w:val="17"/>
          </w:tcPr>
          <w:p>
            <w:pPr>
              <w:ind w:left="160"/>
              <w:spacing w:after="0"/>
              <w:rPr>
                <w:sz w:val="20"/>
                <w:szCs w:val="20"/>
                <w:color w:val="auto"/>
              </w:rPr>
            </w:pPr>
            <w:r>
              <w:rPr>
                <w:rFonts w:ascii="Arial" w:cs="Arial" w:eastAsia="Arial" w:hAnsi="Arial"/>
                <w:sz w:val="18"/>
                <w:szCs w:val="18"/>
                <w:color w:val="auto"/>
              </w:rPr>
              <w:t>Total liabilities</w:t>
            </w:r>
          </w:p>
        </w:tc>
        <w:tc>
          <w:tcPr>
            <w:tcW w:w="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gridSpan w:val="2"/>
          </w:tcPr>
          <w:p>
            <w:pPr>
              <w:jc w:val="right"/>
              <w:ind w:right="100"/>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99,563,074</w:t>
            </w:r>
          </w:p>
        </w:tc>
        <w:tc>
          <w:tcPr>
            <w:tcW w:w="30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tcPr>
          <w:p>
            <w:pPr>
              <w:spacing w:after="0"/>
              <w:rPr>
                <w:sz w:val="21"/>
                <w:szCs w:val="21"/>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65,724,669</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tcBorders>
              <w:right w:val="single" w:sz="8" w:color="CCEEFF"/>
            </w:tcBorders>
            <w:shd w:val="clear" w:color="auto" w:fill="CCEEFF"/>
          </w:tcPr>
          <w:p>
            <w:pPr>
              <w:spacing w:after="0"/>
              <w:rPr>
                <w:sz w:val="9"/>
                <w:szCs w:val="9"/>
                <w:color w:val="auto"/>
              </w:rPr>
            </w:pPr>
          </w:p>
        </w:tc>
        <w:tc>
          <w:tcPr>
            <w:tcW w:w="5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42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44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20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520" w:type="dxa"/>
            <w:vAlign w:val="bottom"/>
            <w:shd w:val="clear" w:color="auto" w:fill="CCEEFF"/>
          </w:tcPr>
          <w:p>
            <w:pPr>
              <w:spacing w:after="0"/>
              <w:rPr>
                <w:sz w:val="9"/>
                <w:szCs w:val="9"/>
                <w:color w:val="auto"/>
              </w:rPr>
            </w:pPr>
          </w:p>
        </w:tc>
        <w:tc>
          <w:tcPr>
            <w:tcW w:w="48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14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-5782945</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-5782945</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324"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8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3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Common stock, par value $.001, 100,000,000 common shares authorized, 5,379,616 and 4,730,116</w:t>
            </w:r>
          </w:p>
        </w:tc>
        <w:tc>
          <w:tcPr>
            <w:tcW w:w="2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shares issued and outstanding, respectively</w:t>
            </w:r>
          </w:p>
        </w:tc>
        <w:tc>
          <w:tcPr>
            <w:tcW w:w="6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5,380</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4,730</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184,851,122</w:t>
            </w: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174,824,076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(29,418,170)</w:t>
            </w:r>
          </w:p>
        </w:tc>
        <w:tc>
          <w:tcPr>
            <w:tcW w:w="4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(24,522,951)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60" w:type="dxa"/>
            <w:vAlign w:val="bottom"/>
            <w:gridSpan w:val="2"/>
          </w:tcPr>
          <w:p>
            <w:pPr>
              <w:jc w:val="right"/>
              <w:ind w:right="240"/>
              <w:spacing w:after="0"/>
              <w:rPr>
                <w:sz w:val="20"/>
                <w:szCs w:val="20"/>
                <w:color w:val="auto"/>
              </w:rPr>
            </w:pPr>
            <w:r>
              <w:rPr>
                <w:rFonts w:ascii="Arial" w:cs="Arial" w:eastAsia="Arial" w:hAnsi="Arial"/>
                <w:sz w:val="18"/>
                <w:szCs w:val="18"/>
                <w:color w:val="auto"/>
              </w:rPr>
              <w:t>(46,131,603)</w:t>
            </w:r>
          </w:p>
        </w:tc>
        <w:tc>
          <w:tcPr>
            <w:tcW w:w="440" w:type="dxa"/>
            <w:vAlign w:val="bottom"/>
          </w:tcPr>
          <w:p>
            <w:pPr>
              <w:spacing w:after="0"/>
              <w:rPr>
                <w:sz w:val="18"/>
                <w:szCs w:val="18"/>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(47,289,427)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on investments and derivatives</w:t>
            </w: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1,899,364</w:t>
            </w: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5,670,333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Assets</w:t>
            </w:r>
          </w:p>
        </w:tc>
        <w:tc>
          <w:tcPr>
            <w:tcW w:w="24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111,206,093</w:t>
            </w:r>
          </w:p>
        </w:tc>
        <w:tc>
          <w:tcPr>
            <w:tcW w:w="30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108,686,761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20" w:type="dxa"/>
            <w:vAlign w:val="bottom"/>
            <w:vMerge w:val="continue"/>
          </w:tcPr>
          <w:p>
            <w:pPr>
              <w:spacing w:after="0"/>
              <w:rPr>
                <w:sz w:val="22"/>
                <w:szCs w:val="22"/>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210,769,167</w:t>
            </w:r>
          </w:p>
        </w:tc>
        <w:tc>
          <w:tcPr>
            <w:tcW w:w="300" w:type="dxa"/>
            <w:vAlign w:val="bottom"/>
          </w:tcPr>
          <w:p>
            <w:pPr>
              <w:spacing w:after="0"/>
              <w:rPr>
                <w:sz w:val="22"/>
                <w:szCs w:val="22"/>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174,411,430</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3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NET ASSET VALUE PER SHARE</w:t>
            </w:r>
          </w:p>
        </w:tc>
        <w:tc>
          <w:tcPr>
            <w:tcW w:w="6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jc w:val="right"/>
              <w:ind w:right="300"/>
              <w:spacing w:after="0"/>
              <w:rPr>
                <w:sz w:val="20"/>
                <w:szCs w:val="20"/>
                <w:color w:val="auto"/>
              </w:rPr>
            </w:pPr>
            <w:r>
              <w:rPr>
                <w:rFonts w:ascii="Arial" w:cs="Arial" w:eastAsia="Arial" w:hAnsi="Arial"/>
                <w:sz w:val="18"/>
                <w:szCs w:val="18"/>
                <w:color w:val="auto"/>
              </w:rPr>
              <w:t>20.67</w:t>
            </w: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0"/>
              <w:spacing w:after="0"/>
              <w:rPr>
                <w:sz w:val="20"/>
                <w:szCs w:val="20"/>
                <w:color w:val="auto"/>
              </w:rPr>
            </w:pPr>
            <w:r>
              <w:rPr>
                <w:rFonts w:ascii="Arial" w:cs="Arial" w:eastAsia="Arial" w:hAnsi="Arial"/>
                <w:sz w:val="18"/>
                <w:szCs w:val="18"/>
                <w:color w:val="auto"/>
              </w:rPr>
              <w:t>22.98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9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For the three months ended</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November 30</w:t>
            </w:r>
          </w:p>
        </w:tc>
        <w:tc>
          <w:tcPr>
            <w:tcW w:w="98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7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4"/>
                <w:szCs w:val="14"/>
                <w:b w:val="1"/>
                <w:bCs w:val="1"/>
                <w:color w:val="auto"/>
              </w:rPr>
              <w:t>November 30</w:t>
            </w: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452"/>
              <w:spacing w:after="0" w:line="142" w:lineRule="exact"/>
              <w:rPr>
                <w:sz w:val="20"/>
                <w:szCs w:val="20"/>
                <w:color w:val="auto"/>
              </w:rPr>
            </w:pPr>
            <w:r>
              <w:rPr>
                <w:rFonts w:ascii="Arial" w:cs="Arial" w:eastAsia="Arial" w:hAnsi="Arial"/>
                <w:sz w:val="14"/>
                <w:szCs w:val="14"/>
                <w:b w:val="1"/>
                <w:bCs w:val="1"/>
                <w:color w:val="auto"/>
              </w:rPr>
              <w:t>2013</w:t>
            </w:r>
          </w:p>
        </w:tc>
        <w:tc>
          <w:tcPr>
            <w:tcW w:w="28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INVESTMENT INCOME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Non-control/Non-affiliate investments</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4,279,445</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2,190,350</w:t>
            </w:r>
          </w:p>
        </w:tc>
        <w:tc>
          <w:tcPr>
            <w:tcW w:w="1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11,534,271</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6,129,508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800" w:type="dxa"/>
            <w:vAlign w:val="bottom"/>
          </w:tcPr>
          <w:p>
            <w:pPr>
              <w:ind w:left="160"/>
              <w:spacing w:after="0" w:line="201" w:lineRule="exact"/>
              <w:rPr>
                <w:sz w:val="20"/>
                <w:szCs w:val="20"/>
                <w:color w:val="auto"/>
              </w:rPr>
            </w:pPr>
            <w:r>
              <w:rPr>
                <w:rFonts w:ascii="Arial" w:cs="Arial" w:eastAsia="Arial" w:hAnsi="Arial"/>
                <w:sz w:val="18"/>
                <w:szCs w:val="18"/>
                <w:color w:val="auto"/>
              </w:rPr>
              <w:t>Payment-in-kind interest income from Non-control/Non-</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affiliate investments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161,485</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276,245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634,408</w:t>
            </w:r>
          </w:p>
        </w:tc>
        <w:tc>
          <w:tcPr>
            <w:tcW w:w="400" w:type="dxa"/>
            <w:vAlign w:val="bottom"/>
          </w:tcPr>
          <w:p>
            <w:pPr>
              <w:spacing w:after="0"/>
              <w:rPr>
                <w:sz w:val="20"/>
                <w:szCs w:val="20"/>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821,830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Control investments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556,291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1,046,285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2,791,830</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3,186,751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Total interest income</w:t>
            </w:r>
          </w:p>
        </w:tc>
        <w:tc>
          <w:tcPr>
            <w:tcW w:w="1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4,997,221</w:t>
            </w:r>
          </w:p>
        </w:tc>
        <w:tc>
          <w:tcPr>
            <w:tcW w:w="3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3,512,880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14,960,509</w:t>
            </w:r>
          </w:p>
        </w:tc>
        <w:tc>
          <w:tcPr>
            <w:tcW w:w="28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10,138,089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1,316</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731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7,181</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Management fee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421,198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500,454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1,400,039</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1,500,519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381,480</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19,750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838,956</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172,310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investment income</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5,801,215</w:t>
            </w:r>
          </w:p>
        </w:tc>
        <w:tc>
          <w:tcPr>
            <w:tcW w:w="3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4,033,815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17,206,685</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11,816,286</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EXPENSES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1,611,221</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529,858</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4,342,657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1,808,586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Base management fees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876,345</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528,735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2,424,167</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1,492,345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312,992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347,459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879,247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986,781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Administrator expenses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250,000</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750,000</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Incentive management fees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(561,539)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(412,654)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219,813</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887,020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Insurance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117,955</w:t>
            </w:r>
          </w:p>
        </w:tc>
        <w:tc>
          <w:tcPr>
            <w:tcW w:w="4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128,891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357,184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389,506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35,978</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53,705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131,978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General &amp; administrative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251,058</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117,357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440,844</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265,720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w:t>
            </w: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1,311</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21,207</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expenses</w:t>
            </w:r>
          </w:p>
        </w:tc>
        <w:tc>
          <w:tcPr>
            <w:tcW w:w="1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2,903,182</w:t>
            </w:r>
          </w:p>
        </w:tc>
        <w:tc>
          <w:tcPr>
            <w:tcW w:w="30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1,544,662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9,567,097</w:t>
            </w:r>
          </w:p>
        </w:tc>
        <w:tc>
          <w:tcPr>
            <w:tcW w:w="28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6,740,097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2,898,033</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2,489,153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7,639,588</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5,076,189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tcPr>
          <w:p>
            <w:pPr>
              <w:spacing w:after="0" w:line="201" w:lineRule="exact"/>
              <w:rPr>
                <w:sz w:val="20"/>
                <w:szCs w:val="20"/>
                <w:color w:val="auto"/>
              </w:rPr>
            </w:pPr>
            <w:r>
              <w:rPr>
                <w:rFonts w:ascii="Arial" w:cs="Arial" w:eastAsia="Arial" w:hAnsi="Arial"/>
                <w:sz w:val="18"/>
                <w:szCs w:val="18"/>
                <w:color w:val="auto"/>
              </w:rPr>
              <w:t>REALIZED AND UNREALIZED GAIN (LOSS) ON</w:t>
            </w: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160"/>
              <w:spacing w:after="0"/>
              <w:rPr>
                <w:sz w:val="20"/>
                <w:szCs w:val="20"/>
                <w:color w:val="auto"/>
              </w:rPr>
            </w:pPr>
            <w:r>
              <w:rPr>
                <w:rFonts w:ascii="Arial" w:cs="Arial" w:eastAsia="Arial" w:hAnsi="Arial"/>
                <w:sz w:val="18"/>
                <w:szCs w:val="18"/>
                <w:color w:val="auto"/>
              </w:rPr>
              <w:t>INVESTMENTS:</w:t>
            </w: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82,882</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95,372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1,157,824</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realized loss from derivatives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(1,713,025)</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(1,838,957)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(3,770,968)</w:t>
            </w:r>
          </w:p>
        </w:tc>
        <w:tc>
          <w:tcPr>
            <w:tcW w:w="4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Net unrealized appreciation on derivatives</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130,925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gain (loss) on investments</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(1,630,143)</w:t>
            </w:r>
          </w:p>
        </w:tc>
        <w:tc>
          <w:tcPr>
            <w:tcW w:w="3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(1,743,585)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(2,613,144)</w:t>
            </w:r>
          </w:p>
        </w:tc>
        <w:tc>
          <w:tcPr>
            <w:tcW w:w="2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3,731,188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IN NET ASSETS RESULTING FROM</w:t>
            </w:r>
          </w:p>
        </w:tc>
        <w:tc>
          <w:tcPr>
            <w:tcW w:w="4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1,267,890</w:t>
            </w:r>
          </w:p>
        </w:tc>
        <w:tc>
          <w:tcPr>
            <w:tcW w:w="300" w:type="dxa"/>
            <w:vAlign w:val="bottom"/>
            <w:shd w:val="clear" w:color="auto" w:fill="CCEEFF"/>
          </w:tcPr>
          <w:p>
            <w:pPr>
              <w:spacing w:after="0"/>
              <w:rPr>
                <w:sz w:val="17"/>
                <w:szCs w:val="17"/>
                <w:color w:val="auto"/>
              </w:rPr>
            </w:pP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745,568</w:t>
            </w:r>
          </w:p>
        </w:tc>
        <w:tc>
          <w:tcPr>
            <w:tcW w:w="4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vMerge w:val="restart"/>
            <w:shd w:val="clear" w:color="auto" w:fill="CCEEFF"/>
          </w:tcPr>
          <w:p>
            <w:pPr>
              <w:jc w:val="right"/>
              <w:ind w:right="280"/>
              <w:spacing w:after="0"/>
              <w:rPr>
                <w:sz w:val="20"/>
                <w:szCs w:val="20"/>
                <w:color w:val="auto"/>
              </w:rPr>
            </w:pPr>
            <w:r>
              <w:rPr>
                <w:rFonts w:ascii="Arial" w:cs="Arial" w:eastAsia="Arial" w:hAnsi="Arial"/>
                <w:sz w:val="18"/>
                <w:szCs w:val="18"/>
                <w:color w:val="auto"/>
              </w:rPr>
              <w:t>5,026,444</w:t>
            </w:r>
          </w:p>
        </w:tc>
        <w:tc>
          <w:tcPr>
            <w:tcW w:w="400" w:type="dxa"/>
            <w:vAlign w:val="bottom"/>
            <w:vMerge w:val="restart"/>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8,807,377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480" w:type="dxa"/>
            <w:vAlign w:val="bottom"/>
            <w:gridSpan w:val="2"/>
            <w:vMerge w:val="continue"/>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420" w:type="dxa"/>
            <w:vAlign w:val="bottom"/>
            <w:gridSpan w:val="2"/>
            <w:vMerge w:val="continue"/>
            <w:shd w:val="clear" w:color="auto" w:fill="CCEEFF"/>
          </w:tcPr>
          <w:p>
            <w:pPr>
              <w:spacing w:after="0"/>
              <w:rPr>
                <w:sz w:val="18"/>
                <w:szCs w:val="18"/>
                <w:color w:val="auto"/>
              </w:rPr>
            </w:pPr>
          </w:p>
        </w:tc>
        <w:tc>
          <w:tcPr>
            <w:tcW w:w="1320" w:type="dxa"/>
            <w:vAlign w:val="bottom"/>
            <w:gridSpan w:val="2"/>
            <w:vMerge w:val="continue"/>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 BASIC AND DILUTED</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EARNINGS PER COMMON SHARE</w:t>
            </w:r>
          </w:p>
        </w:tc>
        <w:tc>
          <w:tcPr>
            <w:tcW w:w="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0.26</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0.19</w:t>
            </w: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w:t>
            </w: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COMMON STOCK OUTSTANDING</w:t>
            </w: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 BASIC AND DILUTED</w:t>
            </w:r>
          </w:p>
        </w:tc>
        <w:tc>
          <w:tcPr>
            <w:tcW w:w="1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4,851,451</w:t>
            </w:r>
          </w:p>
        </w:tc>
        <w:tc>
          <w:tcPr>
            <w:tcW w:w="3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3,970,447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4,770,267</w:t>
            </w:r>
          </w:p>
        </w:tc>
        <w:tc>
          <w:tcPr>
            <w:tcW w:w="40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3,907,696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ectPr>
          <w:pgSz w:w="11900" w:h="16838" w:orient="portrait"/>
          <w:cols w:equalWidth="0" w:num="1">
            <w:col w:w="11420"/>
          </w:cols>
          <w:pgMar w:left="240" w:top="140" w:right="239" w:bottom="0" w:gutter="0" w:footer="0" w:header="0"/>
        </w:sectPr>
      </w:pPr>
    </w:p>
    <w:bookmarkStart w:id="3" w:name="page4"/>
    <w:bookmarkEnd w:id="3"/>
    <w:p>
      <w:pPr>
        <w:jc w:val="center"/>
        <w:ind w:right="4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November 30, 2013</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92"/>
              </w:rPr>
              <w:t>Principal/</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3"/>
                <w:szCs w:val="13"/>
                <w:b w:val="1"/>
                <w:bCs w:val="1"/>
                <w:color w:val="auto"/>
              </w:rPr>
              <w:t>Company (a)</w:t>
            </w:r>
          </w:p>
        </w:tc>
        <w:tc>
          <w:tcPr>
            <w:tcW w:w="1260" w:type="dxa"/>
            <w:vAlign w:val="bottom"/>
          </w:tcPr>
          <w:p>
            <w:pPr>
              <w:ind w:left="400"/>
              <w:spacing w:after="0"/>
              <w:rPr>
                <w:sz w:val="20"/>
                <w:szCs w:val="20"/>
                <w:color w:val="auto"/>
              </w:rPr>
            </w:pPr>
            <w:r>
              <w:rPr>
                <w:rFonts w:ascii="Arial" w:cs="Arial" w:eastAsia="Arial" w:hAnsi="Arial"/>
                <w:sz w:val="13"/>
                <w:szCs w:val="13"/>
                <w:b w:val="1"/>
                <w:bCs w:val="1"/>
                <w:color w:val="auto"/>
              </w:rPr>
              <w:t>Industry</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0" w:type="dxa"/>
            <w:vAlign w:val="bottom"/>
            <w:gridSpan w:val="2"/>
          </w:tcPr>
          <w:p>
            <w:pPr>
              <w:jc w:val="right"/>
              <w:ind w:right="840"/>
              <w:spacing w:after="0"/>
              <w:rPr>
                <w:sz w:val="20"/>
                <w:szCs w:val="20"/>
                <w:color w:val="auto"/>
              </w:rPr>
            </w:pPr>
            <w:r>
              <w:rPr>
                <w:rFonts w:ascii="Arial" w:cs="Arial" w:eastAsia="Arial" w:hAnsi="Arial"/>
                <w:sz w:val="13"/>
                <w:szCs w:val="13"/>
                <w:b w:val="1"/>
                <w:bCs w:val="1"/>
                <w:color w:val="auto"/>
              </w:rPr>
              <w:t>Investment Interest Rate / Maturity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60"/>
              <w:spacing w:after="0"/>
              <w:rPr>
                <w:sz w:val="20"/>
                <w:szCs w:val="20"/>
                <w:color w:val="auto"/>
              </w:rPr>
            </w:pPr>
            <w:r>
              <w:rPr>
                <w:rFonts w:ascii="Arial" w:cs="Arial" w:eastAsia="Arial" w:hAnsi="Arial"/>
                <w:sz w:val="13"/>
                <w:szCs w:val="13"/>
                <w:b w:val="1"/>
                <w:bCs w:val="1"/>
                <w:color w:val="auto"/>
                <w:w w:val="87"/>
              </w:rPr>
              <w:t>Number of Shares</w:t>
            </w:r>
          </w:p>
        </w:tc>
        <w:tc>
          <w:tcPr>
            <w:tcW w:w="180" w:type="dxa"/>
            <w:vAlign w:val="bottom"/>
          </w:tcPr>
          <w:p>
            <w:pPr>
              <w:spacing w:after="0"/>
              <w:rPr>
                <w:sz w:val="13"/>
                <w:szCs w:val="13"/>
                <w:color w:val="auto"/>
              </w:rPr>
            </w:pPr>
          </w:p>
        </w:tc>
        <w:tc>
          <w:tcPr>
            <w:tcW w:w="880" w:type="dxa"/>
            <w:vAlign w:val="bottom"/>
            <w:gridSpan w:val="3"/>
          </w:tcPr>
          <w:p>
            <w:pPr>
              <w:ind w:left="1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100" w:type="dxa"/>
            <w:vAlign w:val="bottom"/>
            <w:gridSpan w:val="3"/>
          </w:tcPr>
          <w:p>
            <w:pPr>
              <w:ind w:left="60"/>
              <w:spacing w:after="0"/>
              <w:rPr>
                <w:sz w:val="20"/>
                <w:szCs w:val="20"/>
                <w:color w:val="auto"/>
              </w:rPr>
            </w:pPr>
            <w:r>
              <w:rPr>
                <w:rFonts w:ascii="Arial" w:cs="Arial" w:eastAsia="Arial" w:hAnsi="Arial"/>
                <w:sz w:val="13"/>
                <w:szCs w:val="13"/>
                <w:b w:val="1"/>
                <w:bCs w:val="1"/>
                <w:color w:val="auto"/>
              </w:rPr>
              <w:t>Fair Value (c)</w:t>
            </w:r>
          </w:p>
        </w:tc>
        <w:tc>
          <w:tcPr>
            <w:tcW w:w="78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w w:val="86"/>
              </w:rPr>
              <w:t>Net Assets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820" w:type="dxa"/>
            <w:vAlign w:val="bottom"/>
            <w:tcBorders>
              <w:top w:val="single" w:sz="8" w:color="auto"/>
            </w:tcBorders>
            <w:gridSpan w:val="2"/>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Non-control/Non-affiliated</w:t>
            </w:r>
          </w:p>
        </w:tc>
        <w:tc>
          <w:tcPr>
            <w:tcW w:w="18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auto"/>
              <w:right w:val="single" w:sz="8" w:color="CCEEFF"/>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320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CCEEFF"/>
              <w:right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16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right w:val="single" w:sz="8" w:color="CCEEFF"/>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left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3"/>
                <w:szCs w:val="13"/>
                <w:b w:val="1"/>
                <w:bCs w:val="1"/>
                <w:color w:val="auto"/>
              </w:rPr>
              <w:t>investments - 161.6% (b)</w:t>
            </w:r>
          </w:p>
        </w:tc>
        <w:tc>
          <w:tcPr>
            <w:tcW w:w="1260" w:type="dxa"/>
            <w:vAlign w:val="bottom"/>
            <w:tcBorders>
              <w:right w:val="single" w:sz="8" w:color="CCEEFF"/>
            </w:tcBorders>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3200" w:type="dxa"/>
            <w:vAlign w:val="bottom"/>
            <w:shd w:val="clear" w:color="auto" w:fill="CCEEFF"/>
          </w:tcPr>
          <w:p>
            <w:pPr>
              <w:spacing w:after="0"/>
              <w:rPr>
                <w:sz w:val="13"/>
                <w:szCs w:val="13"/>
                <w:color w:val="auto"/>
              </w:rPr>
            </w:pPr>
          </w:p>
        </w:tc>
        <w:tc>
          <w:tcPr>
            <w:tcW w:w="200" w:type="dxa"/>
            <w:vAlign w:val="bottom"/>
            <w:tcBorders>
              <w:right w:val="single" w:sz="8" w:color="CCEEFF"/>
            </w:tcBorders>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tcBorders>
              <w:right w:val="single" w:sz="8" w:color="CCEEFF"/>
            </w:tcBorders>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PATS Aircraft, LLC (d, g)</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Aerospace</w:t>
            </w:r>
          </w:p>
        </w:tc>
        <w:tc>
          <w:tcPr>
            <w:tcW w:w="140" w:type="dxa"/>
            <w:vAlign w:val="bottom"/>
          </w:tcPr>
          <w:p>
            <w:pPr>
              <w:spacing w:after="0"/>
              <w:rPr>
                <w:sz w:val="11"/>
                <w:szCs w:val="11"/>
                <w:color w:val="auto"/>
              </w:rPr>
            </w:pPr>
          </w:p>
        </w:tc>
        <w:tc>
          <w:tcPr>
            <w:tcW w:w="34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51,813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89,636</w:t>
            </w:r>
          </w:p>
        </w:tc>
        <w:tc>
          <w:tcPr>
            <w:tcW w:w="80" w:type="dxa"/>
            <w:vAlign w:val="bottom"/>
          </w:tcPr>
          <w:p>
            <w:pPr>
              <w:spacing w:after="0"/>
              <w:rPr>
                <w:sz w:val="11"/>
                <w:szCs w:val="11"/>
                <w:color w:val="auto"/>
              </w:rPr>
            </w:pPr>
          </w:p>
        </w:tc>
        <w:tc>
          <w:tcPr>
            <w:tcW w:w="11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89,636</w:t>
            </w: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PATS Aircraft, LLC (d)</w:t>
            </w:r>
          </w:p>
        </w:tc>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Aerospace</w:t>
            </w:r>
          </w:p>
        </w:tc>
        <w:tc>
          <w:tcPr>
            <w:tcW w:w="140" w:type="dxa"/>
            <w:vAlign w:val="bottom"/>
            <w:shd w:val="clear" w:color="auto" w:fill="CCEEFF"/>
          </w:tcPr>
          <w:p>
            <w:pPr>
              <w:spacing w:after="0"/>
              <w:rPr>
                <w:sz w:val="11"/>
                <w:szCs w:val="11"/>
                <w:color w:val="auto"/>
              </w:rPr>
            </w:pPr>
          </w:p>
        </w:tc>
        <w:tc>
          <w:tcPr>
            <w:tcW w:w="3440" w:type="dxa"/>
            <w:vAlign w:val="bottom"/>
            <w:tcBorders>
              <w:right w:val="single" w:sz="8" w:color="CCEEFF"/>
            </w:tcBorders>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First Lien Term Loan 8.50% Cash, 10/6/2016</w:t>
            </w:r>
          </w:p>
        </w:tc>
        <w:tc>
          <w:tcPr>
            <w:tcW w:w="200" w:type="dxa"/>
            <w:vAlign w:val="bottom"/>
            <w:gridSpan w:val="3"/>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254,598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jc w:val="right"/>
              <w:ind w:right="73"/>
              <w:spacing w:after="0"/>
              <w:rPr>
                <w:sz w:val="20"/>
                <w:szCs w:val="20"/>
                <w:color w:val="auto"/>
              </w:rPr>
            </w:pPr>
            <w:r>
              <w:rPr>
                <w:rFonts w:ascii="Arial" w:cs="Arial" w:eastAsia="Arial" w:hAnsi="Arial"/>
                <w:sz w:val="9"/>
                <w:szCs w:val="9"/>
                <w:color w:val="auto"/>
                <w:w w:val="78"/>
              </w:rPr>
              <w:t>$</w:t>
            </w: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254,598</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254,598</w:t>
            </w: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Total Aerospace</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344,234</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344,234</w:t>
            </w:r>
          </w:p>
        </w:tc>
        <w:tc>
          <w:tcPr>
            <w:tcW w:w="160" w:type="dxa"/>
            <w:vAlign w:val="bottom"/>
            <w:vMerge w:val="continue"/>
          </w:tcPr>
          <w:p>
            <w:pPr>
              <w:spacing w:after="0"/>
              <w:rPr>
                <w:sz w:val="11"/>
                <w:szCs w:val="11"/>
                <w:color w:val="auto"/>
              </w:rPr>
            </w:pPr>
          </w:p>
        </w:tc>
        <w:tc>
          <w:tcPr>
            <w:tcW w:w="7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00" w:type="dxa"/>
            <w:vAlign w:val="bottom"/>
            <w:tcBorders>
              <w:top w:val="single" w:sz="8" w:color="CCEEFF"/>
            </w:tcBorders>
            <w:gridSpan w:val="3"/>
            <w:shd w:val="clear" w:color="auto" w:fill="CCEEFF"/>
          </w:tcPr>
          <w:p>
            <w:pPr>
              <w:spacing w:after="0" w:line="101" w:lineRule="exact"/>
              <w:rPr>
                <w:sz w:val="20"/>
                <w:szCs w:val="20"/>
                <w:color w:val="auto"/>
              </w:rPr>
            </w:pPr>
            <w:r>
              <w:rPr>
                <w:rFonts w:ascii="Arial" w:cs="Arial" w:eastAsia="Arial" w:hAnsi="Arial"/>
                <w:sz w:val="11"/>
                <w:szCs w:val="11"/>
                <w:color w:val="auto"/>
              </w:rPr>
              <w:t>National Truck Protection Co., Inc.</w:t>
            </w:r>
          </w:p>
        </w:tc>
        <w:tc>
          <w:tcPr>
            <w:tcW w:w="1260" w:type="dxa"/>
            <w:vAlign w:val="bottom"/>
            <w:tcBorders>
              <w:top w:val="single" w:sz="8" w:color="CCEEFF"/>
              <w:right w:val="single" w:sz="8" w:color="CCEEFF"/>
            </w:tcBorders>
            <w:shd w:val="clear" w:color="auto" w:fill="CCEEFF"/>
          </w:tcPr>
          <w:p>
            <w:pPr>
              <w:spacing w:after="0" w:line="101" w:lineRule="exact"/>
              <w:rPr>
                <w:sz w:val="20"/>
                <w:szCs w:val="20"/>
                <w:color w:val="auto"/>
              </w:rPr>
            </w:pPr>
            <w:r>
              <w:rPr>
                <w:rFonts w:ascii="Arial" w:cs="Arial" w:eastAsia="Arial" w:hAnsi="Arial"/>
                <w:sz w:val="11"/>
                <w:szCs w:val="11"/>
                <w:color w:val="auto"/>
              </w:rPr>
              <w:t>Automotive</w:t>
            </w:r>
          </w:p>
        </w:tc>
        <w:tc>
          <w:tcPr>
            <w:tcW w:w="14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right w:val="single" w:sz="8" w:color="CCEEFF"/>
            </w:tcBorders>
            <w:gridSpan w:val="3"/>
            <w:shd w:val="clear" w:color="auto" w:fill="CCEEFF"/>
          </w:tcPr>
          <w:p>
            <w:pPr>
              <w:ind w:left="40"/>
              <w:spacing w:after="0" w:line="101" w:lineRule="exact"/>
              <w:rPr>
                <w:sz w:val="20"/>
                <w:szCs w:val="20"/>
                <w:color w:val="auto"/>
              </w:rPr>
            </w:pPr>
            <w:r>
              <w:rPr>
                <w:rFonts w:ascii="Arial" w:cs="Arial" w:eastAsia="Arial" w:hAnsi="Arial"/>
                <w:sz w:val="11"/>
                <w:szCs w:val="11"/>
                <w:color w:val="auto"/>
              </w:rPr>
              <w:t>Common Stock</w:t>
            </w: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lef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(d, g)</w:t>
            </w:r>
          </w:p>
        </w:tc>
        <w:tc>
          <w:tcPr>
            <w:tcW w:w="12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1,116</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1,120,330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1.0%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tcPr>
          <w:p>
            <w:pPr>
              <w:spacing w:after="0" w:line="121" w:lineRule="exact"/>
              <w:rPr>
                <w:sz w:val="20"/>
                <w:szCs w:val="20"/>
                <w:color w:val="auto"/>
              </w:rPr>
            </w:pPr>
            <w:r>
              <w:rPr>
                <w:rFonts w:ascii="Arial" w:cs="Arial" w:eastAsia="Arial" w:hAnsi="Arial"/>
                <w:sz w:val="13"/>
                <w:szCs w:val="13"/>
                <w:color w:val="auto"/>
                <w:w w:val="99"/>
              </w:rPr>
              <w:t>National Truck Protection Co., Inc.</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Automotive</w:t>
            </w:r>
          </w:p>
        </w:tc>
        <w:tc>
          <w:tcPr>
            <w:tcW w:w="140" w:type="dxa"/>
            <w:vAlign w:val="bottom"/>
          </w:tcPr>
          <w:p>
            <w:pPr>
              <w:spacing w:after="0"/>
              <w:rPr>
                <w:sz w:val="10"/>
                <w:szCs w:val="10"/>
                <w:color w:val="auto"/>
              </w:rPr>
            </w:pPr>
          </w:p>
        </w:tc>
        <w:tc>
          <w:tcPr>
            <w:tcW w:w="3440" w:type="dxa"/>
            <w:vAlign w:val="bottom"/>
            <w:gridSpan w:val="3"/>
          </w:tcPr>
          <w:p>
            <w:pPr>
              <w:ind w:left="40"/>
              <w:spacing w:after="0" w:line="121" w:lineRule="exact"/>
              <w:rPr>
                <w:sz w:val="20"/>
                <w:szCs w:val="20"/>
                <w:color w:val="auto"/>
              </w:rPr>
            </w:pPr>
            <w:r>
              <w:rPr>
                <w:rFonts w:ascii="Arial" w:cs="Arial" w:eastAsia="Arial" w:hAnsi="Arial"/>
                <w:sz w:val="13"/>
                <w:szCs w:val="13"/>
                <w:color w:val="auto"/>
              </w:rPr>
              <w:t>First Lien Term Loan 15.50% (13.50% Cash/2.00% PIK),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ind w:left="160"/>
              <w:spacing w:after="0"/>
              <w:rPr>
                <w:sz w:val="20"/>
                <w:szCs w:val="20"/>
                <w:color w:val="auto"/>
              </w:rPr>
            </w:pPr>
            <w:r>
              <w:rPr>
                <w:rFonts w:ascii="Arial" w:cs="Arial" w:eastAsia="Arial" w:hAnsi="Arial"/>
                <w:sz w:val="13"/>
                <w:szCs w:val="13"/>
                <w:color w:val="auto"/>
              </w:rPr>
              <w:t>(d)</w:t>
            </w:r>
          </w:p>
        </w:tc>
        <w:tc>
          <w:tcPr>
            <w:tcW w:w="1260" w:type="dxa"/>
            <w:vAlign w:val="bottom"/>
          </w:tcPr>
          <w:p>
            <w:pPr>
              <w:spacing w:after="0"/>
              <w:rPr>
                <w:sz w:val="12"/>
                <w:szCs w:val="12"/>
                <w:color w:val="auto"/>
              </w:rPr>
            </w:pPr>
          </w:p>
        </w:tc>
        <w:tc>
          <w:tcPr>
            <w:tcW w:w="3380" w:type="dxa"/>
            <w:vAlign w:val="bottom"/>
            <w:gridSpan w:val="3"/>
          </w:tcPr>
          <w:p>
            <w:pPr>
              <w:ind w:left="180"/>
              <w:spacing w:after="0"/>
              <w:rPr>
                <w:sz w:val="20"/>
                <w:szCs w:val="20"/>
                <w:color w:val="auto"/>
              </w:rPr>
            </w:pPr>
            <w:r>
              <w:rPr>
                <w:rFonts w:ascii="Arial" w:cs="Arial" w:eastAsia="Arial" w:hAnsi="Arial"/>
                <w:sz w:val="13"/>
                <w:szCs w:val="13"/>
                <w:color w:val="auto"/>
              </w:rPr>
              <w:t>9/13/2018</w:t>
            </w:r>
          </w:p>
        </w:tc>
        <w:tc>
          <w:tcPr>
            <w:tcW w:w="200" w:type="dxa"/>
            <w:vAlign w:val="bottom"/>
          </w:tcPr>
          <w:p>
            <w:pPr>
              <w:spacing w:after="0"/>
              <w:rPr>
                <w:sz w:val="12"/>
                <w:szCs w:val="12"/>
                <w:color w:val="auto"/>
              </w:rPr>
            </w:pPr>
          </w:p>
        </w:tc>
        <w:tc>
          <w:tcPr>
            <w:tcW w:w="200" w:type="dxa"/>
            <w:vAlign w:val="bottom"/>
            <w:gridSpan w:val="3"/>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8,250,000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8,250,000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8,250,000</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7.4%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Take 5 Oil Change, L.L.C. (d, g)</w:t>
            </w:r>
          </w:p>
        </w:tc>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140" w:type="dxa"/>
            <w:vAlign w:val="bottom"/>
            <w:shd w:val="clear" w:color="auto" w:fill="CCEEFF"/>
          </w:tcPr>
          <w:p>
            <w:pPr>
              <w:spacing w:after="0"/>
              <w:rPr>
                <w:sz w:val="11"/>
                <w:szCs w:val="11"/>
                <w:color w:val="auto"/>
              </w:rPr>
            </w:pPr>
          </w:p>
        </w:tc>
        <w:tc>
          <w:tcPr>
            <w:tcW w:w="3440" w:type="dxa"/>
            <w:vAlign w:val="bottom"/>
            <w:tcBorders>
              <w:right w:val="single" w:sz="8" w:color="CCEEFF"/>
            </w:tcBorders>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Common Stock</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7,128</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712,800</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1,091,154</w:t>
            </w: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Total Automotive</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9,962,800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10,461,484</w:t>
            </w:r>
          </w:p>
        </w:tc>
        <w:tc>
          <w:tcPr>
            <w:tcW w:w="160" w:type="dxa"/>
            <w:vAlign w:val="bottom"/>
            <w:vMerge w:val="continue"/>
          </w:tcPr>
          <w:p>
            <w:pPr>
              <w:spacing w:after="0"/>
              <w:rPr>
                <w:sz w:val="11"/>
                <w:szCs w:val="11"/>
                <w:color w:val="auto"/>
              </w:rPr>
            </w:pPr>
          </w:p>
        </w:tc>
        <w:tc>
          <w:tcPr>
            <w:tcW w:w="7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9.4%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Legacy Cabinets Holdings (d, g)</w:t>
            </w:r>
          </w:p>
        </w:tc>
        <w:tc>
          <w:tcPr>
            <w:tcW w:w="12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3"/>
                <w:szCs w:val="13"/>
                <w:color w:val="auto"/>
              </w:rPr>
              <w:t>Building Products</w:t>
            </w:r>
          </w:p>
        </w:tc>
        <w:tc>
          <w:tcPr>
            <w:tcW w:w="140" w:type="dxa"/>
            <w:vAlign w:val="bottom"/>
            <w:vMerge w:val="restart"/>
            <w:shd w:val="clear" w:color="auto" w:fill="CCEEFF"/>
          </w:tcPr>
          <w:p>
            <w:pPr>
              <w:spacing w:after="0" w:line="20" w:lineRule="exact"/>
              <w:rPr>
                <w:sz w:val="1"/>
                <w:szCs w:val="1"/>
                <w:color w:val="auto"/>
              </w:rPr>
            </w:pPr>
          </w:p>
        </w:tc>
        <w:tc>
          <w:tcPr>
            <w:tcW w:w="3440" w:type="dxa"/>
            <w:vAlign w:val="bottom"/>
            <w:tcBorders>
              <w:right w:val="single" w:sz="8" w:color="CCEEFF"/>
            </w:tcBorders>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Common Stock Voting A-1</w:t>
            </w: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2,535</w:t>
            </w:r>
          </w:p>
        </w:tc>
        <w:tc>
          <w:tcPr>
            <w:tcW w:w="16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gridSpan w:val="3"/>
            <w:vMerge w:val="continue"/>
            <w:shd w:val="clear" w:color="auto" w:fill="CCEEFF"/>
          </w:tcPr>
          <w:p>
            <w:pPr>
              <w:spacing w:after="0"/>
              <w:rPr>
                <w:sz w:val="11"/>
                <w:szCs w:val="11"/>
                <w:color w:val="auto"/>
              </w:rPr>
            </w:pPr>
          </w:p>
        </w:tc>
        <w:tc>
          <w:tcPr>
            <w:tcW w:w="1260" w:type="dxa"/>
            <w:vAlign w:val="bottom"/>
            <w:tcBorders>
              <w:right w:val="single" w:sz="8" w:color="CCEEFF"/>
            </w:tcBorders>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3440" w:type="dxa"/>
            <w:vAlign w:val="bottom"/>
            <w:tcBorders>
              <w:right w:val="single" w:sz="8" w:color="CCEEFF"/>
            </w:tcBorders>
            <w:gridSpan w:val="3"/>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220,900</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302,020</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Legacy Cabinets Holdings (d, g)</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Building Products</w:t>
            </w:r>
          </w:p>
        </w:tc>
        <w:tc>
          <w:tcPr>
            <w:tcW w:w="140" w:type="dxa"/>
            <w:vAlign w:val="bottom"/>
          </w:tcPr>
          <w:p>
            <w:pPr>
              <w:spacing w:after="0"/>
              <w:rPr>
                <w:sz w:val="11"/>
                <w:szCs w:val="11"/>
                <w:color w:val="auto"/>
              </w:rPr>
            </w:pPr>
          </w:p>
        </w:tc>
        <w:tc>
          <w:tcPr>
            <w:tcW w:w="34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Common Stock Voting B-1</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1,600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139,424</w:t>
            </w:r>
          </w:p>
        </w:tc>
        <w:tc>
          <w:tcPr>
            <w:tcW w:w="80" w:type="dxa"/>
            <w:vAlign w:val="bottom"/>
          </w:tcPr>
          <w:p>
            <w:pPr>
              <w:spacing w:after="0"/>
              <w:rPr>
                <w:sz w:val="11"/>
                <w:szCs w:val="11"/>
                <w:color w:val="auto"/>
              </w:rPr>
            </w:pPr>
          </w:p>
        </w:tc>
        <w:tc>
          <w:tcPr>
            <w:tcW w:w="11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190,624</w:t>
            </w: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Legacy Cabinets, Inc. (d)</w:t>
            </w:r>
          </w:p>
        </w:tc>
        <w:tc>
          <w:tcPr>
            <w:tcW w:w="126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Building Products</w:t>
            </w:r>
          </w:p>
        </w:tc>
        <w:tc>
          <w:tcPr>
            <w:tcW w:w="140" w:type="dxa"/>
            <w:vAlign w:val="bottom"/>
            <w:shd w:val="clear" w:color="auto" w:fill="CCEEFF"/>
          </w:tcPr>
          <w:p>
            <w:pPr>
              <w:spacing w:after="0"/>
              <w:rPr>
                <w:sz w:val="10"/>
                <w:szCs w:val="10"/>
                <w:color w:val="auto"/>
              </w:rPr>
            </w:pPr>
          </w:p>
        </w:tc>
        <w:tc>
          <w:tcPr>
            <w:tcW w:w="3440" w:type="dxa"/>
            <w:vAlign w:val="bottom"/>
            <w:tcBorders>
              <w:right w:val="single" w:sz="8" w:color="CCEEFF"/>
            </w:tcBorders>
            <w:gridSpan w:val="3"/>
            <w:shd w:val="clear" w:color="auto" w:fill="CCEEFF"/>
          </w:tcPr>
          <w:p>
            <w:pPr>
              <w:ind w:left="40"/>
              <w:spacing w:after="0" w:line="121" w:lineRule="exact"/>
              <w:rPr>
                <w:sz w:val="20"/>
                <w:szCs w:val="20"/>
                <w:color w:val="auto"/>
              </w:rPr>
            </w:pPr>
            <w:r>
              <w:rPr>
                <w:rFonts w:ascii="Arial" w:cs="Arial" w:eastAsia="Arial" w:hAnsi="Arial"/>
                <w:sz w:val="13"/>
                <w:szCs w:val="13"/>
                <w:color w:val="auto"/>
              </w:rPr>
              <w:t>First Lien Term Loan 7.25% (1.00% Cash/6.25% PIK),</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338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5/3/2014</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260,521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260,521</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260,521</w:t>
            </w: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Total Building Products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620,845</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753,165</w:t>
            </w:r>
          </w:p>
        </w:tc>
        <w:tc>
          <w:tcPr>
            <w:tcW w:w="160" w:type="dxa"/>
            <w:vAlign w:val="bottom"/>
            <w:vMerge w:val="continue"/>
          </w:tcPr>
          <w:p>
            <w:pPr>
              <w:spacing w:after="0"/>
              <w:rPr>
                <w:sz w:val="11"/>
                <w:szCs w:val="11"/>
                <w:color w:val="auto"/>
              </w:rPr>
            </w:pPr>
          </w:p>
        </w:tc>
        <w:tc>
          <w:tcPr>
            <w:tcW w:w="7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0.7%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ARSloane Acquistion, LLC (d)</w:t>
            </w:r>
          </w:p>
        </w:tc>
        <w:tc>
          <w:tcPr>
            <w:tcW w:w="12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3"/>
                <w:szCs w:val="13"/>
                <w:color w:val="auto"/>
              </w:rPr>
              <w:t>Business Services</w:t>
            </w:r>
          </w:p>
        </w:tc>
        <w:tc>
          <w:tcPr>
            <w:tcW w:w="140" w:type="dxa"/>
            <w:vAlign w:val="bottom"/>
            <w:vMerge w:val="restart"/>
            <w:shd w:val="clear" w:color="auto" w:fill="CCEEFF"/>
          </w:tcPr>
          <w:p>
            <w:pPr>
              <w:spacing w:after="0" w:line="20" w:lineRule="exact"/>
              <w:rPr>
                <w:sz w:val="1"/>
                <w:szCs w:val="1"/>
                <w:color w:val="auto"/>
              </w:rPr>
            </w:pPr>
          </w:p>
        </w:tc>
        <w:tc>
          <w:tcPr>
            <w:tcW w:w="3440" w:type="dxa"/>
            <w:vAlign w:val="bottom"/>
            <w:tcBorders>
              <w:right w:val="single" w:sz="8" w:color="CCEEFF"/>
            </w:tcBorders>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First Lien Term Loan 7.50% Cash, 10/1/2019</w:t>
            </w:r>
          </w:p>
        </w:tc>
        <w:tc>
          <w:tcPr>
            <w:tcW w:w="20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gridSpan w:val="3"/>
            <w:vMerge w:val="continue"/>
            <w:shd w:val="clear" w:color="auto" w:fill="CCEEFF"/>
          </w:tcPr>
          <w:p>
            <w:pPr>
              <w:spacing w:after="0"/>
              <w:rPr>
                <w:sz w:val="11"/>
                <w:szCs w:val="11"/>
                <w:color w:val="auto"/>
              </w:rPr>
            </w:pPr>
          </w:p>
        </w:tc>
        <w:tc>
          <w:tcPr>
            <w:tcW w:w="1260" w:type="dxa"/>
            <w:vAlign w:val="bottom"/>
            <w:tcBorders>
              <w:right w:val="single" w:sz="8" w:color="CCEEFF"/>
            </w:tcBorders>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3440" w:type="dxa"/>
            <w:vAlign w:val="bottom"/>
            <w:tcBorders>
              <w:right w:val="single" w:sz="8" w:color="CCEEFF"/>
            </w:tcBorders>
            <w:gridSpan w:val="3"/>
            <w:vMerge w:val="continue"/>
            <w:shd w:val="clear" w:color="auto" w:fill="CCEEFF"/>
          </w:tcPr>
          <w:p>
            <w:pPr>
              <w:spacing w:after="0"/>
              <w:rPr>
                <w:sz w:val="11"/>
                <w:szCs w:val="11"/>
                <w:color w:val="auto"/>
              </w:rPr>
            </w:pPr>
          </w:p>
        </w:tc>
        <w:tc>
          <w:tcPr>
            <w:tcW w:w="200" w:type="dxa"/>
            <w:vAlign w:val="bottom"/>
            <w:gridSpan w:val="3"/>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990,265</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1,001,300</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BMC Software, Inc.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Business Services</w:t>
            </w:r>
          </w:p>
        </w:tc>
        <w:tc>
          <w:tcPr>
            <w:tcW w:w="140" w:type="dxa"/>
            <w:vAlign w:val="bottom"/>
          </w:tcPr>
          <w:p>
            <w:pPr>
              <w:spacing w:after="0"/>
              <w:rPr>
                <w:sz w:val="11"/>
                <w:szCs w:val="11"/>
                <w:color w:val="auto"/>
              </w:rPr>
            </w:pPr>
          </w:p>
        </w:tc>
        <w:tc>
          <w:tcPr>
            <w:tcW w:w="34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First Lien Term Loan 5.00% Cash, 9/10/2020</w:t>
            </w:r>
          </w:p>
        </w:tc>
        <w:tc>
          <w:tcPr>
            <w:tcW w:w="200" w:type="dxa"/>
            <w:vAlign w:val="bottom"/>
            <w:gridSpan w:val="3"/>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6,000,000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5,941,650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6,051,000</w:t>
            </w: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8"/>
              </w:rPr>
              <w:t>Dispensing Dynamics International</w:t>
            </w:r>
          </w:p>
        </w:tc>
        <w:tc>
          <w:tcPr>
            <w:tcW w:w="126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3440" w:type="dxa"/>
            <w:vAlign w:val="bottom"/>
            <w:tcBorders>
              <w:right w:val="single" w:sz="8" w:color="CCEEFF"/>
            </w:tcBorders>
            <w:gridSpan w:val="3"/>
            <w:shd w:val="clear" w:color="auto" w:fill="CCEEFF"/>
          </w:tcPr>
          <w:p>
            <w:pPr>
              <w:ind w:left="40"/>
              <w:spacing w:after="0" w:line="121" w:lineRule="exact"/>
              <w:rPr>
                <w:sz w:val="20"/>
                <w:szCs w:val="20"/>
                <w:color w:val="auto"/>
              </w:rPr>
            </w:pPr>
            <w:r>
              <w:rPr>
                <w:rFonts w:ascii="Arial" w:cs="Arial" w:eastAsia="Arial" w:hAnsi="Arial"/>
                <w:sz w:val="13"/>
                <w:szCs w:val="13"/>
                <w:color w:val="auto"/>
              </w:rPr>
              <w:t>Senior Secured Note 12.50% Cash, 1/1/2018</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(d)</w:t>
            </w:r>
          </w:p>
        </w:tc>
        <w:tc>
          <w:tcPr>
            <w:tcW w:w="12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7,000,000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6,877,686</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7,385,000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tcPr>
          <w:p>
            <w:pPr>
              <w:spacing w:after="0" w:line="121" w:lineRule="exact"/>
              <w:rPr>
                <w:sz w:val="20"/>
                <w:szCs w:val="20"/>
                <w:color w:val="auto"/>
              </w:rPr>
            </w:pPr>
            <w:r>
              <w:rPr>
                <w:rFonts w:ascii="Arial" w:cs="Arial" w:eastAsia="Arial" w:hAnsi="Arial"/>
                <w:sz w:val="13"/>
                <w:szCs w:val="13"/>
                <w:color w:val="auto"/>
              </w:rPr>
              <w:t>Easy Ice, LLC (d)</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tcPr>
          <w:p>
            <w:pPr>
              <w:spacing w:after="0"/>
              <w:rPr>
                <w:sz w:val="10"/>
                <w:szCs w:val="10"/>
                <w:color w:val="auto"/>
              </w:rPr>
            </w:pPr>
          </w:p>
        </w:tc>
        <w:tc>
          <w:tcPr>
            <w:tcW w:w="3440" w:type="dxa"/>
            <w:vAlign w:val="bottom"/>
            <w:gridSpan w:val="3"/>
          </w:tcPr>
          <w:p>
            <w:pPr>
              <w:ind w:left="40"/>
              <w:spacing w:after="0" w:line="121" w:lineRule="exact"/>
              <w:rPr>
                <w:sz w:val="20"/>
                <w:szCs w:val="20"/>
                <w:color w:val="auto"/>
              </w:rPr>
            </w:pPr>
            <w:r>
              <w:rPr>
                <w:rFonts w:ascii="Arial" w:cs="Arial" w:eastAsia="Arial" w:hAnsi="Arial"/>
                <w:sz w:val="13"/>
                <w:szCs w:val="13"/>
                <w:color w:val="auto"/>
              </w:rPr>
              <w:t>First Lien Term Loan 14.00% (11.00% Cash 3.00% PIK),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380" w:type="dxa"/>
            <w:vAlign w:val="bottom"/>
            <w:gridSpan w:val="3"/>
          </w:tcPr>
          <w:p>
            <w:pPr>
              <w:ind w:left="180"/>
              <w:spacing w:after="0"/>
              <w:rPr>
                <w:sz w:val="20"/>
                <w:szCs w:val="20"/>
                <w:color w:val="auto"/>
              </w:rPr>
            </w:pPr>
            <w:r>
              <w:rPr>
                <w:rFonts w:ascii="Arial" w:cs="Arial" w:eastAsia="Arial" w:hAnsi="Arial"/>
                <w:sz w:val="13"/>
                <w:szCs w:val="13"/>
                <w:color w:val="auto"/>
              </w:rPr>
              <w:t>3/29/2018</w:t>
            </w:r>
          </w:p>
        </w:tc>
        <w:tc>
          <w:tcPr>
            <w:tcW w:w="200" w:type="dxa"/>
            <w:vAlign w:val="bottom"/>
          </w:tcPr>
          <w:p>
            <w:pPr>
              <w:spacing w:after="0"/>
              <w:rPr>
                <w:sz w:val="12"/>
                <w:szCs w:val="12"/>
                <w:color w:val="auto"/>
              </w:rPr>
            </w:pPr>
          </w:p>
        </w:tc>
        <w:tc>
          <w:tcPr>
            <w:tcW w:w="200" w:type="dxa"/>
            <w:vAlign w:val="bottom"/>
            <w:gridSpan w:val="3"/>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7,451,002</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7,324,751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7,451,002</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w w:val="98"/>
              </w:rPr>
              <w:t>Emily Street Enterprises, L.L.C. (d)</w:t>
            </w:r>
          </w:p>
        </w:tc>
        <w:tc>
          <w:tcPr>
            <w:tcW w:w="126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3440" w:type="dxa"/>
            <w:vAlign w:val="bottom"/>
            <w:tcBorders>
              <w:right w:val="single" w:sz="8" w:color="CCEEFF"/>
            </w:tcBorders>
            <w:gridSpan w:val="3"/>
            <w:shd w:val="clear" w:color="auto" w:fill="CCEEFF"/>
          </w:tcPr>
          <w:p>
            <w:pPr>
              <w:ind w:left="40"/>
              <w:spacing w:after="0" w:line="121" w:lineRule="exact"/>
              <w:rPr>
                <w:sz w:val="20"/>
                <w:szCs w:val="20"/>
                <w:color w:val="auto"/>
              </w:rPr>
            </w:pPr>
            <w:r>
              <w:rPr>
                <w:rFonts w:ascii="Arial" w:cs="Arial" w:eastAsia="Arial" w:hAnsi="Arial"/>
                <w:sz w:val="13"/>
                <w:szCs w:val="13"/>
                <w:color w:val="auto"/>
              </w:rPr>
              <w:t>Senior Secured Note 14.00% (13.00% Cash/1.00% PIK),</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338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12/28/2017</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5,753,427</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5,660,528</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5,753,427</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tcPr>
          <w:p>
            <w:pPr>
              <w:spacing w:after="0" w:line="121" w:lineRule="exact"/>
              <w:rPr>
                <w:sz w:val="20"/>
                <w:szCs w:val="20"/>
                <w:color w:val="auto"/>
              </w:rPr>
            </w:pPr>
            <w:r>
              <w:rPr>
                <w:rFonts w:ascii="Arial" w:cs="Arial" w:eastAsia="Arial" w:hAnsi="Arial"/>
                <w:sz w:val="13"/>
                <w:szCs w:val="13"/>
                <w:color w:val="auto"/>
                <w:w w:val="98"/>
              </w:rPr>
              <w:t>Emily Street Enterprises, L.L.C. (d,</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tcPr>
          <w:p>
            <w:pPr>
              <w:spacing w:after="0"/>
              <w:rPr>
                <w:sz w:val="10"/>
                <w:szCs w:val="10"/>
                <w:color w:val="auto"/>
              </w:rPr>
            </w:pPr>
          </w:p>
        </w:tc>
        <w:tc>
          <w:tcPr>
            <w:tcW w:w="3440" w:type="dxa"/>
            <w:vAlign w:val="bottom"/>
            <w:gridSpan w:val="3"/>
          </w:tcPr>
          <w:p>
            <w:pPr>
              <w:ind w:left="40"/>
              <w:spacing w:after="0" w:line="121" w:lineRule="exact"/>
              <w:rPr>
                <w:sz w:val="20"/>
                <w:szCs w:val="20"/>
                <w:color w:val="auto"/>
              </w:rPr>
            </w:pPr>
            <w:r>
              <w:rPr>
                <w:rFonts w:ascii="Arial" w:cs="Arial" w:eastAsia="Arial" w:hAnsi="Arial"/>
                <w:sz w:val="13"/>
                <w:szCs w:val="13"/>
                <w:color w:val="auto"/>
              </w:rPr>
              <w:t>Warrant Membership Interests</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ind w:left="160"/>
              <w:spacing w:after="0"/>
              <w:rPr>
                <w:sz w:val="20"/>
                <w:szCs w:val="20"/>
                <w:color w:val="auto"/>
              </w:rPr>
            </w:pPr>
            <w:r>
              <w:rPr>
                <w:rFonts w:ascii="Arial" w:cs="Arial" w:eastAsia="Arial" w:hAnsi="Arial"/>
                <w:sz w:val="13"/>
                <w:szCs w:val="13"/>
                <w:color w:val="auto"/>
              </w:rPr>
              <w:t>g)</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3"/>
                <w:szCs w:val="13"/>
                <w:color w:val="auto"/>
              </w:rPr>
              <w:t>49,318</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400,000</w:t>
            </w:r>
          </w:p>
        </w:tc>
        <w:tc>
          <w:tcPr>
            <w:tcW w:w="80" w:type="dxa"/>
            <w:vAlign w:val="bottom"/>
          </w:tcPr>
          <w:p>
            <w:pPr>
              <w:spacing w:after="0"/>
              <w:rPr>
                <w:sz w:val="12"/>
                <w:szCs w:val="1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488,741</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0.4%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Help/Systems Holdings, Inc.</w:t>
            </w:r>
          </w:p>
        </w:tc>
        <w:tc>
          <w:tcPr>
            <w:tcW w:w="126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3440" w:type="dxa"/>
            <w:vAlign w:val="bottom"/>
            <w:tcBorders>
              <w:right w:val="single" w:sz="8" w:color="CCEEFF"/>
            </w:tcBorders>
            <w:gridSpan w:val="3"/>
            <w:shd w:val="clear" w:color="auto" w:fill="CCEEFF"/>
          </w:tcPr>
          <w:p>
            <w:pPr>
              <w:ind w:left="40"/>
              <w:spacing w:after="0" w:line="121" w:lineRule="exact"/>
              <w:rPr>
                <w:sz w:val="20"/>
                <w:szCs w:val="20"/>
                <w:color w:val="auto"/>
              </w:rPr>
            </w:pPr>
            <w:r>
              <w:rPr>
                <w:rFonts w:ascii="Arial" w:cs="Arial" w:eastAsia="Arial" w:hAnsi="Arial"/>
                <w:sz w:val="13"/>
                <w:szCs w:val="13"/>
                <w:color w:val="auto"/>
              </w:rPr>
              <w:t>First Lien Term Loan 5.50% Cash, 6/28/2019</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(Help/Systems, LLC) (d)</w:t>
            </w:r>
          </w:p>
        </w:tc>
        <w:tc>
          <w:tcPr>
            <w:tcW w:w="12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4,000,000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3,962,643</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3,990,000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3.6%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tcPr>
          <w:p>
            <w:pPr>
              <w:spacing w:after="0" w:line="121" w:lineRule="exact"/>
              <w:rPr>
                <w:sz w:val="20"/>
                <w:szCs w:val="20"/>
                <w:color w:val="auto"/>
              </w:rPr>
            </w:pPr>
            <w:r>
              <w:rPr>
                <w:rFonts w:ascii="Arial" w:cs="Arial" w:eastAsia="Arial" w:hAnsi="Arial"/>
                <w:sz w:val="13"/>
                <w:szCs w:val="13"/>
                <w:color w:val="auto"/>
              </w:rPr>
              <w:t>Help/Systems Holdings, Inc.</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tcPr>
          <w:p>
            <w:pPr>
              <w:spacing w:after="0"/>
              <w:rPr>
                <w:sz w:val="10"/>
                <w:szCs w:val="10"/>
                <w:color w:val="auto"/>
              </w:rPr>
            </w:pPr>
          </w:p>
        </w:tc>
        <w:tc>
          <w:tcPr>
            <w:tcW w:w="3440" w:type="dxa"/>
            <w:vAlign w:val="bottom"/>
            <w:gridSpan w:val="3"/>
          </w:tcPr>
          <w:p>
            <w:pPr>
              <w:ind w:left="40"/>
              <w:spacing w:after="0" w:line="121" w:lineRule="exact"/>
              <w:rPr>
                <w:sz w:val="20"/>
                <w:szCs w:val="20"/>
                <w:color w:val="auto"/>
              </w:rPr>
            </w:pPr>
            <w:r>
              <w:rPr>
                <w:rFonts w:ascii="Arial" w:cs="Arial" w:eastAsia="Arial" w:hAnsi="Arial"/>
                <w:sz w:val="13"/>
                <w:szCs w:val="13"/>
                <w:color w:val="auto"/>
              </w:rPr>
              <w:t>Second Lien Term Loan 9.50% Cash, 6/28/2020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ind w:left="160"/>
              <w:spacing w:after="0"/>
              <w:rPr>
                <w:sz w:val="20"/>
                <w:szCs w:val="20"/>
                <w:color w:val="auto"/>
              </w:rPr>
            </w:pPr>
            <w:r>
              <w:rPr>
                <w:rFonts w:ascii="Arial" w:cs="Arial" w:eastAsia="Arial" w:hAnsi="Arial"/>
                <w:sz w:val="13"/>
                <w:szCs w:val="13"/>
                <w:color w:val="auto"/>
              </w:rPr>
              <w:t>(Help/Systems, LLC) (d)</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gridSpan w:val="3"/>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2,000,000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1,971,697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2,000,000</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1.8%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Knowland Technology Holdings,</w:t>
            </w:r>
          </w:p>
        </w:tc>
        <w:tc>
          <w:tcPr>
            <w:tcW w:w="126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3440" w:type="dxa"/>
            <w:vAlign w:val="bottom"/>
            <w:tcBorders>
              <w:right w:val="single" w:sz="8" w:color="CCEEFF"/>
            </w:tcBorders>
            <w:gridSpan w:val="3"/>
            <w:shd w:val="clear" w:color="auto" w:fill="CCEEFF"/>
          </w:tcPr>
          <w:p>
            <w:pPr>
              <w:ind w:left="40"/>
              <w:spacing w:after="0" w:line="121" w:lineRule="exact"/>
              <w:rPr>
                <w:sz w:val="20"/>
                <w:szCs w:val="20"/>
                <w:color w:val="auto"/>
              </w:rPr>
            </w:pPr>
            <w:r>
              <w:rPr>
                <w:rFonts w:ascii="Arial" w:cs="Arial" w:eastAsia="Arial" w:hAnsi="Arial"/>
                <w:sz w:val="13"/>
                <w:szCs w:val="13"/>
                <w:color w:val="auto"/>
              </w:rPr>
              <w:t>First Lien Term Loan 11.00% Cash, 11/29/2017</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L.L.C. (d)</w:t>
            </w:r>
          </w:p>
        </w:tc>
        <w:tc>
          <w:tcPr>
            <w:tcW w:w="12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6,200,000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6,100,922</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6,200,000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5.6%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tcPr>
          <w:p>
            <w:pPr>
              <w:spacing w:after="0" w:line="121" w:lineRule="exact"/>
              <w:rPr>
                <w:sz w:val="20"/>
                <w:szCs w:val="20"/>
                <w:color w:val="auto"/>
              </w:rPr>
            </w:pPr>
            <w:r>
              <w:rPr>
                <w:rFonts w:ascii="Arial" w:cs="Arial" w:eastAsia="Arial" w:hAnsi="Arial"/>
                <w:sz w:val="13"/>
                <w:szCs w:val="13"/>
                <w:color w:val="auto"/>
              </w:rPr>
              <w:t>Trinet HR Corporation (SOI</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tcPr>
          <w:p>
            <w:pPr>
              <w:spacing w:after="0"/>
              <w:rPr>
                <w:sz w:val="10"/>
                <w:szCs w:val="10"/>
                <w:color w:val="auto"/>
              </w:rPr>
            </w:pPr>
          </w:p>
        </w:tc>
        <w:tc>
          <w:tcPr>
            <w:tcW w:w="3440" w:type="dxa"/>
            <w:vAlign w:val="bottom"/>
            <w:gridSpan w:val="3"/>
          </w:tcPr>
          <w:p>
            <w:pPr>
              <w:ind w:left="40"/>
              <w:spacing w:after="0" w:line="121" w:lineRule="exact"/>
              <w:rPr>
                <w:sz w:val="20"/>
                <w:szCs w:val="20"/>
                <w:color w:val="auto"/>
              </w:rPr>
            </w:pPr>
            <w:r>
              <w:rPr>
                <w:rFonts w:ascii="Arial" w:cs="Arial" w:eastAsia="Arial" w:hAnsi="Arial"/>
                <w:sz w:val="13"/>
                <w:szCs w:val="13"/>
                <w:color w:val="auto"/>
              </w:rPr>
              <w:t>First Lien Term Loan 5.00% Cash, 8/20/2020</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ind w:left="160"/>
              <w:spacing w:after="0"/>
              <w:rPr>
                <w:sz w:val="20"/>
                <w:szCs w:val="20"/>
                <w:color w:val="auto"/>
              </w:rPr>
            </w:pPr>
            <w:r>
              <w:rPr>
                <w:rFonts w:ascii="Arial" w:cs="Arial" w:eastAsia="Arial" w:hAnsi="Arial"/>
                <w:sz w:val="13"/>
                <w:szCs w:val="13"/>
                <w:color w:val="auto"/>
              </w:rPr>
              <w:t>Holdings, Inc.) (d)</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gridSpan w:val="3"/>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5,000,000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4,951,958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5,000,000</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Trinet HR Corporation (SOI</w:t>
            </w:r>
          </w:p>
        </w:tc>
        <w:tc>
          <w:tcPr>
            <w:tcW w:w="126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3440" w:type="dxa"/>
            <w:vAlign w:val="bottom"/>
            <w:tcBorders>
              <w:right w:val="single" w:sz="8" w:color="CCEEFF"/>
            </w:tcBorders>
            <w:gridSpan w:val="3"/>
            <w:shd w:val="clear" w:color="auto" w:fill="CCEEFF"/>
          </w:tcPr>
          <w:p>
            <w:pPr>
              <w:ind w:left="40"/>
              <w:spacing w:after="0" w:line="121" w:lineRule="exact"/>
              <w:rPr>
                <w:sz w:val="20"/>
                <w:szCs w:val="20"/>
                <w:color w:val="auto"/>
              </w:rPr>
            </w:pPr>
            <w:r>
              <w:rPr>
                <w:rFonts w:ascii="Arial" w:cs="Arial" w:eastAsia="Arial" w:hAnsi="Arial"/>
                <w:sz w:val="13"/>
                <w:szCs w:val="13"/>
                <w:color w:val="auto"/>
              </w:rPr>
              <w:t>Second Lien Term Loan 8.75% Cash, 2/20/2021</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Holdings, Inc.) (d)</w:t>
            </w:r>
          </w:p>
        </w:tc>
        <w:tc>
          <w:tcPr>
            <w:tcW w:w="12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3"/>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2,451,490</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2,472,000</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tcPr>
          <w:p>
            <w:pPr>
              <w:spacing w:after="0" w:line="121" w:lineRule="exact"/>
              <w:rPr>
                <w:sz w:val="20"/>
                <w:szCs w:val="20"/>
                <w:color w:val="auto"/>
              </w:rPr>
            </w:pPr>
            <w:r>
              <w:rPr>
                <w:rFonts w:ascii="Arial" w:cs="Arial" w:eastAsia="Arial" w:hAnsi="Arial"/>
                <w:sz w:val="13"/>
                <w:szCs w:val="13"/>
                <w:color w:val="auto"/>
              </w:rPr>
              <w:t>Vector Controls Holding Co., LLC</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tcPr>
          <w:p>
            <w:pPr>
              <w:spacing w:after="0"/>
              <w:rPr>
                <w:sz w:val="10"/>
                <w:szCs w:val="10"/>
                <w:color w:val="auto"/>
              </w:rPr>
            </w:pPr>
          </w:p>
        </w:tc>
        <w:tc>
          <w:tcPr>
            <w:tcW w:w="3440" w:type="dxa"/>
            <w:vAlign w:val="bottom"/>
            <w:gridSpan w:val="3"/>
          </w:tcPr>
          <w:p>
            <w:pPr>
              <w:ind w:left="40"/>
              <w:spacing w:after="0" w:line="121" w:lineRule="exact"/>
              <w:rPr>
                <w:sz w:val="20"/>
                <w:szCs w:val="20"/>
                <w:color w:val="auto"/>
              </w:rPr>
            </w:pPr>
            <w:r>
              <w:rPr>
                <w:rFonts w:ascii="Arial" w:cs="Arial" w:eastAsia="Arial" w:hAnsi="Arial"/>
                <w:sz w:val="13"/>
                <w:szCs w:val="13"/>
                <w:color w:val="auto"/>
              </w:rPr>
              <w:t>First Lien Term Loan, 14.00% (12.00% Cash, 2.00% PIK),</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ind w:left="160"/>
              <w:spacing w:after="0"/>
              <w:rPr>
                <w:sz w:val="20"/>
                <w:szCs w:val="20"/>
                <w:color w:val="auto"/>
              </w:rPr>
            </w:pPr>
            <w:r>
              <w:rPr>
                <w:rFonts w:ascii="Arial" w:cs="Arial" w:eastAsia="Arial" w:hAnsi="Arial"/>
                <w:sz w:val="13"/>
                <w:szCs w:val="13"/>
                <w:color w:val="auto"/>
              </w:rPr>
              <w:t>(d)</w:t>
            </w:r>
          </w:p>
        </w:tc>
        <w:tc>
          <w:tcPr>
            <w:tcW w:w="1260" w:type="dxa"/>
            <w:vAlign w:val="bottom"/>
          </w:tcPr>
          <w:p>
            <w:pPr>
              <w:spacing w:after="0"/>
              <w:rPr>
                <w:sz w:val="12"/>
                <w:szCs w:val="12"/>
                <w:color w:val="auto"/>
              </w:rPr>
            </w:pPr>
          </w:p>
        </w:tc>
        <w:tc>
          <w:tcPr>
            <w:tcW w:w="3380" w:type="dxa"/>
            <w:vAlign w:val="bottom"/>
            <w:gridSpan w:val="3"/>
          </w:tcPr>
          <w:p>
            <w:pPr>
              <w:ind w:left="180"/>
              <w:spacing w:after="0"/>
              <w:rPr>
                <w:sz w:val="20"/>
                <w:szCs w:val="20"/>
                <w:color w:val="auto"/>
              </w:rPr>
            </w:pPr>
            <w:r>
              <w:rPr>
                <w:rFonts w:ascii="Arial" w:cs="Arial" w:eastAsia="Arial" w:hAnsi="Arial"/>
                <w:sz w:val="13"/>
                <w:szCs w:val="13"/>
                <w:color w:val="auto"/>
              </w:rPr>
              <w:t>3/6/2018</w:t>
            </w:r>
          </w:p>
        </w:tc>
        <w:tc>
          <w:tcPr>
            <w:tcW w:w="200" w:type="dxa"/>
            <w:vAlign w:val="bottom"/>
          </w:tcPr>
          <w:p>
            <w:pPr>
              <w:spacing w:after="0"/>
              <w:rPr>
                <w:sz w:val="12"/>
                <w:szCs w:val="12"/>
                <w:color w:val="auto"/>
              </w:rPr>
            </w:pPr>
          </w:p>
        </w:tc>
        <w:tc>
          <w:tcPr>
            <w:tcW w:w="200" w:type="dxa"/>
            <w:vAlign w:val="bottom"/>
            <w:gridSpan w:val="3"/>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9,554,517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right"/>
              <w:ind w:right="160"/>
              <w:spacing w:after="0"/>
              <w:rPr>
                <w:sz w:val="20"/>
                <w:szCs w:val="20"/>
                <w:color w:val="auto"/>
              </w:rPr>
            </w:pPr>
            <w:r>
              <w:rPr>
                <w:rFonts w:ascii="Arial" w:cs="Arial" w:eastAsia="Arial" w:hAnsi="Arial"/>
                <w:sz w:val="13"/>
                <w:szCs w:val="13"/>
                <w:color w:val="auto"/>
              </w:rPr>
              <w:t>9,394,118</w:t>
            </w:r>
          </w:p>
        </w:tc>
        <w:tc>
          <w:tcPr>
            <w:tcW w:w="80" w:type="dxa"/>
            <w:vAlign w:val="bottom"/>
          </w:tcPr>
          <w:p>
            <w:pPr>
              <w:spacing w:after="0"/>
              <w:rPr>
                <w:sz w:val="12"/>
                <w:szCs w:val="12"/>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3"/>
                <w:szCs w:val="13"/>
                <w:color w:val="auto"/>
              </w:rPr>
              <w:t>9,554,517</w:t>
            </w:r>
          </w:p>
        </w:tc>
        <w:tc>
          <w:tcPr>
            <w:tcW w:w="780" w:type="dxa"/>
            <w:vAlign w:val="bottom"/>
            <w:gridSpan w:val="2"/>
          </w:tcPr>
          <w:p>
            <w:pPr>
              <w:jc w:val="right"/>
              <w:ind w:right="20"/>
              <w:spacing w:after="0"/>
              <w:rPr>
                <w:sz w:val="20"/>
                <w:szCs w:val="20"/>
                <w:color w:val="auto"/>
              </w:rPr>
            </w:pPr>
            <w:r>
              <w:rPr>
                <w:rFonts w:ascii="Arial" w:cs="Arial" w:eastAsia="Arial" w:hAnsi="Arial"/>
                <w:sz w:val="13"/>
                <w:szCs w:val="13"/>
                <w:color w:val="auto"/>
              </w:rPr>
              <w:t>8.6%</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Vector Controls Holding Co., LLC</w:t>
            </w:r>
          </w:p>
        </w:tc>
        <w:tc>
          <w:tcPr>
            <w:tcW w:w="1260" w:type="dxa"/>
            <w:vAlign w:val="bottom"/>
            <w:tcBorders>
              <w:right w:val="single" w:sz="8" w:color="CCEEFF"/>
            </w:tcBorders>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140" w:type="dxa"/>
            <w:vAlign w:val="bottom"/>
            <w:shd w:val="clear" w:color="auto" w:fill="CCEEFF"/>
          </w:tcPr>
          <w:p>
            <w:pPr>
              <w:spacing w:after="0"/>
              <w:rPr>
                <w:sz w:val="10"/>
                <w:szCs w:val="10"/>
                <w:color w:val="auto"/>
              </w:rPr>
            </w:pPr>
          </w:p>
        </w:tc>
        <w:tc>
          <w:tcPr>
            <w:tcW w:w="3440" w:type="dxa"/>
            <w:vAlign w:val="bottom"/>
            <w:tcBorders>
              <w:right w:val="single" w:sz="8" w:color="CCEEFF"/>
            </w:tcBorders>
            <w:gridSpan w:val="3"/>
            <w:shd w:val="clear" w:color="auto" w:fill="CCEEFF"/>
          </w:tcPr>
          <w:p>
            <w:pPr>
              <w:ind w:left="40"/>
              <w:spacing w:after="0" w:line="121" w:lineRule="exact"/>
              <w:rPr>
                <w:sz w:val="20"/>
                <w:szCs w:val="20"/>
                <w:color w:val="auto"/>
              </w:rPr>
            </w:pPr>
            <w:r>
              <w:rPr>
                <w:rFonts w:ascii="Arial" w:cs="Arial" w:eastAsia="Arial" w:hAnsi="Arial"/>
                <w:sz w:val="13"/>
                <w:szCs w:val="13"/>
                <w:color w:val="auto"/>
              </w:rPr>
              <w:t>Warrants to Purchase Limited Liability Company Interests</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tcBorders>
              <w:right w:val="single" w:sz="8" w:color="CCEEFF"/>
            </w:tcBorders>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(d, g)</w:t>
            </w:r>
          </w:p>
        </w:tc>
        <w:tc>
          <w:tcPr>
            <w:tcW w:w="12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101</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Total Business Services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56,027,708</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57,346,987</w:t>
            </w:r>
          </w:p>
        </w:tc>
        <w:tc>
          <w:tcPr>
            <w:tcW w:w="160" w:type="dxa"/>
            <w:vAlign w:val="bottom"/>
            <w:vMerge w:val="continue"/>
          </w:tcPr>
          <w:p>
            <w:pPr>
              <w:spacing w:after="0"/>
              <w:rPr>
                <w:sz w:val="11"/>
                <w:szCs w:val="11"/>
                <w:color w:val="auto"/>
              </w:rPr>
            </w:pPr>
          </w:p>
        </w:tc>
        <w:tc>
          <w:tcPr>
            <w:tcW w:w="7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51.6%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w w:val="97"/>
              </w:rPr>
              <w:t>Targus Group International, Inc. (d)</w:t>
            </w:r>
          </w:p>
        </w:tc>
        <w:tc>
          <w:tcPr>
            <w:tcW w:w="12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140" w:type="dxa"/>
            <w:vAlign w:val="bottom"/>
            <w:vMerge w:val="restart"/>
            <w:shd w:val="clear" w:color="auto" w:fill="CCEEFF"/>
          </w:tcPr>
          <w:p>
            <w:pPr>
              <w:spacing w:after="0" w:line="20" w:lineRule="exact"/>
              <w:rPr>
                <w:sz w:val="1"/>
                <w:szCs w:val="1"/>
                <w:color w:val="auto"/>
              </w:rPr>
            </w:pPr>
          </w:p>
        </w:tc>
        <w:tc>
          <w:tcPr>
            <w:tcW w:w="3440" w:type="dxa"/>
            <w:vAlign w:val="bottom"/>
            <w:tcBorders>
              <w:right w:val="single" w:sz="8" w:color="CCEEFF"/>
            </w:tcBorders>
            <w:gridSpan w:val="3"/>
            <w:vMerge w:val="restart"/>
            <w:shd w:val="clear" w:color="auto" w:fill="CCEEFF"/>
          </w:tcPr>
          <w:p>
            <w:pPr>
              <w:ind w:left="40"/>
              <w:spacing w:after="0"/>
              <w:rPr>
                <w:sz w:val="20"/>
                <w:szCs w:val="20"/>
                <w:color w:val="auto"/>
              </w:rPr>
            </w:pPr>
            <w:r>
              <w:rPr>
                <w:rFonts w:ascii="Arial" w:cs="Arial" w:eastAsia="Arial" w:hAnsi="Arial"/>
                <w:sz w:val="13"/>
                <w:szCs w:val="13"/>
                <w:color w:val="auto"/>
              </w:rPr>
              <w:t>First Lien Term Loan 11.00% Cash, 5/24/2016</w:t>
            </w:r>
          </w:p>
        </w:tc>
        <w:tc>
          <w:tcPr>
            <w:tcW w:w="200" w:type="dxa"/>
            <w:vAlign w:val="bottom"/>
            <w:gridSpan w:val="3"/>
            <w:vMerge w:val="restart"/>
            <w:shd w:val="clear" w:color="auto" w:fill="CCEEFF"/>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3,776,785</w:t>
            </w:r>
          </w:p>
        </w:tc>
        <w:tc>
          <w:tcPr>
            <w:tcW w:w="160" w:type="dxa"/>
            <w:vAlign w:val="bottom"/>
            <w:vMerge w:val="restart"/>
            <w:shd w:val="clear" w:color="auto" w:fill="CCEEFF"/>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gridSpan w:val="3"/>
            <w:vMerge w:val="continue"/>
            <w:shd w:val="clear" w:color="auto" w:fill="CCEEFF"/>
          </w:tcPr>
          <w:p>
            <w:pPr>
              <w:spacing w:after="0"/>
              <w:rPr>
                <w:sz w:val="11"/>
                <w:szCs w:val="11"/>
                <w:color w:val="auto"/>
              </w:rPr>
            </w:pPr>
          </w:p>
        </w:tc>
        <w:tc>
          <w:tcPr>
            <w:tcW w:w="1260" w:type="dxa"/>
            <w:vAlign w:val="bottom"/>
            <w:tcBorders>
              <w:right w:val="single" w:sz="8" w:color="CCEEFF"/>
            </w:tcBorders>
            <w:vMerge w:val="continue"/>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3440" w:type="dxa"/>
            <w:vAlign w:val="bottom"/>
            <w:tcBorders>
              <w:right w:val="single" w:sz="8" w:color="CCEEFF"/>
            </w:tcBorders>
            <w:gridSpan w:val="3"/>
            <w:vMerge w:val="continue"/>
            <w:shd w:val="clear" w:color="auto" w:fill="CCEEFF"/>
          </w:tcPr>
          <w:p>
            <w:pPr>
              <w:spacing w:after="0"/>
              <w:rPr>
                <w:sz w:val="11"/>
                <w:szCs w:val="11"/>
                <w:color w:val="auto"/>
              </w:rPr>
            </w:pPr>
          </w:p>
        </w:tc>
        <w:tc>
          <w:tcPr>
            <w:tcW w:w="200" w:type="dxa"/>
            <w:vAlign w:val="bottom"/>
            <w:gridSpan w:val="3"/>
            <w:vMerge w:val="continue"/>
            <w:shd w:val="clear" w:color="auto" w:fill="CCEEFF"/>
          </w:tcPr>
          <w:p>
            <w:pPr>
              <w:spacing w:after="0"/>
              <w:rPr>
                <w:sz w:val="11"/>
                <w:szCs w:val="11"/>
                <w:color w:val="auto"/>
              </w:rPr>
            </w:pPr>
          </w:p>
        </w:tc>
        <w:tc>
          <w:tcPr>
            <w:tcW w:w="1160" w:type="dxa"/>
            <w:vAlign w:val="bottom"/>
            <w:vMerge w:val="continue"/>
            <w:shd w:val="clear" w:color="auto" w:fill="CCEEFF"/>
          </w:tcPr>
          <w:p>
            <w:pPr>
              <w:spacing w:after="0"/>
              <w:rPr>
                <w:sz w:val="11"/>
                <w:szCs w:val="11"/>
                <w:color w:val="auto"/>
              </w:rPr>
            </w:pPr>
          </w:p>
        </w:tc>
        <w:tc>
          <w:tcPr>
            <w:tcW w:w="160" w:type="dxa"/>
            <w:vAlign w:val="bottom"/>
            <w:vMerge w:val="continue"/>
            <w:shd w:val="clear" w:color="auto" w:fill="CCEEFF"/>
          </w:tcPr>
          <w:p>
            <w:pPr>
              <w:spacing w:after="0"/>
              <w:rPr>
                <w:sz w:val="11"/>
                <w:szCs w:val="11"/>
                <w:color w:val="auto"/>
              </w:rPr>
            </w:pPr>
          </w:p>
        </w:tc>
        <w:tc>
          <w:tcPr>
            <w:tcW w:w="20" w:type="dxa"/>
            <w:vAlign w:val="bottom"/>
            <w:vMerge w:val="continue"/>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3,738,991</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3,635,156</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Targus Holdings, Inc. (d, g)</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Consumer Products</w:t>
            </w:r>
          </w:p>
        </w:tc>
        <w:tc>
          <w:tcPr>
            <w:tcW w:w="140" w:type="dxa"/>
            <w:vAlign w:val="bottom"/>
          </w:tcPr>
          <w:p>
            <w:pPr>
              <w:spacing w:after="0"/>
              <w:rPr>
                <w:sz w:val="11"/>
                <w:szCs w:val="11"/>
                <w:color w:val="auto"/>
              </w:rPr>
            </w:pPr>
          </w:p>
        </w:tc>
        <w:tc>
          <w:tcPr>
            <w:tcW w:w="34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62,413</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566,765</w:t>
            </w:r>
          </w:p>
        </w:tc>
        <w:tc>
          <w:tcPr>
            <w:tcW w:w="80" w:type="dxa"/>
            <w:vAlign w:val="bottom"/>
          </w:tcPr>
          <w:p>
            <w:pPr>
              <w:spacing w:after="0"/>
              <w:rPr>
                <w:sz w:val="11"/>
                <w:szCs w:val="11"/>
                <w:color w:val="auto"/>
              </w:rPr>
            </w:pPr>
          </w:p>
        </w:tc>
        <w:tc>
          <w:tcPr>
            <w:tcW w:w="11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680,302</w:t>
            </w: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w:t>
            </w:r>
          </w:p>
        </w:tc>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140" w:type="dxa"/>
            <w:vAlign w:val="bottom"/>
            <w:shd w:val="clear" w:color="auto" w:fill="CCEEFF"/>
          </w:tcPr>
          <w:p>
            <w:pPr>
              <w:spacing w:after="0"/>
              <w:rPr>
                <w:sz w:val="11"/>
                <w:szCs w:val="11"/>
                <w:color w:val="auto"/>
              </w:rPr>
            </w:pPr>
          </w:p>
        </w:tc>
        <w:tc>
          <w:tcPr>
            <w:tcW w:w="3440" w:type="dxa"/>
            <w:vAlign w:val="bottom"/>
            <w:tcBorders>
              <w:right w:val="single" w:sz="8" w:color="CCEEFF"/>
            </w:tcBorders>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Unsecured Note 10.00% PIK, 6/14/2019</w:t>
            </w:r>
          </w:p>
        </w:tc>
        <w:tc>
          <w:tcPr>
            <w:tcW w:w="200" w:type="dxa"/>
            <w:vAlign w:val="bottom"/>
            <w:gridSpan w:val="3"/>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1,914,341</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1,914,341</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tcBorders>
              <w:right w:val="single" w:sz="8" w:color="CCEEFF"/>
            </w:tcBorders>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1,320,582</w:t>
            </w: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1.2%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Targus Holdings, Inc.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Consumer Products</w:t>
            </w:r>
          </w:p>
        </w:tc>
        <w:tc>
          <w:tcPr>
            <w:tcW w:w="140" w:type="dxa"/>
            <w:vAlign w:val="bottom"/>
          </w:tcPr>
          <w:p>
            <w:pPr>
              <w:spacing w:after="0"/>
              <w:rPr>
                <w:sz w:val="11"/>
                <w:szCs w:val="11"/>
                <w:color w:val="auto"/>
              </w:rPr>
            </w:pPr>
          </w:p>
        </w:tc>
        <w:tc>
          <w:tcPr>
            <w:tcW w:w="34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Unsecured Note 16.00% Cash, 10/26/2018</w:t>
            </w:r>
          </w:p>
        </w:tc>
        <w:tc>
          <w:tcPr>
            <w:tcW w:w="200" w:type="dxa"/>
            <w:vAlign w:val="bottom"/>
            <w:gridSpan w:val="3"/>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371,073</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366,112</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345,148</w:t>
            </w:r>
          </w:p>
        </w:tc>
        <w:tc>
          <w:tcPr>
            <w:tcW w:w="160" w:type="dxa"/>
            <w:vAlign w:val="bottom"/>
          </w:tcPr>
          <w:p>
            <w:pPr>
              <w:spacing w:after="0"/>
              <w:rPr>
                <w:sz w:val="11"/>
                <w:szCs w:val="11"/>
                <w:color w:val="auto"/>
              </w:rPr>
            </w:pP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3400" w:type="dxa"/>
            <w:vAlign w:val="bottom"/>
            <w:tcBorders>
              <w:right w:val="single" w:sz="8" w:color="CCEEFF"/>
            </w:tcBorders>
            <w:gridSpan w:val="2"/>
            <w:vMerge w:val="restart"/>
            <w:shd w:val="clear" w:color="auto" w:fill="CCEEFF"/>
          </w:tcPr>
          <w:p>
            <w:pPr>
              <w:jc w:val="right"/>
              <w:ind w:right="200"/>
              <w:spacing w:after="0"/>
              <w:rPr>
                <w:sz w:val="20"/>
                <w:szCs w:val="20"/>
                <w:color w:val="auto"/>
              </w:rPr>
            </w:pPr>
            <w:r>
              <w:rPr>
                <w:rFonts w:ascii="Arial" w:cs="Arial" w:eastAsia="Arial" w:hAnsi="Arial"/>
                <w:sz w:val="13"/>
                <w:szCs w:val="13"/>
                <w:color w:val="auto"/>
              </w:rPr>
              <w:t>Total Consumer Products</w:t>
            </w: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tcBorders>
              <w:right w:val="single" w:sz="8" w:color="CCEEFF"/>
            </w:tcBorders>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4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3400" w:type="dxa"/>
            <w:vAlign w:val="bottom"/>
            <w:tcBorders>
              <w:right w:val="single" w:sz="8" w:color="CCEEFF"/>
            </w:tcBorders>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6,586,209</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5,981,188</w:t>
            </w:r>
          </w:p>
        </w:tc>
        <w:tc>
          <w:tcPr>
            <w:tcW w:w="160" w:type="dxa"/>
            <w:vAlign w:val="bottom"/>
            <w:tcBorders>
              <w:right w:val="single" w:sz="8" w:color="CCEEFF"/>
            </w:tcBorders>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3"/>
            <w:vMerge w:val="restart"/>
          </w:tcPr>
          <w:p>
            <w:pPr>
              <w:spacing w:after="0"/>
              <w:rPr>
                <w:sz w:val="20"/>
                <w:szCs w:val="20"/>
                <w:color w:val="auto"/>
              </w:rPr>
            </w:pPr>
            <w:r>
              <w:rPr>
                <w:rFonts w:ascii="Arial" w:cs="Arial" w:eastAsia="Arial" w:hAnsi="Arial"/>
                <w:sz w:val="13"/>
                <w:szCs w:val="13"/>
                <w:color w:val="auto"/>
              </w:rPr>
              <w:t>CFF Acquisition L.L.C. (d)</w:t>
            </w:r>
          </w:p>
        </w:tc>
        <w:tc>
          <w:tcPr>
            <w:tcW w:w="1260" w:type="dxa"/>
            <w:vAlign w:val="bottom"/>
            <w:vMerge w:val="restart"/>
          </w:tcPr>
          <w:p>
            <w:pPr>
              <w:spacing w:after="0"/>
              <w:rPr>
                <w:sz w:val="20"/>
                <w:szCs w:val="20"/>
                <w:color w:val="auto"/>
              </w:rPr>
            </w:pPr>
            <w:r>
              <w:rPr>
                <w:rFonts w:ascii="Arial" w:cs="Arial" w:eastAsia="Arial" w:hAnsi="Arial"/>
                <w:sz w:val="13"/>
                <w:szCs w:val="13"/>
                <w:color w:val="auto"/>
              </w:rPr>
              <w:t>Consumer Services</w:t>
            </w:r>
          </w:p>
        </w:tc>
        <w:tc>
          <w:tcPr>
            <w:tcW w:w="140" w:type="dxa"/>
            <w:vAlign w:val="bottom"/>
            <w:vMerge w:val="restart"/>
          </w:tcPr>
          <w:p>
            <w:pPr>
              <w:spacing w:after="0" w:line="20" w:lineRule="exact"/>
              <w:rPr>
                <w:sz w:val="1"/>
                <w:szCs w:val="1"/>
                <w:color w:val="auto"/>
              </w:rPr>
            </w:pPr>
          </w:p>
        </w:tc>
        <w:tc>
          <w:tcPr>
            <w:tcW w:w="3440" w:type="dxa"/>
            <w:vAlign w:val="bottom"/>
            <w:gridSpan w:val="3"/>
            <w:vMerge w:val="restart"/>
          </w:tcPr>
          <w:p>
            <w:pPr>
              <w:ind w:left="40"/>
              <w:spacing w:after="0"/>
              <w:rPr>
                <w:sz w:val="20"/>
                <w:szCs w:val="20"/>
                <w:color w:val="auto"/>
              </w:rPr>
            </w:pPr>
            <w:r>
              <w:rPr>
                <w:rFonts w:ascii="Arial" w:cs="Arial" w:eastAsia="Arial" w:hAnsi="Arial"/>
                <w:sz w:val="13"/>
                <w:szCs w:val="13"/>
                <w:color w:val="auto"/>
              </w:rPr>
              <w:t>First Lien Term Loan 7.50% Cash, 7/31/2015</w:t>
            </w:r>
          </w:p>
        </w:tc>
        <w:tc>
          <w:tcPr>
            <w:tcW w:w="200" w:type="dxa"/>
            <w:vAlign w:val="bottom"/>
            <w:gridSpan w:val="3"/>
            <w:vMerge w:val="restart"/>
          </w:tcPr>
          <w:p>
            <w:pPr>
              <w:jc w:val="right"/>
              <w:ind w:right="57"/>
              <w:spacing w:after="0"/>
              <w:rPr>
                <w:sz w:val="20"/>
                <w:szCs w:val="20"/>
                <w:color w:val="auto"/>
              </w:rPr>
            </w:pPr>
            <w:r>
              <w:rPr>
                <w:rFonts w:ascii="Arial" w:cs="Arial" w:eastAsia="Arial" w:hAnsi="Arial"/>
                <w:sz w:val="13"/>
                <w:szCs w:val="13"/>
                <w:color w:val="auto"/>
                <w:w w:val="82"/>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1,606,766</w:t>
            </w: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40" w:type="dxa"/>
            <w:vAlign w:val="bottom"/>
            <w:vMerge w:val="continue"/>
          </w:tcPr>
          <w:p>
            <w:pPr>
              <w:spacing w:after="0"/>
              <w:rPr>
                <w:sz w:val="11"/>
                <w:szCs w:val="11"/>
                <w:color w:val="auto"/>
              </w:rPr>
            </w:pPr>
          </w:p>
        </w:tc>
        <w:tc>
          <w:tcPr>
            <w:tcW w:w="3440" w:type="dxa"/>
            <w:vAlign w:val="bottom"/>
            <w:gridSpan w:val="3"/>
            <w:vMerge w:val="continue"/>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60" w:type="dxa"/>
            <w:vAlign w:val="bottom"/>
            <w:vMerge w:val="continue"/>
          </w:tcPr>
          <w:p>
            <w:pPr>
              <w:spacing w:after="0"/>
              <w:rPr>
                <w:sz w:val="11"/>
                <w:szCs w:val="11"/>
                <w:color w:val="auto"/>
              </w:rPr>
            </w:pPr>
          </w:p>
        </w:tc>
        <w:tc>
          <w:tcPr>
            <w:tcW w:w="2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1,540,599</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1,606,766</w:t>
            </w:r>
          </w:p>
        </w:tc>
        <w:tc>
          <w:tcPr>
            <w:tcW w:w="160" w:type="dxa"/>
            <w:vAlign w:val="bottom"/>
            <w:vMerge w:val="continue"/>
          </w:tcPr>
          <w:p>
            <w:pPr>
              <w:spacing w:after="0"/>
              <w:rPr>
                <w:sz w:val="11"/>
                <w:szCs w:val="11"/>
                <w:color w:val="auto"/>
              </w:rPr>
            </w:pPr>
          </w:p>
        </w:tc>
        <w:tc>
          <w:tcPr>
            <w:tcW w:w="7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Expedited Travel L.L.C. (d)</w:t>
            </w:r>
          </w:p>
        </w:tc>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140" w:type="dxa"/>
            <w:vAlign w:val="bottom"/>
            <w:shd w:val="clear" w:color="auto" w:fill="CCEEFF"/>
          </w:tcPr>
          <w:p>
            <w:pPr>
              <w:spacing w:after="0"/>
              <w:rPr>
                <w:sz w:val="11"/>
                <w:szCs w:val="11"/>
                <w:color w:val="auto"/>
              </w:rPr>
            </w:pPr>
          </w:p>
        </w:tc>
        <w:tc>
          <w:tcPr>
            <w:tcW w:w="3440" w:type="dxa"/>
            <w:vAlign w:val="bottom"/>
            <w:tcBorders>
              <w:right w:val="single" w:sz="8" w:color="CCEEFF"/>
            </w:tcBorders>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First Lien Term Loan 12.00% Cash, 12/28/2017</w:t>
            </w:r>
          </w:p>
        </w:tc>
        <w:tc>
          <w:tcPr>
            <w:tcW w:w="200" w:type="dxa"/>
            <w:vAlign w:val="bottom"/>
            <w:gridSpan w:val="3"/>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4,642,500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4,557,379</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100" w:type="dxa"/>
            <w:vAlign w:val="bottom"/>
            <w:tcBorders>
              <w:right w:val="single" w:sz="8" w:color="CCEEFF"/>
            </w:tcBorders>
            <w:gridSpan w:val="3"/>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4,642,500</w:t>
            </w: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PrePaid Legal Services, Inc.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Consumer Services</w:t>
            </w:r>
          </w:p>
        </w:tc>
        <w:tc>
          <w:tcPr>
            <w:tcW w:w="140" w:type="dxa"/>
            <w:vAlign w:val="bottom"/>
          </w:tcPr>
          <w:p>
            <w:pPr>
              <w:spacing w:after="0"/>
              <w:rPr>
                <w:sz w:val="11"/>
                <w:szCs w:val="11"/>
                <w:color w:val="auto"/>
              </w:rPr>
            </w:pPr>
          </w:p>
        </w:tc>
        <w:tc>
          <w:tcPr>
            <w:tcW w:w="3440" w:type="dxa"/>
            <w:vAlign w:val="bottom"/>
            <w:gridSpan w:val="3"/>
          </w:tcPr>
          <w:p>
            <w:pPr>
              <w:ind w:left="40"/>
              <w:spacing w:after="0" w:line="135" w:lineRule="exact"/>
              <w:rPr>
                <w:sz w:val="20"/>
                <w:szCs w:val="20"/>
                <w:color w:val="auto"/>
              </w:rPr>
            </w:pPr>
            <w:r>
              <w:rPr>
                <w:rFonts w:ascii="Arial" w:cs="Arial" w:eastAsia="Arial" w:hAnsi="Arial"/>
                <w:sz w:val="13"/>
                <w:szCs w:val="13"/>
                <w:color w:val="auto"/>
              </w:rPr>
              <w:t>First Lien Term Loan 6.25% Cash, 7/1/2019</w:t>
            </w:r>
          </w:p>
        </w:tc>
        <w:tc>
          <w:tcPr>
            <w:tcW w:w="200" w:type="dxa"/>
            <w:vAlign w:val="bottom"/>
            <w:gridSpan w:val="3"/>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4,596,774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4,553,840</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3"/>
          </w:tcPr>
          <w:p>
            <w:pPr>
              <w:jc w:val="right"/>
              <w:ind w:right="160"/>
              <w:spacing w:after="0" w:line="135" w:lineRule="exact"/>
              <w:rPr>
                <w:sz w:val="20"/>
                <w:szCs w:val="20"/>
                <w:color w:val="auto"/>
              </w:rPr>
            </w:pPr>
            <w:r>
              <w:rPr>
                <w:rFonts w:ascii="Arial" w:cs="Arial" w:eastAsia="Arial" w:hAnsi="Arial"/>
                <w:sz w:val="13"/>
                <w:szCs w:val="13"/>
                <w:color w:val="auto"/>
              </w:rPr>
              <w:t>4,596,774</w:t>
            </w:r>
          </w:p>
        </w:tc>
        <w:tc>
          <w:tcPr>
            <w:tcW w:w="78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 (d)</w:t>
            </w:r>
          </w:p>
        </w:tc>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140" w:type="dxa"/>
            <w:vAlign w:val="bottom"/>
            <w:shd w:val="clear" w:color="auto" w:fill="CCEEFF"/>
          </w:tcPr>
          <w:p>
            <w:pPr>
              <w:spacing w:after="0"/>
              <w:rPr>
                <w:sz w:val="11"/>
                <w:szCs w:val="11"/>
                <w:color w:val="auto"/>
              </w:rPr>
            </w:pPr>
          </w:p>
        </w:tc>
        <w:tc>
          <w:tcPr>
            <w:tcW w:w="3440" w:type="dxa"/>
            <w:vAlign w:val="bottom"/>
            <w:tcBorders>
              <w:right w:val="single" w:sz="8" w:color="CCEEFF"/>
            </w:tcBorders>
            <w:gridSpan w:val="3"/>
            <w:shd w:val="clear" w:color="auto" w:fill="CCEEFF"/>
          </w:tcPr>
          <w:p>
            <w:pPr>
              <w:ind w:left="40"/>
              <w:spacing w:after="0" w:line="135" w:lineRule="exact"/>
              <w:rPr>
                <w:sz w:val="20"/>
                <w:szCs w:val="20"/>
                <w:color w:val="auto"/>
              </w:rPr>
            </w:pPr>
            <w:r>
              <w:rPr>
                <w:rFonts w:ascii="Arial" w:cs="Arial" w:eastAsia="Arial" w:hAnsi="Arial"/>
                <w:sz w:val="13"/>
                <w:szCs w:val="13"/>
                <w:color w:val="auto"/>
              </w:rPr>
              <w:t>Second Lien Term Loan 9.75% Cash, 7/1/2020</w:t>
            </w:r>
          </w:p>
        </w:tc>
        <w:tc>
          <w:tcPr>
            <w:tcW w:w="200" w:type="dxa"/>
            <w:vAlign w:val="bottom"/>
            <w:gridSpan w:val="3"/>
            <w:shd w:val="clear" w:color="auto" w:fill="CCEEFF"/>
          </w:tcPr>
          <w:p>
            <w:pPr>
              <w:jc w:val="right"/>
              <w:ind w:right="57"/>
              <w:spacing w:after="0" w:line="135" w:lineRule="exact"/>
              <w:rPr>
                <w:sz w:val="20"/>
                <w:szCs w:val="20"/>
                <w:color w:val="auto"/>
              </w:rPr>
            </w:pPr>
            <w:r>
              <w:rPr>
                <w:rFonts w:ascii="Arial" w:cs="Arial" w:eastAsia="Arial" w:hAnsi="Arial"/>
                <w:sz w:val="13"/>
                <w:szCs w:val="13"/>
                <w:color w:val="auto"/>
                <w:w w:val="82"/>
              </w:rPr>
              <w:t>$</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4,929,239</w:t>
            </w: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5,000,000</w:t>
            </w: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3400" w:type="dxa"/>
            <w:vAlign w:val="bottom"/>
            <w:gridSpan w:val="2"/>
            <w:vMerge w:val="restart"/>
          </w:tcPr>
          <w:p>
            <w:pPr>
              <w:jc w:val="right"/>
              <w:ind w:right="200"/>
              <w:spacing w:after="0"/>
              <w:rPr>
                <w:sz w:val="20"/>
                <w:szCs w:val="20"/>
                <w:color w:val="auto"/>
              </w:rPr>
            </w:pPr>
            <w:r>
              <w:rPr>
                <w:rFonts w:ascii="Arial" w:cs="Arial" w:eastAsia="Arial" w:hAnsi="Arial"/>
                <w:sz w:val="13"/>
                <w:szCs w:val="13"/>
                <w:color w:val="auto"/>
              </w:rPr>
              <w:t>Total Consumer Services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15,581,057</w:t>
            </w:r>
          </w:p>
        </w:tc>
        <w:tc>
          <w:tcPr>
            <w:tcW w:w="1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15,846,040</w:t>
            </w:r>
          </w:p>
        </w:tc>
        <w:tc>
          <w:tcPr>
            <w:tcW w:w="160" w:type="dxa"/>
            <w:vAlign w:val="bottom"/>
            <w:vMerge w:val="continue"/>
          </w:tcPr>
          <w:p>
            <w:pPr>
              <w:spacing w:after="0"/>
              <w:rPr>
                <w:sz w:val="11"/>
                <w:szCs w:val="11"/>
                <w:color w:val="auto"/>
              </w:rPr>
            </w:pPr>
          </w:p>
        </w:tc>
        <w:tc>
          <w:tcPr>
            <w:tcW w:w="78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00" w:type="dxa"/>
            <w:vAlign w:val="bottom"/>
            <w:tcBorders>
              <w:top w:val="single" w:sz="8" w:color="CCEEFF"/>
            </w:tcBorders>
            <w:gridSpan w:val="3"/>
            <w:shd w:val="clear" w:color="auto" w:fill="CCEEFF"/>
          </w:tcPr>
          <w:p>
            <w:pPr>
              <w:spacing w:after="0" w:line="101" w:lineRule="exact"/>
              <w:rPr>
                <w:sz w:val="20"/>
                <w:szCs w:val="20"/>
                <w:color w:val="auto"/>
              </w:rPr>
            </w:pPr>
            <w:r>
              <w:rPr>
                <w:rFonts w:ascii="Arial" w:cs="Arial" w:eastAsia="Arial" w:hAnsi="Arial"/>
                <w:sz w:val="11"/>
                <w:szCs w:val="11"/>
                <w:color w:val="auto"/>
              </w:rPr>
              <w:t>M/C Acquisition Corp., L.L.C. (d,</w:t>
            </w:r>
          </w:p>
        </w:tc>
        <w:tc>
          <w:tcPr>
            <w:tcW w:w="1260" w:type="dxa"/>
            <w:vAlign w:val="bottom"/>
            <w:tcBorders>
              <w:top w:val="single" w:sz="8" w:color="CCEEFF"/>
              <w:right w:val="single" w:sz="8" w:color="CCEEFF"/>
            </w:tcBorders>
            <w:shd w:val="clear" w:color="auto" w:fill="CCEEFF"/>
          </w:tcPr>
          <w:p>
            <w:pPr>
              <w:spacing w:after="0" w:line="101" w:lineRule="exact"/>
              <w:rPr>
                <w:sz w:val="20"/>
                <w:szCs w:val="20"/>
                <w:color w:val="auto"/>
              </w:rPr>
            </w:pPr>
            <w:r>
              <w:rPr>
                <w:rFonts w:ascii="Arial" w:cs="Arial" w:eastAsia="Arial" w:hAnsi="Arial"/>
                <w:sz w:val="11"/>
                <w:szCs w:val="11"/>
                <w:color w:val="auto"/>
              </w:rPr>
              <w:t>Education</w:t>
            </w:r>
          </w:p>
        </w:tc>
        <w:tc>
          <w:tcPr>
            <w:tcW w:w="140" w:type="dxa"/>
            <w:vAlign w:val="bottom"/>
            <w:tcBorders>
              <w:top w:val="single" w:sz="8" w:color="CCEEFF"/>
            </w:tcBorders>
            <w:shd w:val="clear" w:color="auto" w:fill="CCEEFF"/>
          </w:tcPr>
          <w:p>
            <w:pPr>
              <w:spacing w:after="0"/>
              <w:rPr>
                <w:sz w:val="8"/>
                <w:szCs w:val="8"/>
                <w:color w:val="auto"/>
              </w:rPr>
            </w:pPr>
          </w:p>
        </w:tc>
        <w:tc>
          <w:tcPr>
            <w:tcW w:w="3440" w:type="dxa"/>
            <w:vAlign w:val="bottom"/>
            <w:tcBorders>
              <w:top w:val="single" w:sz="8" w:color="CCEEFF"/>
              <w:right w:val="single" w:sz="8" w:color="CCEEFF"/>
            </w:tcBorders>
            <w:gridSpan w:val="3"/>
            <w:shd w:val="clear" w:color="auto" w:fill="CCEEFF"/>
          </w:tcPr>
          <w:p>
            <w:pPr>
              <w:ind w:left="40"/>
              <w:spacing w:after="0" w:line="101" w:lineRule="exact"/>
              <w:rPr>
                <w:sz w:val="20"/>
                <w:szCs w:val="20"/>
                <w:color w:val="auto"/>
              </w:rPr>
            </w:pPr>
            <w:r>
              <w:rPr>
                <w:rFonts w:ascii="Arial" w:cs="Arial" w:eastAsia="Arial" w:hAnsi="Arial"/>
                <w:sz w:val="11"/>
                <w:szCs w:val="11"/>
                <w:color w:val="auto"/>
              </w:rPr>
              <w:t>Class A Common Stock</w:t>
            </w: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lef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shd w:val="clear" w:color="auto" w:fill="CCEEFF"/>
          </w:tcPr>
          <w:p>
            <w:pPr>
              <w:ind w:left="160"/>
              <w:spacing w:after="0"/>
              <w:rPr>
                <w:sz w:val="20"/>
                <w:szCs w:val="20"/>
                <w:color w:val="auto"/>
              </w:rPr>
            </w:pPr>
            <w:r>
              <w:rPr>
                <w:rFonts w:ascii="Arial" w:cs="Arial" w:eastAsia="Arial" w:hAnsi="Arial"/>
                <w:sz w:val="13"/>
                <w:szCs w:val="13"/>
                <w:color w:val="auto"/>
              </w:rPr>
              <w:t>g)</w:t>
            </w:r>
          </w:p>
        </w:tc>
        <w:tc>
          <w:tcPr>
            <w:tcW w:w="1260" w:type="dxa"/>
            <w:vAlign w:val="bottom"/>
            <w:tcBorders>
              <w:right w:val="single" w:sz="8" w:color="CCEEFF"/>
            </w:tcBorders>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200" w:type="dxa"/>
            <w:vAlign w:val="bottom"/>
            <w:shd w:val="clear" w:color="auto" w:fill="CCEEFF"/>
          </w:tcPr>
          <w:p>
            <w:pPr>
              <w:spacing w:after="0"/>
              <w:rPr>
                <w:sz w:val="12"/>
                <w:szCs w:val="12"/>
                <w:color w:val="auto"/>
              </w:rPr>
            </w:pPr>
          </w:p>
        </w:tc>
        <w:tc>
          <w:tcPr>
            <w:tcW w:w="200" w:type="dxa"/>
            <w:vAlign w:val="bottom"/>
            <w:tcBorders>
              <w:right w:val="single" w:sz="8" w:color="CCEEFF"/>
            </w:tcBorders>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544,761</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30,241</w:t>
            </w:r>
          </w:p>
        </w:tc>
        <w:tc>
          <w:tcPr>
            <w:tcW w:w="80" w:type="dxa"/>
            <w:vAlign w:val="bottom"/>
            <w:shd w:val="clear" w:color="auto" w:fill="CCEEFF"/>
          </w:tcPr>
          <w:p>
            <w:pPr>
              <w:spacing w:after="0"/>
              <w:rPr>
                <w:sz w:val="12"/>
                <w:szCs w:val="12"/>
                <w:color w:val="auto"/>
              </w:rPr>
            </w:pPr>
          </w:p>
        </w:tc>
        <w:tc>
          <w:tcPr>
            <w:tcW w:w="1100" w:type="dxa"/>
            <w:vAlign w:val="bottom"/>
            <w:tcBorders>
              <w:right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80" w:type="dxa"/>
            <w:vAlign w:val="bottom"/>
            <w:gridSpan w:val="3"/>
          </w:tcPr>
          <w:p>
            <w:pPr>
              <w:jc w:val="right"/>
              <w:ind w:right="837"/>
              <w:spacing w:after="0"/>
              <w:rPr>
                <w:sz w:val="20"/>
                <w:szCs w:val="20"/>
                <w:color w:val="auto"/>
              </w:rPr>
            </w:pPr>
            <w:r>
              <w:rPr>
                <w:rFonts w:ascii="Arial" w:cs="Arial" w:eastAsia="Arial" w:hAnsi="Arial"/>
                <w:sz w:val="18"/>
                <w:szCs w:val="18"/>
                <w:color w:val="auto"/>
              </w:rPr>
              <w:t>5</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740" w:type="dxa"/>
            <w:vAlign w:val="bottom"/>
            <w:tcBorders>
              <w:bottom w:val="single" w:sz="8" w:color="010101"/>
            </w:tcBorders>
            <w:gridSpan w:val="2"/>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32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6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0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20" w:type="dxa"/>
            <w:vAlign w:val="bottom"/>
            <w:gridSpan w:val="4"/>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8"/>
              </w:rPr>
              <w:t>Principal/</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20" w:type="dxa"/>
            <w:vAlign w:val="bottom"/>
            <w:gridSpan w:val="4"/>
          </w:tcPr>
          <w:p>
            <w:pPr>
              <w:spacing w:after="0"/>
              <w:rPr>
                <w:sz w:val="20"/>
                <w:szCs w:val="20"/>
                <w:color w:val="auto"/>
              </w:rPr>
            </w:pPr>
            <w:r>
              <w:rPr>
                <w:rFonts w:ascii="Arial" w:cs="Arial" w:eastAsia="Arial" w:hAnsi="Arial"/>
                <w:sz w:val="13"/>
                <w:szCs w:val="13"/>
                <w:b w:val="1"/>
                <w:bCs w:val="1"/>
                <w:color w:val="auto"/>
              </w:rPr>
              <w:t>Company (a)</w:t>
            </w:r>
          </w:p>
        </w:tc>
        <w:tc>
          <w:tcPr>
            <w:tcW w:w="1260" w:type="dxa"/>
            <w:vAlign w:val="bottom"/>
          </w:tcPr>
          <w:p>
            <w:pPr>
              <w:ind w:left="380"/>
              <w:spacing w:after="0"/>
              <w:rPr>
                <w:sz w:val="20"/>
                <w:szCs w:val="20"/>
                <w:color w:val="auto"/>
              </w:rPr>
            </w:pPr>
            <w:r>
              <w:rPr>
                <w:rFonts w:ascii="Arial" w:cs="Arial" w:eastAsia="Arial" w:hAnsi="Arial"/>
                <w:sz w:val="13"/>
                <w:szCs w:val="13"/>
                <w:b w:val="1"/>
                <w:bCs w:val="1"/>
                <w:color w:val="auto"/>
              </w:rPr>
              <w:t>Industry</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0" w:type="dxa"/>
            <w:vAlign w:val="bottom"/>
            <w:gridSpan w:val="2"/>
          </w:tcPr>
          <w:p>
            <w:pPr>
              <w:jc w:val="right"/>
              <w:ind w:right="880"/>
              <w:spacing w:after="0"/>
              <w:rPr>
                <w:sz w:val="20"/>
                <w:szCs w:val="20"/>
                <w:color w:val="auto"/>
              </w:rPr>
            </w:pPr>
            <w:r>
              <w:rPr>
                <w:rFonts w:ascii="Arial" w:cs="Arial" w:eastAsia="Arial" w:hAnsi="Arial"/>
                <w:sz w:val="13"/>
                <w:szCs w:val="13"/>
                <w:b w:val="1"/>
                <w:bCs w:val="1"/>
                <w:color w:val="auto"/>
              </w:rPr>
              <w:t>Investment Interest Rate / Maturity</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4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87"/>
              </w:rPr>
              <w:t>Number of Shares</w:t>
            </w:r>
          </w:p>
        </w:tc>
        <w:tc>
          <w:tcPr>
            <w:tcW w:w="180" w:type="dxa"/>
            <w:vAlign w:val="bottom"/>
          </w:tcPr>
          <w:p>
            <w:pPr>
              <w:spacing w:after="0"/>
              <w:rPr>
                <w:sz w:val="13"/>
                <w:szCs w:val="13"/>
                <w:color w:val="auto"/>
              </w:rPr>
            </w:pPr>
          </w:p>
        </w:tc>
        <w:tc>
          <w:tcPr>
            <w:tcW w:w="880" w:type="dxa"/>
            <w:vAlign w:val="bottom"/>
            <w:gridSpan w:val="3"/>
          </w:tcPr>
          <w:p>
            <w:pPr>
              <w:ind w:left="12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100" w:type="dxa"/>
            <w:vAlign w:val="bottom"/>
            <w:gridSpan w:val="3"/>
          </w:tcPr>
          <w:p>
            <w:pPr>
              <w:ind w:left="40"/>
              <w:spacing w:after="0"/>
              <w:rPr>
                <w:sz w:val="20"/>
                <w:szCs w:val="20"/>
                <w:color w:val="auto"/>
              </w:rPr>
            </w:pPr>
            <w:r>
              <w:rPr>
                <w:rFonts w:ascii="Arial" w:cs="Arial" w:eastAsia="Arial" w:hAnsi="Arial"/>
                <w:sz w:val="13"/>
                <w:szCs w:val="13"/>
                <w:b w:val="1"/>
                <w:bCs w:val="1"/>
                <w:color w:val="auto"/>
              </w:rPr>
              <w:t>Fair Value (c)</w:t>
            </w:r>
          </w:p>
        </w:tc>
        <w:tc>
          <w:tcPr>
            <w:tcW w:w="780" w:type="dxa"/>
            <w:vAlign w:val="bottom"/>
            <w:gridSpan w:val="2"/>
          </w:tcPr>
          <w:p>
            <w:pPr>
              <w:jc w:val="right"/>
              <w:ind w:right="200"/>
              <w:spacing w:after="0"/>
              <w:rPr>
                <w:sz w:val="20"/>
                <w:szCs w:val="20"/>
                <w:color w:val="auto"/>
              </w:rPr>
            </w:pPr>
            <w:r>
              <w:rPr>
                <w:rFonts w:ascii="Arial" w:cs="Arial" w:eastAsia="Arial" w:hAnsi="Arial"/>
                <w:sz w:val="13"/>
                <w:szCs w:val="13"/>
                <w:b w:val="1"/>
                <w:bCs w:val="1"/>
                <w:color w:val="auto"/>
                <w:w w:val="83"/>
              </w:rPr>
              <w:t>Net Assets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3440" w:type="dxa"/>
            <w:vAlign w:val="bottom"/>
            <w:tcBorders>
              <w:right w:val="single" w:sz="8" w:color="CCEEFF"/>
            </w:tcBorders>
            <w:gridSpan w:val="3"/>
            <w:shd w:val="clear" w:color="auto" w:fill="000000"/>
          </w:tcPr>
          <w:p>
            <w:pPr>
              <w:spacing w:after="0" w:line="20" w:lineRule="exact"/>
              <w:rPr>
                <w:sz w:val="1"/>
                <w:szCs w:val="1"/>
                <w:color w:val="auto"/>
              </w:rPr>
            </w:pPr>
          </w:p>
        </w:tc>
        <w:tc>
          <w:tcPr>
            <w:tcW w:w="80" w:type="dxa"/>
            <w:vAlign w:val="bottom"/>
            <w:gridSpan w:val="2"/>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82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6"/>
              </w:rPr>
              <w:t>M/C Acquisition Corp., L.L.C. (d)</w:t>
            </w:r>
          </w:p>
        </w:tc>
        <w:tc>
          <w:tcPr>
            <w:tcW w:w="180" w:type="dxa"/>
            <w:vAlign w:val="bottom"/>
            <w:vMerge w:val="continue"/>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line="129" w:lineRule="exact"/>
              <w:rPr>
                <w:sz w:val="20"/>
                <w:szCs w:val="20"/>
                <w:color w:val="auto"/>
              </w:rPr>
            </w:pPr>
            <w:r>
              <w:rPr>
                <w:rFonts w:ascii="Arial" w:cs="Arial" w:eastAsia="Arial" w:hAnsi="Arial"/>
                <w:sz w:val="13"/>
                <w:szCs w:val="13"/>
                <w:color w:val="auto"/>
              </w:rPr>
              <w:t>Education</w:t>
            </w:r>
          </w:p>
        </w:tc>
        <w:tc>
          <w:tcPr>
            <w:tcW w:w="140" w:type="dxa"/>
            <w:vAlign w:val="bottom"/>
            <w:vMerge w:val="continue"/>
            <w:shd w:val="clear" w:color="auto" w:fill="CCEEFF"/>
          </w:tcPr>
          <w:p>
            <w:pPr>
              <w:spacing w:after="0"/>
              <w:rPr>
                <w:sz w:val="11"/>
                <w:szCs w:val="11"/>
                <w:color w:val="auto"/>
              </w:rPr>
            </w:pPr>
          </w:p>
        </w:tc>
        <w:tc>
          <w:tcPr>
            <w:tcW w:w="3440" w:type="dxa"/>
            <w:vAlign w:val="bottom"/>
            <w:tcBorders>
              <w:right w:val="single" w:sz="8" w:color="CCEEFF"/>
            </w:tcBorders>
            <w:gridSpan w:val="3"/>
            <w:shd w:val="clear" w:color="auto" w:fill="CCEEFF"/>
          </w:tcPr>
          <w:p>
            <w:pPr>
              <w:spacing w:after="0" w:line="129" w:lineRule="exact"/>
              <w:rPr>
                <w:sz w:val="20"/>
                <w:szCs w:val="20"/>
                <w:color w:val="auto"/>
              </w:rPr>
            </w:pPr>
            <w:r>
              <w:rPr>
                <w:rFonts w:ascii="Arial" w:cs="Arial" w:eastAsia="Arial" w:hAnsi="Arial"/>
                <w:sz w:val="13"/>
                <w:szCs w:val="13"/>
                <w:color w:val="auto"/>
              </w:rPr>
              <w:t>First Lien Term Loan 1.00% Cash, 3/13/14</w:t>
            </w:r>
          </w:p>
        </w:tc>
        <w:tc>
          <w:tcPr>
            <w:tcW w:w="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2,519,667</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1,365,733</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90,426</w:t>
            </w:r>
          </w:p>
        </w:tc>
        <w:tc>
          <w:tcPr>
            <w:tcW w:w="4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Total Education</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1,395,974</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90,426</w:t>
            </w:r>
          </w:p>
        </w:tc>
        <w:tc>
          <w:tcPr>
            <w:tcW w:w="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00" w:type="dxa"/>
            <w:vAlign w:val="bottom"/>
            <w:tcBorders>
              <w:top w:val="single" w:sz="8" w:color="CCEEFF"/>
            </w:tcBorders>
            <w:gridSpan w:val="3"/>
            <w:shd w:val="clear" w:color="auto" w:fill="CCEEFF"/>
          </w:tcPr>
          <w:p>
            <w:pPr>
              <w:spacing w:after="0" w:line="101" w:lineRule="exact"/>
              <w:rPr>
                <w:sz w:val="20"/>
                <w:szCs w:val="20"/>
                <w:color w:val="auto"/>
              </w:rPr>
            </w:pPr>
            <w:r>
              <w:rPr>
                <w:rFonts w:ascii="Arial" w:cs="Arial" w:eastAsia="Arial" w:hAnsi="Arial"/>
                <w:sz w:val="11"/>
                <w:szCs w:val="11"/>
                <w:color w:val="auto"/>
              </w:rPr>
              <w:t>Group Dekko, Inc. (d)</w:t>
            </w:r>
          </w:p>
        </w:tc>
        <w:tc>
          <w:tcPr>
            <w:tcW w:w="1260" w:type="dxa"/>
            <w:vAlign w:val="bottom"/>
            <w:tcBorders>
              <w:top w:val="single" w:sz="8" w:color="CCEEFF"/>
              <w:right w:val="single" w:sz="8" w:color="CCEEFF"/>
            </w:tcBorders>
            <w:shd w:val="clear" w:color="auto" w:fill="CCEEFF"/>
          </w:tcPr>
          <w:p>
            <w:pPr>
              <w:spacing w:after="0" w:line="101" w:lineRule="exact"/>
              <w:rPr>
                <w:sz w:val="20"/>
                <w:szCs w:val="20"/>
                <w:color w:val="auto"/>
              </w:rPr>
            </w:pPr>
            <w:r>
              <w:rPr>
                <w:rFonts w:ascii="Arial" w:cs="Arial" w:eastAsia="Arial" w:hAnsi="Arial"/>
                <w:sz w:val="11"/>
                <w:szCs w:val="11"/>
                <w:color w:val="auto"/>
              </w:rPr>
              <w:t>Electronics</w:t>
            </w:r>
          </w:p>
        </w:tc>
        <w:tc>
          <w:tcPr>
            <w:tcW w:w="3580" w:type="dxa"/>
            <w:vAlign w:val="bottom"/>
            <w:tcBorders>
              <w:top w:val="single" w:sz="8" w:color="CCEEFF"/>
              <w:right w:val="single" w:sz="8" w:color="CCEEFF"/>
            </w:tcBorders>
            <w:gridSpan w:val="4"/>
            <w:shd w:val="clear" w:color="auto" w:fill="CCEEFF"/>
          </w:tcPr>
          <w:p>
            <w:pPr>
              <w:ind w:left="140"/>
              <w:spacing w:after="0" w:line="101" w:lineRule="exact"/>
              <w:rPr>
                <w:sz w:val="20"/>
                <w:szCs w:val="20"/>
                <w:color w:val="auto"/>
              </w:rPr>
            </w:pPr>
            <w:r>
              <w:rPr>
                <w:rFonts w:ascii="Arial" w:cs="Arial" w:eastAsia="Arial" w:hAnsi="Arial"/>
                <w:sz w:val="11"/>
                <w:szCs w:val="11"/>
                <w:color w:val="auto"/>
              </w:rPr>
              <w:t>Second Lien Term Loan 11.00% (10.00% Cash/1.00% PIK),</w:t>
            </w: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lef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33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5/1/2016</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6,883,558</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6,883,558</w:t>
            </w:r>
          </w:p>
        </w:tc>
        <w:tc>
          <w:tcPr>
            <w:tcW w:w="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w w:val="89"/>
              </w:rPr>
              <w:t>6,752,082</w:t>
            </w: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6.1%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Total Electronics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6,883,558</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400"/>
              <w:spacing w:after="0" w:line="129" w:lineRule="exact"/>
              <w:rPr>
                <w:sz w:val="20"/>
                <w:szCs w:val="20"/>
                <w:color w:val="auto"/>
              </w:rPr>
            </w:pPr>
            <w:r>
              <w:rPr>
                <w:rFonts w:ascii="Arial" w:cs="Arial" w:eastAsia="Arial" w:hAnsi="Arial"/>
                <w:sz w:val="13"/>
                <w:szCs w:val="13"/>
                <w:color w:val="auto"/>
                <w:w w:val="82"/>
              </w:rPr>
              <w:t>6,752,082</w:t>
            </w:r>
          </w:p>
        </w:tc>
        <w:tc>
          <w:tcPr>
            <w:tcW w:w="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6.1%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USS Parent Holding Corp. (d, g)</w:t>
            </w:r>
          </w:p>
        </w:tc>
        <w:tc>
          <w:tcPr>
            <w:tcW w:w="126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3"/>
                <w:szCs w:val="13"/>
                <w:color w:val="auto"/>
              </w:rPr>
              <w:t>Environmental</w:t>
            </w:r>
          </w:p>
        </w:tc>
        <w:tc>
          <w:tcPr>
            <w:tcW w:w="3580" w:type="dxa"/>
            <w:vAlign w:val="bottom"/>
            <w:tcBorders>
              <w:right w:val="single" w:sz="8" w:color="CCEEFF"/>
            </w:tcBorders>
            <w:gridSpan w:val="4"/>
            <w:vMerge w:val="restart"/>
            <w:shd w:val="clear" w:color="auto" w:fill="CCEEFF"/>
          </w:tcPr>
          <w:p>
            <w:pPr>
              <w:ind w:left="140"/>
              <w:spacing w:after="0"/>
              <w:rPr>
                <w:sz w:val="20"/>
                <w:szCs w:val="20"/>
                <w:color w:val="auto"/>
              </w:rPr>
            </w:pPr>
            <w:r>
              <w:rPr>
                <w:rFonts w:ascii="Arial" w:cs="Arial" w:eastAsia="Arial" w:hAnsi="Arial"/>
                <w:sz w:val="13"/>
                <w:szCs w:val="13"/>
                <w:color w:val="auto"/>
              </w:rPr>
              <w:t>Non Voting Common Stock</w:t>
            </w: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3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765</w:t>
            </w: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gridSpan w:val="3"/>
            <w:vMerge w:val="continue"/>
            <w:shd w:val="clear" w:color="auto" w:fill="CCEEFF"/>
          </w:tcPr>
          <w:p>
            <w:pPr>
              <w:spacing w:after="0"/>
              <w:rPr>
                <w:sz w:val="11"/>
                <w:szCs w:val="11"/>
                <w:color w:val="auto"/>
              </w:rPr>
            </w:pPr>
          </w:p>
        </w:tc>
        <w:tc>
          <w:tcPr>
            <w:tcW w:w="1260" w:type="dxa"/>
            <w:vAlign w:val="bottom"/>
            <w:tcBorders>
              <w:right w:val="single" w:sz="8" w:color="CCEEFF"/>
            </w:tcBorders>
            <w:vMerge w:val="continue"/>
            <w:shd w:val="clear" w:color="auto" w:fill="CCEEFF"/>
          </w:tcPr>
          <w:p>
            <w:pPr>
              <w:spacing w:after="0"/>
              <w:rPr>
                <w:sz w:val="11"/>
                <w:szCs w:val="11"/>
                <w:color w:val="auto"/>
              </w:rPr>
            </w:pPr>
          </w:p>
        </w:tc>
        <w:tc>
          <w:tcPr>
            <w:tcW w:w="3580" w:type="dxa"/>
            <w:vAlign w:val="bottom"/>
            <w:tcBorders>
              <w:right w:val="single" w:sz="8" w:color="CCEEFF"/>
            </w:tcBorders>
            <w:gridSpan w:val="4"/>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20" w:type="dxa"/>
            <w:vAlign w:val="bottom"/>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133,002</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192,577</w:t>
            </w:r>
          </w:p>
        </w:tc>
        <w:tc>
          <w:tcPr>
            <w:tcW w:w="4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0.2%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USS Parent Holding Corp. (d, g)</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Environmental</w:t>
            </w:r>
          </w:p>
        </w:tc>
        <w:tc>
          <w:tcPr>
            <w:tcW w:w="35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Voting Common Stock</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17,396</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3,025,798</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400"/>
              <w:spacing w:after="0" w:line="135" w:lineRule="exact"/>
              <w:rPr>
                <w:sz w:val="20"/>
                <w:szCs w:val="20"/>
                <w:color w:val="auto"/>
              </w:rPr>
            </w:pPr>
            <w:r>
              <w:rPr>
                <w:rFonts w:ascii="Arial" w:cs="Arial" w:eastAsia="Arial" w:hAnsi="Arial"/>
                <w:sz w:val="13"/>
                <w:szCs w:val="13"/>
                <w:color w:val="auto"/>
                <w:w w:val="89"/>
              </w:rPr>
              <w:t>4,381,122</w:t>
            </w: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Total Environmental</w:t>
            </w: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0" w:type="dxa"/>
            <w:vAlign w:val="bottom"/>
            <w:tcBorders>
              <w:right w:val="single" w:sz="8" w:color="CCEEFF"/>
            </w:tcBorders>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3,158,800</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ind w:left="400"/>
              <w:spacing w:after="0" w:line="129" w:lineRule="exact"/>
              <w:rPr>
                <w:sz w:val="20"/>
                <w:szCs w:val="20"/>
                <w:color w:val="auto"/>
              </w:rPr>
            </w:pPr>
            <w:r>
              <w:rPr>
                <w:rFonts w:ascii="Arial" w:cs="Arial" w:eastAsia="Arial" w:hAnsi="Arial"/>
                <w:sz w:val="13"/>
                <w:szCs w:val="13"/>
                <w:color w:val="auto"/>
                <w:w w:val="82"/>
              </w:rPr>
              <w:t>4,573,699</w:t>
            </w:r>
          </w:p>
        </w:tc>
        <w:tc>
          <w:tcPr>
            <w:tcW w:w="4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4.1%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3"/>
            <w:vMerge w:val="restart"/>
          </w:tcPr>
          <w:p>
            <w:pPr>
              <w:spacing w:after="0"/>
              <w:rPr>
                <w:sz w:val="20"/>
                <w:szCs w:val="20"/>
                <w:color w:val="auto"/>
              </w:rPr>
            </w:pPr>
            <w:r>
              <w:rPr>
                <w:rFonts w:ascii="Arial" w:cs="Arial" w:eastAsia="Arial" w:hAnsi="Arial"/>
                <w:sz w:val="13"/>
                <w:szCs w:val="13"/>
                <w:color w:val="auto"/>
              </w:rPr>
              <w:t>DS Waters of America, Inc. (d)</w:t>
            </w:r>
          </w:p>
        </w:tc>
        <w:tc>
          <w:tcPr>
            <w:tcW w:w="1260" w:type="dxa"/>
            <w:vAlign w:val="bottom"/>
            <w:vMerge w:val="restart"/>
          </w:tcPr>
          <w:p>
            <w:pPr>
              <w:spacing w:after="0"/>
              <w:rPr>
                <w:sz w:val="20"/>
                <w:szCs w:val="20"/>
                <w:color w:val="auto"/>
              </w:rPr>
            </w:pPr>
            <w:r>
              <w:rPr>
                <w:rFonts w:ascii="Arial" w:cs="Arial" w:eastAsia="Arial" w:hAnsi="Arial"/>
                <w:sz w:val="13"/>
                <w:szCs w:val="13"/>
                <w:color w:val="auto"/>
              </w:rPr>
              <w:t>Food and Beverage</w:t>
            </w:r>
          </w:p>
        </w:tc>
        <w:tc>
          <w:tcPr>
            <w:tcW w:w="3580" w:type="dxa"/>
            <w:vAlign w:val="bottom"/>
            <w:gridSpan w:val="4"/>
            <w:vMerge w:val="restart"/>
          </w:tcPr>
          <w:p>
            <w:pPr>
              <w:ind w:left="140"/>
              <w:spacing w:after="0"/>
              <w:rPr>
                <w:sz w:val="20"/>
                <w:szCs w:val="20"/>
                <w:color w:val="auto"/>
              </w:rPr>
            </w:pPr>
            <w:r>
              <w:rPr>
                <w:rFonts w:ascii="Arial" w:cs="Arial" w:eastAsia="Arial" w:hAnsi="Arial"/>
                <w:sz w:val="13"/>
                <w:szCs w:val="13"/>
                <w:color w:val="auto"/>
              </w:rPr>
              <w:t>First Lien Term Loan 5.25% Cash, 8/30/2020</w:t>
            </w:r>
          </w:p>
        </w:tc>
        <w:tc>
          <w:tcPr>
            <w:tcW w:w="2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2,500,000</w:t>
            </w:r>
          </w:p>
        </w:tc>
        <w:tc>
          <w:tcPr>
            <w:tcW w:w="1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2,475,815</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400"/>
              <w:spacing w:after="0" w:line="129" w:lineRule="exact"/>
              <w:rPr>
                <w:sz w:val="20"/>
                <w:szCs w:val="20"/>
                <w:color w:val="auto"/>
              </w:rPr>
            </w:pPr>
            <w:r>
              <w:rPr>
                <w:rFonts w:ascii="Arial" w:cs="Arial" w:eastAsia="Arial" w:hAnsi="Arial"/>
                <w:sz w:val="13"/>
                <w:szCs w:val="13"/>
                <w:color w:val="auto"/>
                <w:w w:val="82"/>
              </w:rPr>
              <w:t>2,512,500</w:t>
            </w:r>
          </w:p>
        </w:tc>
        <w:tc>
          <w:tcPr>
            <w:tcW w:w="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HOA Restaurant Group, L.L.C. (d)</w:t>
            </w:r>
          </w:p>
        </w:tc>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Food and Beverage</w:t>
            </w:r>
          </w:p>
        </w:tc>
        <w:tc>
          <w:tcPr>
            <w:tcW w:w="3580" w:type="dxa"/>
            <w:vAlign w:val="bottom"/>
            <w:tcBorders>
              <w:right w:val="single" w:sz="8" w:color="CCEEFF"/>
            </w:tcBorders>
            <w:gridSpan w:val="4"/>
            <w:shd w:val="clear" w:color="auto" w:fill="CCEEFF"/>
          </w:tcPr>
          <w:p>
            <w:pPr>
              <w:ind w:left="140"/>
              <w:spacing w:after="0" w:line="135" w:lineRule="exact"/>
              <w:rPr>
                <w:sz w:val="20"/>
                <w:szCs w:val="20"/>
                <w:color w:val="auto"/>
              </w:rPr>
            </w:pPr>
            <w:r>
              <w:rPr>
                <w:rFonts w:ascii="Arial" w:cs="Arial" w:eastAsia="Arial" w:hAnsi="Arial"/>
                <w:sz w:val="13"/>
                <w:szCs w:val="13"/>
                <w:color w:val="auto"/>
              </w:rPr>
              <w:t>Senior Secured Note 11.25% Cash, 4/1/2017</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4,000,000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3,912,548</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w w:val="89"/>
              </w:rPr>
              <w:t>4,220,000</w:t>
            </w: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TB Corp.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Food and Beverage</w:t>
            </w:r>
          </w:p>
        </w:tc>
        <w:tc>
          <w:tcPr>
            <w:tcW w:w="35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First Lien Term Loan 5.75% Cash, 6/19/2018</w:t>
            </w:r>
          </w:p>
        </w:tc>
        <w:tc>
          <w:tcPr>
            <w:tcW w:w="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w:t>
            </w:r>
          </w:p>
        </w:tc>
        <w:tc>
          <w:tcPr>
            <w:tcW w:w="13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5,114,855</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5,093,700</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400"/>
              <w:spacing w:after="0" w:line="135" w:lineRule="exact"/>
              <w:rPr>
                <w:sz w:val="20"/>
                <w:szCs w:val="20"/>
                <w:color w:val="auto"/>
              </w:rPr>
            </w:pPr>
            <w:r>
              <w:rPr>
                <w:rFonts w:ascii="Arial" w:cs="Arial" w:eastAsia="Arial" w:hAnsi="Arial"/>
                <w:sz w:val="13"/>
                <w:szCs w:val="13"/>
                <w:color w:val="auto"/>
                <w:w w:val="89"/>
              </w:rPr>
              <w:t>5,080,585</w:t>
            </w: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4.6%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restart"/>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40" w:type="dxa"/>
            <w:vAlign w:val="bottom"/>
            <w:gridSpan w:val="2"/>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3440" w:type="dxa"/>
            <w:vAlign w:val="bottom"/>
            <w:tcBorders>
              <w:right w:val="single" w:sz="8" w:color="CCEEFF"/>
            </w:tcBorders>
            <w:gridSpan w:val="3"/>
            <w:shd w:val="clear" w:color="auto" w:fill="CCEEFF"/>
          </w:tcPr>
          <w:p>
            <w:pPr>
              <w:spacing w:after="0"/>
              <w:rPr>
                <w:sz w:val="11"/>
                <w:szCs w:val="11"/>
                <w:color w:val="auto"/>
              </w:rPr>
            </w:pPr>
          </w:p>
        </w:tc>
        <w:tc>
          <w:tcPr>
            <w:tcW w:w="80" w:type="dxa"/>
            <w:vAlign w:val="bottom"/>
            <w:gridSpan w:val="2"/>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TB Corp.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Food and Beverage</w:t>
            </w:r>
          </w:p>
        </w:tc>
        <w:tc>
          <w:tcPr>
            <w:tcW w:w="3580" w:type="dxa"/>
            <w:vAlign w:val="bottom"/>
            <w:gridSpan w:val="4"/>
          </w:tcPr>
          <w:p>
            <w:pPr>
              <w:ind w:left="140"/>
              <w:spacing w:after="0" w:line="135" w:lineRule="exact"/>
              <w:rPr>
                <w:sz w:val="20"/>
                <w:szCs w:val="20"/>
                <w:color w:val="auto"/>
              </w:rPr>
            </w:pPr>
            <w:r>
              <w:rPr>
                <w:rFonts w:ascii="Arial" w:cs="Arial" w:eastAsia="Arial" w:hAnsi="Arial"/>
                <w:sz w:val="13"/>
                <w:szCs w:val="13"/>
                <w:color w:val="auto"/>
                <w:w w:val="92"/>
              </w:rPr>
              <w:t>Unsecured Note 13.50% (12.00% Cash/1.50% PIK), 12/20/2018</w:t>
            </w:r>
          </w:p>
        </w:tc>
        <w:tc>
          <w:tcPr>
            <w:tcW w:w="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2,533,219</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2,501,656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400"/>
              <w:spacing w:after="0" w:line="135" w:lineRule="exact"/>
              <w:rPr>
                <w:sz w:val="20"/>
                <w:szCs w:val="20"/>
                <w:color w:val="auto"/>
              </w:rPr>
            </w:pPr>
            <w:r>
              <w:rPr>
                <w:rFonts w:ascii="Arial" w:cs="Arial" w:eastAsia="Arial" w:hAnsi="Arial"/>
                <w:sz w:val="13"/>
                <w:szCs w:val="13"/>
                <w:color w:val="auto"/>
                <w:w w:val="89"/>
              </w:rPr>
              <w:t>2,533,219</w:t>
            </w: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TM Restaurant Group L.L.C. (d)</w:t>
            </w:r>
          </w:p>
        </w:tc>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Food and Beverage</w:t>
            </w:r>
          </w:p>
        </w:tc>
        <w:tc>
          <w:tcPr>
            <w:tcW w:w="3580" w:type="dxa"/>
            <w:vAlign w:val="bottom"/>
            <w:tcBorders>
              <w:right w:val="single" w:sz="8" w:color="CCEEFF"/>
            </w:tcBorders>
            <w:gridSpan w:val="4"/>
            <w:shd w:val="clear" w:color="auto" w:fill="CCEEFF"/>
          </w:tcPr>
          <w:p>
            <w:pPr>
              <w:ind w:left="140"/>
              <w:spacing w:after="0" w:line="135" w:lineRule="exact"/>
              <w:rPr>
                <w:sz w:val="20"/>
                <w:szCs w:val="20"/>
                <w:color w:val="auto"/>
              </w:rPr>
            </w:pPr>
            <w:r>
              <w:rPr>
                <w:rFonts w:ascii="Arial" w:cs="Arial" w:eastAsia="Arial" w:hAnsi="Arial"/>
                <w:sz w:val="13"/>
                <w:szCs w:val="13"/>
                <w:color w:val="auto"/>
              </w:rPr>
              <w:t>First Lien Term Loan 7.75% Cash, 7/16/2017</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2,864,440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2,848,866</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w w:val="89"/>
              </w:rPr>
              <w:t>2,850,118</w:t>
            </w: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2.6%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Total Food and Beverage</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16,832,585</w:t>
            </w:r>
          </w:p>
        </w:tc>
        <w:tc>
          <w:tcPr>
            <w:tcW w:w="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17,196,422</w:t>
            </w:r>
          </w:p>
        </w:tc>
        <w:tc>
          <w:tcPr>
            <w:tcW w:w="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15.5%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00" w:type="dxa"/>
            <w:vAlign w:val="bottom"/>
            <w:tcBorders>
              <w:top w:val="single" w:sz="8" w:color="CCEEFF"/>
            </w:tcBorders>
            <w:gridSpan w:val="3"/>
            <w:shd w:val="clear" w:color="auto" w:fill="CCEEFF"/>
          </w:tcPr>
          <w:p>
            <w:pPr>
              <w:spacing w:after="0" w:line="101" w:lineRule="exact"/>
              <w:rPr>
                <w:sz w:val="20"/>
                <w:szCs w:val="20"/>
                <w:color w:val="auto"/>
              </w:rPr>
            </w:pPr>
            <w:r>
              <w:rPr>
                <w:rFonts w:ascii="Arial" w:cs="Arial" w:eastAsia="Arial" w:hAnsi="Arial"/>
                <w:sz w:val="11"/>
                <w:szCs w:val="11"/>
                <w:color w:val="auto"/>
              </w:rPr>
              <w:t>Bristol Hospice, LLC (d)</w:t>
            </w:r>
          </w:p>
        </w:tc>
        <w:tc>
          <w:tcPr>
            <w:tcW w:w="1260" w:type="dxa"/>
            <w:vAlign w:val="bottom"/>
            <w:tcBorders>
              <w:top w:val="single" w:sz="8" w:color="CCEEFF"/>
              <w:right w:val="single" w:sz="8" w:color="CCEEFF"/>
            </w:tcBorders>
            <w:shd w:val="clear" w:color="auto" w:fill="CCEEFF"/>
          </w:tcPr>
          <w:p>
            <w:pPr>
              <w:spacing w:after="0" w:line="101" w:lineRule="exact"/>
              <w:rPr>
                <w:sz w:val="20"/>
                <w:szCs w:val="20"/>
                <w:color w:val="auto"/>
              </w:rPr>
            </w:pPr>
            <w:r>
              <w:rPr>
                <w:rFonts w:ascii="Arial" w:cs="Arial" w:eastAsia="Arial" w:hAnsi="Arial"/>
                <w:sz w:val="11"/>
                <w:szCs w:val="11"/>
                <w:color w:val="auto"/>
              </w:rPr>
              <w:t>Healthcare Services</w:t>
            </w:r>
          </w:p>
        </w:tc>
        <w:tc>
          <w:tcPr>
            <w:tcW w:w="3580" w:type="dxa"/>
            <w:vAlign w:val="bottom"/>
            <w:tcBorders>
              <w:top w:val="single" w:sz="8" w:color="CCEEFF"/>
              <w:right w:val="single" w:sz="8" w:color="CCEEFF"/>
            </w:tcBorders>
            <w:gridSpan w:val="4"/>
            <w:shd w:val="clear" w:color="auto" w:fill="CCEEFF"/>
          </w:tcPr>
          <w:p>
            <w:pPr>
              <w:ind w:left="140"/>
              <w:spacing w:after="0" w:line="101" w:lineRule="exact"/>
              <w:rPr>
                <w:sz w:val="20"/>
                <w:szCs w:val="20"/>
                <w:color w:val="auto"/>
              </w:rPr>
            </w:pPr>
            <w:r>
              <w:rPr>
                <w:rFonts w:ascii="Arial" w:cs="Arial" w:eastAsia="Arial" w:hAnsi="Arial"/>
                <w:sz w:val="11"/>
                <w:szCs w:val="11"/>
                <w:color w:val="auto"/>
              </w:rPr>
              <w:t>First Lien Term Loan 11.00%(10.00% Cash/1.00% PIK),</w:t>
            </w:r>
          </w:p>
        </w:tc>
        <w:tc>
          <w:tcPr>
            <w:tcW w:w="20" w:type="dxa"/>
            <w:vAlign w:val="bottom"/>
            <w:tcBorders>
              <w:top w:val="single" w:sz="8" w:color="CCEEFF"/>
            </w:tcBorders>
            <w:shd w:val="clear" w:color="auto" w:fill="CCEEFF"/>
          </w:tcPr>
          <w:p>
            <w:pPr>
              <w:spacing w:after="0"/>
              <w:rPr>
                <w:sz w:val="8"/>
                <w:szCs w:val="8"/>
                <w:color w:val="auto"/>
              </w:rPr>
            </w:pPr>
          </w:p>
        </w:tc>
        <w:tc>
          <w:tcPr>
            <w:tcW w:w="60" w:type="dxa"/>
            <w:vAlign w:val="bottom"/>
            <w:tcBorders>
              <w:top w:val="single" w:sz="8" w:color="CCEEFF"/>
            </w:tcBorders>
            <w:shd w:val="clear" w:color="auto" w:fill="CCEEFF"/>
          </w:tcPr>
          <w:p>
            <w:pPr>
              <w:spacing w:after="0"/>
              <w:rPr>
                <w:sz w:val="8"/>
                <w:szCs w:val="8"/>
                <w:color w:val="auto"/>
              </w:rPr>
            </w:pPr>
          </w:p>
        </w:tc>
        <w:tc>
          <w:tcPr>
            <w:tcW w:w="120" w:type="dxa"/>
            <w:vAlign w:val="bottom"/>
            <w:tcBorders>
              <w:top w:val="single" w:sz="8" w:color="CCEEFF"/>
            </w:tcBorders>
            <w:shd w:val="clear" w:color="auto" w:fill="CCEEFF"/>
          </w:tcPr>
          <w:p>
            <w:pPr>
              <w:spacing w:after="0"/>
              <w:rPr>
                <w:sz w:val="8"/>
                <w:szCs w:val="8"/>
                <w:color w:val="auto"/>
              </w:rPr>
            </w:pPr>
          </w:p>
        </w:tc>
        <w:tc>
          <w:tcPr>
            <w:tcW w:w="116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20" w:type="dxa"/>
            <w:vAlign w:val="bottom"/>
            <w:tcBorders>
              <w:top w:val="single" w:sz="8" w:color="auto"/>
            </w:tcBorders>
            <w:shd w:val="clear" w:color="auto" w:fill="CCEEFF"/>
          </w:tcPr>
          <w:p>
            <w:pPr>
              <w:spacing w:after="0"/>
              <w:rPr>
                <w:sz w:val="8"/>
                <w:szCs w:val="8"/>
                <w:color w:val="auto"/>
              </w:rPr>
            </w:pPr>
          </w:p>
        </w:tc>
        <w:tc>
          <w:tcPr>
            <w:tcW w:w="180" w:type="dxa"/>
            <w:vAlign w:val="bottom"/>
            <w:tcBorders>
              <w:top w:val="single" w:sz="8" w:color="auto"/>
            </w:tcBorders>
            <w:shd w:val="clear" w:color="auto" w:fill="CCEEFF"/>
          </w:tcPr>
          <w:p>
            <w:pPr>
              <w:spacing w:after="0"/>
              <w:rPr>
                <w:sz w:val="8"/>
                <w:szCs w:val="8"/>
                <w:color w:val="auto"/>
              </w:rPr>
            </w:pPr>
          </w:p>
        </w:tc>
        <w:tc>
          <w:tcPr>
            <w:tcW w:w="700" w:type="dxa"/>
            <w:vAlign w:val="bottom"/>
            <w:tcBorders>
              <w:top w:val="single" w:sz="8" w:color="auto"/>
            </w:tcBorders>
            <w:shd w:val="clear" w:color="auto" w:fill="CCEEFF"/>
          </w:tcPr>
          <w:p>
            <w:pPr>
              <w:spacing w:after="0"/>
              <w:rPr>
                <w:sz w:val="8"/>
                <w:szCs w:val="8"/>
                <w:color w:val="auto"/>
              </w:rPr>
            </w:pPr>
          </w:p>
        </w:tc>
        <w:tc>
          <w:tcPr>
            <w:tcW w:w="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80" w:type="dxa"/>
            <w:vAlign w:val="bottom"/>
            <w:tcBorders>
              <w:top w:val="single" w:sz="8" w:color="auto"/>
            </w:tcBorders>
            <w:shd w:val="clear" w:color="auto" w:fill="CCEEFF"/>
          </w:tcPr>
          <w:p>
            <w:pPr>
              <w:spacing w:after="0"/>
              <w:rPr>
                <w:sz w:val="8"/>
                <w:szCs w:val="8"/>
                <w:color w:val="auto"/>
              </w:rPr>
            </w:pPr>
          </w:p>
        </w:tc>
        <w:tc>
          <w:tcPr>
            <w:tcW w:w="900" w:type="dxa"/>
            <w:vAlign w:val="bottom"/>
            <w:tcBorders>
              <w:top w:val="single" w:sz="8" w:color="auto"/>
            </w:tcBorders>
            <w:shd w:val="clear" w:color="auto" w:fill="CCEEFF"/>
          </w:tcPr>
          <w:p>
            <w:pPr>
              <w:spacing w:after="0"/>
              <w:rPr>
                <w:sz w:val="8"/>
                <w:szCs w:val="8"/>
                <w:color w:val="auto"/>
              </w:rPr>
            </w:pPr>
          </w:p>
        </w:tc>
        <w:tc>
          <w:tcPr>
            <w:tcW w:w="4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CCEEFF"/>
              <w:right w:val="single" w:sz="8" w:color="CCEEFF"/>
            </w:tcBorders>
            <w:shd w:val="clear" w:color="auto" w:fill="CCEEFF"/>
          </w:tcPr>
          <w:p>
            <w:pPr>
              <w:spacing w:after="0"/>
              <w:rPr>
                <w:sz w:val="8"/>
                <w:szCs w:val="8"/>
                <w:color w:val="auto"/>
              </w:rPr>
            </w:pPr>
          </w:p>
        </w:tc>
        <w:tc>
          <w:tcPr>
            <w:tcW w:w="64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left w:val="single" w:sz="8" w:color="CCEEFF"/>
            </w:tcBorders>
            <w:shd w:val="clear" w:color="auto" w:fill="CCEEFF"/>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tcBorders>
              <w:right w:val="single" w:sz="8" w:color="CCEEFF"/>
            </w:tcBorders>
            <w:shd w:val="clear" w:color="auto" w:fill="CCEEFF"/>
          </w:tcPr>
          <w:p>
            <w:pPr>
              <w:spacing w:after="0"/>
              <w:rPr>
                <w:sz w:val="12"/>
                <w:szCs w:val="12"/>
                <w:color w:val="auto"/>
              </w:rPr>
            </w:pPr>
          </w:p>
        </w:tc>
        <w:tc>
          <w:tcPr>
            <w:tcW w:w="3380" w:type="dxa"/>
            <w:vAlign w:val="bottom"/>
            <w:gridSpan w:val="3"/>
            <w:shd w:val="clear" w:color="auto" w:fill="CCEEFF"/>
          </w:tcPr>
          <w:p>
            <w:pPr>
              <w:ind w:left="140"/>
              <w:spacing w:after="0"/>
              <w:rPr>
                <w:sz w:val="20"/>
                <w:szCs w:val="20"/>
                <w:color w:val="auto"/>
              </w:rPr>
            </w:pPr>
            <w:r>
              <w:rPr>
                <w:rFonts w:ascii="Arial" w:cs="Arial" w:eastAsia="Arial" w:hAnsi="Arial"/>
                <w:sz w:val="13"/>
                <w:szCs w:val="13"/>
                <w:color w:val="auto"/>
              </w:rPr>
              <w:t>11/29/2018</w:t>
            </w:r>
          </w:p>
        </w:tc>
        <w:tc>
          <w:tcPr>
            <w:tcW w:w="200" w:type="dxa"/>
            <w:vAlign w:val="bottom"/>
            <w:tcBorders>
              <w:right w:val="single" w:sz="8" w:color="CCEEFF"/>
            </w:tcBorders>
            <w:shd w:val="clear" w:color="auto" w:fill="CCEEFF"/>
          </w:tcPr>
          <w:p>
            <w:pPr>
              <w:spacing w:after="0"/>
              <w:rPr>
                <w:sz w:val="12"/>
                <w:szCs w:val="12"/>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5,500,000</w:t>
            </w:r>
          </w:p>
        </w:tc>
        <w:tc>
          <w:tcPr>
            <w:tcW w:w="1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5,390,120</w:t>
            </w:r>
          </w:p>
        </w:tc>
        <w:tc>
          <w:tcPr>
            <w:tcW w:w="2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ind w:left="400"/>
              <w:spacing w:after="0"/>
              <w:rPr>
                <w:sz w:val="20"/>
                <w:szCs w:val="20"/>
                <w:color w:val="auto"/>
              </w:rPr>
            </w:pPr>
            <w:r>
              <w:rPr>
                <w:rFonts w:ascii="Arial" w:cs="Arial" w:eastAsia="Arial" w:hAnsi="Arial"/>
                <w:sz w:val="13"/>
                <w:szCs w:val="13"/>
                <w:color w:val="auto"/>
                <w:w w:val="89"/>
              </w:rPr>
              <w:t>5,500,000</w:t>
            </w:r>
          </w:p>
        </w:tc>
        <w:tc>
          <w:tcPr>
            <w:tcW w:w="160" w:type="dxa"/>
            <w:vAlign w:val="bottom"/>
            <w:tcBorders>
              <w:right w:val="single" w:sz="8" w:color="CCEEFF"/>
            </w:tcBorders>
            <w:shd w:val="clear" w:color="auto" w:fill="CCEEFF"/>
          </w:tcPr>
          <w:p>
            <w:pPr>
              <w:spacing w:after="0"/>
              <w:rPr>
                <w:sz w:val="12"/>
                <w:szCs w:val="12"/>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Oceans Acquisition, Inc.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Healthcare Services</w:t>
            </w:r>
          </w:p>
        </w:tc>
        <w:tc>
          <w:tcPr>
            <w:tcW w:w="35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First Lien Term Loan 10.75% Cash, 12/27/2017</w:t>
            </w:r>
          </w:p>
        </w:tc>
        <w:tc>
          <w:tcPr>
            <w:tcW w:w="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6,500,000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6,391,338</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ind w:left="400"/>
              <w:spacing w:after="0" w:line="135" w:lineRule="exact"/>
              <w:rPr>
                <w:sz w:val="20"/>
                <w:szCs w:val="20"/>
                <w:color w:val="auto"/>
              </w:rPr>
            </w:pPr>
            <w:r>
              <w:rPr>
                <w:rFonts w:ascii="Arial" w:cs="Arial" w:eastAsia="Arial" w:hAnsi="Arial"/>
                <w:sz w:val="13"/>
                <w:szCs w:val="13"/>
                <w:color w:val="auto"/>
                <w:w w:val="89"/>
              </w:rPr>
              <w:t>6,500,000</w:t>
            </w: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Smile Brands Group Inc. (d)</w:t>
            </w:r>
          </w:p>
        </w:tc>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Healthcare Services</w:t>
            </w:r>
          </w:p>
        </w:tc>
        <w:tc>
          <w:tcPr>
            <w:tcW w:w="3580" w:type="dxa"/>
            <w:vAlign w:val="bottom"/>
            <w:tcBorders>
              <w:right w:val="single" w:sz="8" w:color="CCEEFF"/>
            </w:tcBorders>
            <w:gridSpan w:val="4"/>
            <w:shd w:val="clear" w:color="auto" w:fill="CCEEFF"/>
          </w:tcPr>
          <w:p>
            <w:pPr>
              <w:ind w:left="140"/>
              <w:spacing w:after="0" w:line="135" w:lineRule="exact"/>
              <w:rPr>
                <w:sz w:val="20"/>
                <w:szCs w:val="20"/>
                <w:color w:val="auto"/>
              </w:rPr>
            </w:pPr>
            <w:r>
              <w:rPr>
                <w:rFonts w:ascii="Arial" w:cs="Arial" w:eastAsia="Arial" w:hAnsi="Arial"/>
                <w:sz w:val="13"/>
                <w:szCs w:val="13"/>
                <w:color w:val="auto"/>
              </w:rPr>
              <w:t>First Lien Term Loan 7.50% Cash, 8/16/2019</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4,500,000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4,413,884</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w w:val="89"/>
              </w:rPr>
              <w:t>4,421,250</w:t>
            </w: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00" w:type="dxa"/>
            <w:vAlign w:val="bottom"/>
            <w:gridSpan w:val="3"/>
          </w:tcPr>
          <w:p>
            <w:pPr>
              <w:spacing w:after="0" w:line="121" w:lineRule="exact"/>
              <w:rPr>
                <w:sz w:val="20"/>
                <w:szCs w:val="20"/>
                <w:color w:val="auto"/>
              </w:rPr>
            </w:pPr>
            <w:r>
              <w:rPr>
                <w:rFonts w:ascii="Arial" w:cs="Arial" w:eastAsia="Arial" w:hAnsi="Arial"/>
                <w:sz w:val="13"/>
                <w:szCs w:val="13"/>
                <w:color w:val="auto"/>
              </w:rPr>
              <w:t>Surgical Specialties Corporation</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Healthcare Services</w:t>
            </w:r>
          </w:p>
        </w:tc>
        <w:tc>
          <w:tcPr>
            <w:tcW w:w="3580" w:type="dxa"/>
            <w:vAlign w:val="bottom"/>
            <w:gridSpan w:val="4"/>
          </w:tcPr>
          <w:p>
            <w:pPr>
              <w:ind w:left="140"/>
              <w:spacing w:after="0" w:line="121" w:lineRule="exact"/>
              <w:rPr>
                <w:sz w:val="20"/>
                <w:szCs w:val="20"/>
                <w:color w:val="auto"/>
              </w:rPr>
            </w:pPr>
            <w:r>
              <w:rPr>
                <w:rFonts w:ascii="Arial" w:cs="Arial" w:eastAsia="Arial" w:hAnsi="Arial"/>
                <w:sz w:val="13"/>
                <w:szCs w:val="13"/>
                <w:color w:val="auto"/>
              </w:rPr>
              <w:t>First Lien Term Loan 7.25% Cash, 8/22/2018</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ind w:left="160"/>
              <w:spacing w:after="0"/>
              <w:rPr>
                <w:sz w:val="20"/>
                <w:szCs w:val="20"/>
                <w:color w:val="auto"/>
              </w:rPr>
            </w:pPr>
            <w:r>
              <w:rPr>
                <w:rFonts w:ascii="Arial" w:cs="Arial" w:eastAsia="Arial" w:hAnsi="Arial"/>
                <w:sz w:val="13"/>
                <w:szCs w:val="13"/>
                <w:color w:val="auto"/>
              </w:rPr>
              <w:t>(US), Inc. (d)</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2,468,750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2,445,338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400"/>
              <w:spacing w:after="0"/>
              <w:rPr>
                <w:sz w:val="20"/>
                <w:szCs w:val="20"/>
                <w:color w:val="auto"/>
              </w:rPr>
            </w:pPr>
            <w:r>
              <w:rPr>
                <w:rFonts w:ascii="Arial" w:cs="Arial" w:eastAsia="Arial" w:hAnsi="Arial"/>
                <w:sz w:val="13"/>
                <w:szCs w:val="13"/>
                <w:color w:val="auto"/>
                <w:w w:val="89"/>
              </w:rPr>
              <w:t>2,474,922</w:t>
            </w:r>
          </w:p>
        </w:tc>
        <w:tc>
          <w:tcPr>
            <w:tcW w:w="16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2.2%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0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Zest Holdings, LLC (d)</w:t>
            </w:r>
          </w:p>
        </w:tc>
        <w:tc>
          <w:tcPr>
            <w:tcW w:w="1260" w:type="dxa"/>
            <w:vAlign w:val="bottom"/>
            <w:tcBorders>
              <w:right w:val="single" w:sz="8" w:color="CCEEFF"/>
            </w:tcBorders>
            <w:shd w:val="clear" w:color="auto" w:fill="CCEEFF"/>
          </w:tcPr>
          <w:p>
            <w:pPr>
              <w:spacing w:after="0" w:line="135" w:lineRule="exact"/>
              <w:rPr>
                <w:sz w:val="20"/>
                <w:szCs w:val="20"/>
                <w:color w:val="auto"/>
              </w:rPr>
            </w:pPr>
            <w:r>
              <w:rPr>
                <w:rFonts w:ascii="Arial" w:cs="Arial" w:eastAsia="Arial" w:hAnsi="Arial"/>
                <w:sz w:val="13"/>
                <w:szCs w:val="13"/>
                <w:color w:val="auto"/>
              </w:rPr>
              <w:t>Healthcare Services</w:t>
            </w:r>
          </w:p>
        </w:tc>
        <w:tc>
          <w:tcPr>
            <w:tcW w:w="3580" w:type="dxa"/>
            <w:vAlign w:val="bottom"/>
            <w:tcBorders>
              <w:right w:val="single" w:sz="8" w:color="CCEEFF"/>
            </w:tcBorders>
            <w:gridSpan w:val="4"/>
            <w:shd w:val="clear" w:color="auto" w:fill="CCEEFF"/>
          </w:tcPr>
          <w:p>
            <w:pPr>
              <w:ind w:left="140"/>
              <w:spacing w:after="0" w:line="135" w:lineRule="exact"/>
              <w:rPr>
                <w:sz w:val="20"/>
                <w:szCs w:val="20"/>
                <w:color w:val="auto"/>
              </w:rPr>
            </w:pPr>
            <w:r>
              <w:rPr>
                <w:rFonts w:ascii="Arial" w:cs="Arial" w:eastAsia="Arial" w:hAnsi="Arial"/>
                <w:sz w:val="13"/>
                <w:szCs w:val="13"/>
                <w:color w:val="auto"/>
              </w:rPr>
              <w:t>First Lien Term Loan 6.50% Cash, 8/16/2020</w:t>
            </w:r>
          </w:p>
        </w:tc>
        <w:tc>
          <w:tcPr>
            <w:tcW w:w="200" w:type="dxa"/>
            <w:vAlign w:val="bottom"/>
            <w:gridSpan w:val="3"/>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c>
          <w:tcPr>
            <w:tcW w:w="11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4,500,000</w:t>
            </w: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4,412,915</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40" w:type="dxa"/>
            <w:vAlign w:val="bottom"/>
            <w:gridSpan w:val="2"/>
            <w:shd w:val="clear" w:color="auto" w:fill="CCEEFF"/>
          </w:tcPr>
          <w:p>
            <w:pPr>
              <w:ind w:left="400"/>
              <w:spacing w:after="0" w:line="135" w:lineRule="exact"/>
              <w:rPr>
                <w:sz w:val="20"/>
                <w:szCs w:val="20"/>
                <w:color w:val="auto"/>
              </w:rPr>
            </w:pPr>
            <w:r>
              <w:rPr>
                <w:rFonts w:ascii="Arial" w:cs="Arial" w:eastAsia="Arial" w:hAnsi="Arial"/>
                <w:sz w:val="13"/>
                <w:szCs w:val="13"/>
                <w:color w:val="auto"/>
                <w:w w:val="89"/>
              </w:rPr>
              <w:t>4,432,500</w:t>
            </w: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0" w:type="dxa"/>
            <w:vAlign w:val="bottom"/>
            <w:gridSpan w:val="2"/>
            <w:vMerge w:val="restart"/>
          </w:tcPr>
          <w:p>
            <w:pPr>
              <w:jc w:val="right"/>
              <w:ind w:right="40"/>
              <w:spacing w:after="0"/>
              <w:rPr>
                <w:sz w:val="20"/>
                <w:szCs w:val="20"/>
                <w:color w:val="auto"/>
              </w:rPr>
            </w:pPr>
            <w:r>
              <w:rPr>
                <w:rFonts w:ascii="Arial" w:cs="Arial" w:eastAsia="Arial" w:hAnsi="Arial"/>
                <w:sz w:val="13"/>
                <w:szCs w:val="13"/>
                <w:color w:val="auto"/>
              </w:rPr>
              <w:t>Total Healthcare Services</w:t>
            </w: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0" w:type="dxa"/>
            <w:vAlign w:val="bottom"/>
            <w:gridSpan w:val="2"/>
            <w:vMerge w:val="continue"/>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23,053,595</w:t>
            </w:r>
          </w:p>
        </w:tc>
        <w:tc>
          <w:tcPr>
            <w:tcW w:w="2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23,328,672</w:t>
            </w:r>
          </w:p>
        </w:tc>
        <w:tc>
          <w:tcPr>
            <w:tcW w:w="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20.9%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1260" w:type="dxa"/>
            <w:vAlign w:val="bottom"/>
            <w:tcBorders>
              <w:top w:val="single" w:sz="8" w:color="CCEEFF"/>
            </w:tcBorders>
            <w:shd w:val="clear" w:color="auto" w:fill="CCEEFF"/>
          </w:tcPr>
          <w:p>
            <w:pPr>
              <w:spacing w:after="0"/>
              <w:rPr>
                <w:sz w:val="11"/>
                <w:szCs w:val="11"/>
                <w:color w:val="auto"/>
              </w:rPr>
            </w:pPr>
          </w:p>
        </w:tc>
        <w:tc>
          <w:tcPr>
            <w:tcW w:w="5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60" w:type="dxa"/>
            <w:vAlign w:val="bottom"/>
            <w:tcBorders>
              <w:top w:val="single" w:sz="8" w:color="CCEEFF"/>
              <w:right w:val="single" w:sz="8" w:color="CCEEFF"/>
            </w:tcBorders>
            <w:shd w:val="clear" w:color="auto" w:fill="CCEEFF"/>
          </w:tcPr>
          <w:p>
            <w:pPr>
              <w:spacing w:after="0"/>
              <w:rPr>
                <w:sz w:val="11"/>
                <w:szCs w:val="11"/>
                <w:color w:val="auto"/>
              </w:rPr>
            </w:pPr>
          </w:p>
        </w:tc>
        <w:tc>
          <w:tcPr>
            <w:tcW w:w="1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32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right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1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70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40" w:type="dxa"/>
            <w:vAlign w:val="bottom"/>
            <w:tcBorders>
              <w:top w:val="single" w:sz="8" w:color="CCEEFF"/>
              <w:left w:val="single" w:sz="8" w:color="CCEEFF"/>
            </w:tcBorders>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vMerge w:val="continue"/>
          </w:tcPr>
          <w:p>
            <w:pPr>
              <w:spacing w:after="0"/>
              <w:rPr>
                <w:sz w:val="11"/>
                <w:szCs w:val="11"/>
                <w:color w:val="auto"/>
              </w:rPr>
            </w:pPr>
          </w:p>
        </w:tc>
        <w:tc>
          <w:tcPr>
            <w:tcW w:w="2000" w:type="dxa"/>
            <w:vAlign w:val="bottom"/>
            <w:gridSpan w:val="3"/>
          </w:tcPr>
          <w:p>
            <w:pPr>
              <w:spacing w:after="0" w:line="135" w:lineRule="exact"/>
              <w:rPr>
                <w:sz w:val="20"/>
                <w:szCs w:val="20"/>
                <w:color w:val="auto"/>
              </w:rPr>
            </w:pPr>
            <w:r>
              <w:rPr>
                <w:rFonts w:ascii="Arial" w:cs="Arial" w:eastAsia="Arial" w:hAnsi="Arial"/>
                <w:sz w:val="13"/>
                <w:szCs w:val="13"/>
                <w:color w:val="auto"/>
              </w:rPr>
              <w:t>McMillin Companies L.L.C. (d, g)</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Homebuilding</w:t>
            </w:r>
          </w:p>
        </w:tc>
        <w:tc>
          <w:tcPr>
            <w:tcW w:w="3580" w:type="dxa"/>
            <w:vAlign w:val="bottom"/>
            <w:gridSpan w:val="4"/>
          </w:tcPr>
          <w:p>
            <w:pPr>
              <w:ind w:left="140"/>
              <w:spacing w:after="0" w:line="135" w:lineRule="exact"/>
              <w:rPr>
                <w:sz w:val="20"/>
                <w:szCs w:val="20"/>
                <w:color w:val="auto"/>
              </w:rPr>
            </w:pPr>
            <w:r>
              <w:rPr>
                <w:rFonts w:ascii="Arial" w:cs="Arial" w:eastAsia="Arial" w:hAnsi="Arial"/>
                <w:sz w:val="13"/>
                <w:szCs w:val="13"/>
                <w:color w:val="auto"/>
              </w:rPr>
              <w:t>Senior Secured Note 0% Cash, 12/31/2013</w:t>
            </w:r>
          </w:p>
        </w:tc>
        <w:tc>
          <w:tcPr>
            <w:tcW w:w="200" w:type="dxa"/>
            <w:vAlign w:val="bottom"/>
            <w:gridSpan w:val="3"/>
          </w:tcPr>
          <w:p>
            <w:pPr>
              <w:jc w:val="right"/>
              <w:spacing w:after="0" w:line="135" w:lineRule="exact"/>
              <w:rPr>
                <w:sz w:val="20"/>
                <w:szCs w:val="20"/>
                <w:color w:val="auto"/>
              </w:rPr>
            </w:pPr>
            <w:r>
              <w:rPr>
                <w:rFonts w:ascii="Arial" w:cs="Arial" w:eastAsia="Arial" w:hAnsi="Arial"/>
                <w:sz w:val="13"/>
                <w:szCs w:val="13"/>
                <w:color w:val="auto"/>
              </w:rPr>
              <w:t>$</w:t>
            </w:r>
          </w:p>
        </w:tc>
        <w:tc>
          <w:tcPr>
            <w:tcW w:w="1160" w:type="dxa"/>
            <w:vAlign w:val="bottom"/>
          </w:tcPr>
          <w:p>
            <w:pPr>
              <w:jc w:val="right"/>
              <w:spacing w:after="0" w:line="135" w:lineRule="exact"/>
              <w:rPr>
                <w:sz w:val="20"/>
                <w:szCs w:val="20"/>
                <w:color w:val="auto"/>
              </w:rPr>
            </w:pPr>
            <w:r>
              <w:rPr>
                <w:rFonts w:ascii="Arial" w:cs="Arial" w:eastAsia="Arial" w:hAnsi="Arial"/>
                <w:sz w:val="13"/>
                <w:szCs w:val="13"/>
                <w:color w:val="auto"/>
              </w:rPr>
              <w:t>550,000</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556,046</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4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375,705</w:t>
            </w: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Total Homebuilding</w:t>
            </w: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0" w:type="dxa"/>
            <w:vAlign w:val="bottom"/>
            <w:tcBorders>
              <w:right w:val="single" w:sz="8" w:color="CCEEFF"/>
            </w:tcBorders>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556,046</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375,705</w:t>
            </w:r>
          </w:p>
        </w:tc>
        <w:tc>
          <w:tcPr>
            <w:tcW w:w="4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2000" w:type="dxa"/>
            <w:vAlign w:val="bottom"/>
            <w:gridSpan w:val="3"/>
          </w:tcPr>
          <w:p>
            <w:pPr>
              <w:spacing w:after="0" w:line="101" w:lineRule="exact"/>
              <w:rPr>
                <w:sz w:val="20"/>
                <w:szCs w:val="20"/>
                <w:color w:val="auto"/>
              </w:rPr>
            </w:pPr>
            <w:r>
              <w:rPr>
                <w:rFonts w:ascii="Arial" w:cs="Arial" w:eastAsia="Arial" w:hAnsi="Arial"/>
                <w:sz w:val="11"/>
                <w:szCs w:val="11"/>
                <w:color w:val="auto"/>
              </w:rPr>
              <w:t>Keystone Automotive</w:t>
            </w:r>
          </w:p>
        </w:tc>
        <w:tc>
          <w:tcPr>
            <w:tcW w:w="1260" w:type="dxa"/>
            <w:vAlign w:val="bottom"/>
          </w:tcPr>
          <w:p>
            <w:pPr>
              <w:spacing w:after="0" w:line="101" w:lineRule="exact"/>
              <w:rPr>
                <w:sz w:val="20"/>
                <w:szCs w:val="20"/>
                <w:color w:val="auto"/>
              </w:rPr>
            </w:pPr>
            <w:r>
              <w:rPr>
                <w:rFonts w:ascii="Arial" w:cs="Arial" w:eastAsia="Arial" w:hAnsi="Arial"/>
                <w:sz w:val="11"/>
                <w:szCs w:val="11"/>
                <w:color w:val="auto"/>
              </w:rPr>
              <w:t>Logistics</w:t>
            </w:r>
          </w:p>
        </w:tc>
        <w:tc>
          <w:tcPr>
            <w:tcW w:w="3580" w:type="dxa"/>
            <w:vAlign w:val="bottom"/>
            <w:gridSpan w:val="4"/>
          </w:tcPr>
          <w:p>
            <w:pPr>
              <w:ind w:left="140"/>
              <w:spacing w:after="0" w:line="101" w:lineRule="exact"/>
              <w:rPr>
                <w:sz w:val="20"/>
                <w:szCs w:val="20"/>
                <w:color w:val="auto"/>
              </w:rPr>
            </w:pPr>
            <w:r>
              <w:rPr>
                <w:rFonts w:ascii="Arial" w:cs="Arial" w:eastAsia="Arial" w:hAnsi="Arial"/>
                <w:sz w:val="11"/>
                <w:szCs w:val="11"/>
                <w:color w:val="auto"/>
              </w:rPr>
              <w:t>First Lien Term Loan 7.00% Cash, 8/15/2019</w:t>
            </w: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00" w:type="dxa"/>
            <w:vAlign w:val="bottom"/>
            <w:gridSpan w:val="3"/>
          </w:tcPr>
          <w:p>
            <w:pPr>
              <w:ind w:left="160"/>
              <w:spacing w:after="0"/>
              <w:rPr>
                <w:sz w:val="20"/>
                <w:szCs w:val="20"/>
                <w:color w:val="auto"/>
              </w:rPr>
            </w:pPr>
            <w:r>
              <w:rPr>
                <w:rFonts w:ascii="Arial" w:cs="Arial" w:eastAsia="Arial" w:hAnsi="Arial"/>
                <w:sz w:val="13"/>
                <w:szCs w:val="13"/>
                <w:color w:val="auto"/>
              </w:rPr>
              <w:t>Operations, Inc. (d)</w:t>
            </w:r>
          </w:p>
        </w:tc>
        <w:tc>
          <w:tcPr>
            <w:tcW w:w="1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1160" w:type="dxa"/>
            <w:vAlign w:val="bottom"/>
          </w:tcPr>
          <w:p>
            <w:pPr>
              <w:jc w:val="right"/>
              <w:spacing w:after="0"/>
              <w:rPr>
                <w:sz w:val="20"/>
                <w:szCs w:val="20"/>
                <w:color w:val="auto"/>
              </w:rPr>
            </w:pPr>
            <w:r>
              <w:rPr>
                <w:rFonts w:ascii="Arial" w:cs="Arial" w:eastAsia="Arial" w:hAnsi="Arial"/>
                <w:sz w:val="13"/>
                <w:szCs w:val="13"/>
                <w:color w:val="auto"/>
              </w:rPr>
              <w:t>5,000,000</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4,928,468</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gridSpan w:val="2"/>
          </w:tcPr>
          <w:p>
            <w:pPr>
              <w:ind w:left="400"/>
              <w:spacing w:after="0"/>
              <w:rPr>
                <w:sz w:val="20"/>
                <w:szCs w:val="20"/>
                <w:color w:val="auto"/>
              </w:rPr>
            </w:pPr>
            <w:r>
              <w:rPr>
                <w:rFonts w:ascii="Arial" w:cs="Arial" w:eastAsia="Arial" w:hAnsi="Arial"/>
                <w:sz w:val="13"/>
                <w:szCs w:val="13"/>
                <w:color w:val="auto"/>
                <w:w w:val="89"/>
              </w:rPr>
              <w:t>5,056,500</w:t>
            </w:r>
          </w:p>
        </w:tc>
        <w:tc>
          <w:tcPr>
            <w:tcW w:w="160" w:type="dxa"/>
            <w:vAlign w:val="bottom"/>
          </w:tcPr>
          <w:p>
            <w:pPr>
              <w:spacing w:after="0"/>
              <w:rPr>
                <w:sz w:val="12"/>
                <w:szCs w:val="12"/>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3"/>
                <w:szCs w:val="13"/>
                <w:color w:val="auto"/>
              </w:rPr>
              <w:t>4.5%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Total Logistics</w:t>
            </w: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0" w:type="dxa"/>
            <w:vAlign w:val="bottom"/>
            <w:tcBorders>
              <w:right w:val="single" w:sz="8" w:color="CCEEFF"/>
            </w:tcBorders>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4,928,468</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ind w:left="400"/>
              <w:spacing w:after="0" w:line="129" w:lineRule="exact"/>
              <w:rPr>
                <w:sz w:val="20"/>
                <w:szCs w:val="20"/>
                <w:color w:val="auto"/>
              </w:rPr>
            </w:pPr>
            <w:r>
              <w:rPr>
                <w:rFonts w:ascii="Arial" w:cs="Arial" w:eastAsia="Arial" w:hAnsi="Arial"/>
                <w:sz w:val="13"/>
                <w:szCs w:val="13"/>
                <w:color w:val="auto"/>
                <w:w w:val="82"/>
              </w:rPr>
              <w:t>5,056,500</w:t>
            </w:r>
          </w:p>
        </w:tc>
        <w:tc>
          <w:tcPr>
            <w:tcW w:w="4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00" w:type="dxa"/>
            <w:vAlign w:val="bottom"/>
            <w:gridSpan w:val="3"/>
            <w:vMerge w:val="restart"/>
          </w:tcPr>
          <w:p>
            <w:pPr>
              <w:spacing w:after="0"/>
              <w:rPr>
                <w:sz w:val="20"/>
                <w:szCs w:val="20"/>
                <w:color w:val="auto"/>
              </w:rPr>
            </w:pPr>
            <w:r>
              <w:rPr>
                <w:rFonts w:ascii="Arial" w:cs="Arial" w:eastAsia="Arial" w:hAnsi="Arial"/>
                <w:sz w:val="13"/>
                <w:szCs w:val="13"/>
                <w:color w:val="auto"/>
              </w:rPr>
              <w:t>Distribution International, Inc. (d)</w:t>
            </w:r>
          </w:p>
        </w:tc>
        <w:tc>
          <w:tcPr>
            <w:tcW w:w="1260" w:type="dxa"/>
            <w:vAlign w:val="bottom"/>
            <w:vMerge w:val="restart"/>
          </w:tcPr>
          <w:p>
            <w:pPr>
              <w:spacing w:after="0"/>
              <w:rPr>
                <w:sz w:val="20"/>
                <w:szCs w:val="20"/>
                <w:color w:val="auto"/>
              </w:rPr>
            </w:pPr>
            <w:r>
              <w:rPr>
                <w:rFonts w:ascii="Arial" w:cs="Arial" w:eastAsia="Arial" w:hAnsi="Arial"/>
                <w:sz w:val="13"/>
                <w:szCs w:val="13"/>
                <w:color w:val="auto"/>
              </w:rPr>
              <w:t>Manufacturing</w:t>
            </w:r>
          </w:p>
        </w:tc>
        <w:tc>
          <w:tcPr>
            <w:tcW w:w="3580" w:type="dxa"/>
            <w:vAlign w:val="bottom"/>
            <w:gridSpan w:val="4"/>
            <w:vMerge w:val="restart"/>
          </w:tcPr>
          <w:p>
            <w:pPr>
              <w:ind w:left="140"/>
              <w:spacing w:after="0"/>
              <w:rPr>
                <w:sz w:val="20"/>
                <w:szCs w:val="20"/>
                <w:color w:val="auto"/>
              </w:rPr>
            </w:pPr>
            <w:r>
              <w:rPr>
                <w:rFonts w:ascii="Arial" w:cs="Arial" w:eastAsia="Arial" w:hAnsi="Arial"/>
                <w:sz w:val="13"/>
                <w:szCs w:val="13"/>
                <w:color w:val="auto"/>
              </w:rPr>
              <w:t>First Lien Term Loan 7.50% Cash, 7/16/2019</w:t>
            </w:r>
          </w:p>
        </w:tc>
        <w:tc>
          <w:tcPr>
            <w:tcW w:w="200" w:type="dxa"/>
            <w:vAlign w:val="bottom"/>
            <w:gridSpan w:val="3"/>
            <w:vMerge w:val="restart"/>
          </w:tcPr>
          <w:p>
            <w:pPr>
              <w:jc w:val="right"/>
              <w:spacing w:after="0"/>
              <w:rPr>
                <w:sz w:val="20"/>
                <w:szCs w:val="20"/>
                <w:color w:val="auto"/>
              </w:rPr>
            </w:pPr>
            <w:r>
              <w:rPr>
                <w:rFonts w:ascii="Arial" w:cs="Arial" w:eastAsia="Arial" w:hAnsi="Arial"/>
                <w:sz w:val="13"/>
                <w:szCs w:val="13"/>
                <w:color w:val="auto"/>
              </w:rPr>
              <w:t>$</w:t>
            </w:r>
          </w:p>
        </w:tc>
        <w:tc>
          <w:tcPr>
            <w:tcW w:w="1160" w:type="dxa"/>
            <w:vAlign w:val="bottom"/>
            <w:vMerge w:val="restart"/>
          </w:tcPr>
          <w:p>
            <w:pPr>
              <w:jc w:val="right"/>
              <w:spacing w:after="0"/>
              <w:rPr>
                <w:sz w:val="20"/>
                <w:szCs w:val="20"/>
                <w:color w:val="auto"/>
              </w:rPr>
            </w:pPr>
            <w:r>
              <w:rPr>
                <w:rFonts w:ascii="Arial" w:cs="Arial" w:eastAsia="Arial" w:hAnsi="Arial"/>
                <w:sz w:val="13"/>
                <w:szCs w:val="13"/>
                <w:color w:val="auto"/>
              </w:rPr>
              <w:t>5,985,000</w:t>
            </w:r>
          </w:p>
        </w:tc>
        <w:tc>
          <w:tcPr>
            <w:tcW w:w="1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2000" w:type="dxa"/>
            <w:vAlign w:val="bottom"/>
            <w:gridSpan w:val="3"/>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3580" w:type="dxa"/>
            <w:vAlign w:val="bottom"/>
            <w:gridSpan w:val="4"/>
            <w:vMerge w:val="continue"/>
          </w:tcPr>
          <w:p>
            <w:pPr>
              <w:spacing w:after="0"/>
              <w:rPr>
                <w:sz w:val="11"/>
                <w:szCs w:val="11"/>
                <w:color w:val="auto"/>
              </w:rPr>
            </w:pPr>
          </w:p>
        </w:tc>
        <w:tc>
          <w:tcPr>
            <w:tcW w:w="200" w:type="dxa"/>
            <w:vAlign w:val="bottom"/>
            <w:gridSpan w:val="3"/>
            <w:vMerge w:val="continue"/>
          </w:tcPr>
          <w:p>
            <w:pPr>
              <w:spacing w:after="0"/>
              <w:rPr>
                <w:sz w:val="11"/>
                <w:szCs w:val="11"/>
                <w:color w:val="auto"/>
              </w:rPr>
            </w:pPr>
          </w:p>
        </w:tc>
        <w:tc>
          <w:tcPr>
            <w:tcW w:w="116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00" w:type="dxa"/>
            <w:vAlign w:val="bottom"/>
          </w:tcPr>
          <w:p>
            <w:pPr>
              <w:jc w:val="right"/>
              <w:spacing w:after="0" w:line="129" w:lineRule="exact"/>
              <w:rPr>
                <w:sz w:val="20"/>
                <w:szCs w:val="20"/>
                <w:color w:val="auto"/>
              </w:rPr>
            </w:pPr>
            <w:r>
              <w:rPr>
                <w:rFonts w:ascii="Arial" w:cs="Arial" w:eastAsia="Arial" w:hAnsi="Arial"/>
                <w:sz w:val="13"/>
                <w:szCs w:val="13"/>
                <w:color w:val="auto"/>
              </w:rPr>
              <w:t>5,928,481</w:t>
            </w: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ind w:left="400"/>
              <w:spacing w:after="0" w:line="129" w:lineRule="exact"/>
              <w:rPr>
                <w:sz w:val="20"/>
                <w:szCs w:val="20"/>
                <w:color w:val="auto"/>
              </w:rPr>
            </w:pPr>
            <w:r>
              <w:rPr>
                <w:rFonts w:ascii="Arial" w:cs="Arial" w:eastAsia="Arial" w:hAnsi="Arial"/>
                <w:sz w:val="13"/>
                <w:szCs w:val="13"/>
                <w:color w:val="auto"/>
                <w:w w:val="82"/>
              </w:rPr>
              <w:t>5,955,075</w:t>
            </w:r>
          </w:p>
        </w:tc>
        <w:tc>
          <w:tcPr>
            <w:tcW w:w="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34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Total Manufacturing</w:t>
            </w:r>
          </w:p>
        </w:tc>
        <w:tc>
          <w:tcPr>
            <w:tcW w:w="2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60" w:type="dxa"/>
            <w:vAlign w:val="bottom"/>
            <w:tcBorders>
              <w:right w:val="single" w:sz="8" w:color="auto"/>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tcBorders>
              <w:right w:val="single" w:sz="8" w:color="CCEEFF"/>
            </w:tcBorders>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3400" w:type="dxa"/>
            <w:vAlign w:val="bottom"/>
            <w:tcBorders>
              <w:right w:val="single" w:sz="8" w:color="CCEEFF"/>
            </w:tcBorders>
            <w:gridSpan w:val="2"/>
            <w:vMerge w:val="continue"/>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5,928,481</w:t>
            </w:r>
          </w:p>
        </w:tc>
        <w:tc>
          <w:tcPr>
            <w:tcW w:w="2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ind w:left="400"/>
              <w:spacing w:after="0" w:line="129" w:lineRule="exact"/>
              <w:rPr>
                <w:sz w:val="20"/>
                <w:szCs w:val="20"/>
                <w:color w:val="auto"/>
              </w:rPr>
            </w:pPr>
            <w:r>
              <w:rPr>
                <w:rFonts w:ascii="Arial" w:cs="Arial" w:eastAsia="Arial" w:hAnsi="Arial"/>
                <w:sz w:val="13"/>
                <w:szCs w:val="13"/>
                <w:color w:val="auto"/>
                <w:w w:val="82"/>
              </w:rPr>
              <w:t>5,955,075</w:t>
            </w:r>
          </w:p>
        </w:tc>
        <w:tc>
          <w:tcPr>
            <w:tcW w:w="40" w:type="dxa"/>
            <w:vAlign w:val="bottom"/>
            <w:vMerge w:val="continue"/>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78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5.4%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-3474720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-3474720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149"/>
        </w:trPr>
        <w:tc>
          <w:tcPr>
            <w:tcW w:w="1900" w:type="dxa"/>
            <w:vAlign w:val="bottom"/>
          </w:tcPr>
          <w:p>
            <w:pPr>
              <w:spacing w:after="0"/>
              <w:rPr>
                <w:sz w:val="20"/>
                <w:szCs w:val="20"/>
                <w:color w:val="auto"/>
              </w:rPr>
            </w:pPr>
            <w:r>
              <w:rPr>
                <w:rFonts w:ascii="Arial" w:cs="Arial" w:eastAsia="Arial" w:hAnsi="Arial"/>
                <w:sz w:val="13"/>
                <w:szCs w:val="13"/>
                <w:color w:val="auto"/>
              </w:rPr>
              <w:t>Elyria Foundry Company, L.L.C.</w:t>
            </w:r>
          </w:p>
        </w:tc>
        <w:tc>
          <w:tcPr>
            <w:tcW w:w="1300" w:type="dxa"/>
            <w:vAlign w:val="bottom"/>
          </w:tcPr>
          <w:p>
            <w:pPr>
              <w:ind w:left="120"/>
              <w:spacing w:after="0"/>
              <w:rPr>
                <w:sz w:val="20"/>
                <w:szCs w:val="20"/>
                <w:color w:val="auto"/>
              </w:rPr>
            </w:pPr>
            <w:r>
              <w:rPr>
                <w:rFonts w:ascii="Arial" w:cs="Arial" w:eastAsia="Arial" w:hAnsi="Arial"/>
                <w:sz w:val="13"/>
                <w:szCs w:val="13"/>
                <w:color w:val="auto"/>
              </w:rPr>
              <w:t>Metals</w:t>
            </w:r>
          </w:p>
        </w:tc>
        <w:tc>
          <w:tcPr>
            <w:tcW w:w="3700" w:type="dxa"/>
            <w:vAlign w:val="bottom"/>
          </w:tcPr>
          <w:p>
            <w:pPr>
              <w:ind w:left="220"/>
              <w:spacing w:after="0"/>
              <w:rPr>
                <w:sz w:val="20"/>
                <w:szCs w:val="20"/>
                <w:color w:val="auto"/>
              </w:rPr>
            </w:pPr>
            <w:r>
              <w:rPr>
                <w:rFonts w:ascii="Arial" w:cs="Arial" w:eastAsia="Arial" w:hAnsi="Arial"/>
                <w:sz w:val="13"/>
                <w:szCs w:val="13"/>
                <w:color w:val="auto"/>
              </w:rPr>
              <w:t>Senior Secured Note 17.00% (13.00% Cash/4.00% PIK),</w:t>
            </w:r>
          </w:p>
        </w:tc>
        <w:tc>
          <w:tcPr>
            <w:tcW w:w="46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8,859,614</w:t>
            </w:r>
          </w:p>
        </w:tc>
        <w:tc>
          <w:tcPr>
            <w:tcW w:w="16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8,859,614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6,685,465</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49"/>
        </w:trPr>
        <w:tc>
          <w:tcPr>
            <w:tcW w:w="1900" w:type="dxa"/>
            <w:vAlign w:val="bottom"/>
          </w:tcPr>
          <w:p>
            <w:pPr>
              <w:ind w:left="180"/>
              <w:spacing w:after="0"/>
              <w:rPr>
                <w:sz w:val="20"/>
                <w:szCs w:val="20"/>
                <w:color w:val="auto"/>
              </w:rPr>
            </w:pPr>
            <w:r>
              <w:rPr>
                <w:rFonts w:ascii="Arial" w:cs="Arial" w:eastAsia="Arial" w:hAnsi="Arial"/>
                <w:sz w:val="13"/>
                <w:szCs w:val="13"/>
                <w:color w:val="auto"/>
              </w:rPr>
              <w:t>(d)</w:t>
            </w:r>
          </w:p>
        </w:tc>
        <w:tc>
          <w:tcPr>
            <w:tcW w:w="1300" w:type="dxa"/>
            <w:vAlign w:val="bottom"/>
          </w:tcPr>
          <w:p>
            <w:pPr>
              <w:spacing w:after="0"/>
              <w:rPr>
                <w:sz w:val="12"/>
                <w:szCs w:val="12"/>
                <w:color w:val="auto"/>
              </w:rPr>
            </w:pPr>
          </w:p>
        </w:tc>
        <w:tc>
          <w:tcPr>
            <w:tcW w:w="3700" w:type="dxa"/>
            <w:vAlign w:val="bottom"/>
          </w:tcPr>
          <w:p>
            <w:pPr>
              <w:ind w:left="220"/>
              <w:spacing w:after="0"/>
              <w:rPr>
                <w:sz w:val="20"/>
                <w:szCs w:val="20"/>
                <w:color w:val="auto"/>
              </w:rPr>
            </w:pPr>
            <w:r>
              <w:rPr>
                <w:rFonts w:ascii="Arial" w:cs="Arial" w:eastAsia="Arial" w:hAnsi="Arial"/>
                <w:sz w:val="13"/>
                <w:szCs w:val="13"/>
                <w:color w:val="auto"/>
              </w:rPr>
              <w:t>9/14/2014</w:t>
            </w: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1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 L.L.C.</w:t>
            </w:r>
          </w:p>
        </w:tc>
        <w:tc>
          <w:tcPr>
            <w:tcW w:w="13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Metals</w:t>
            </w:r>
          </w:p>
        </w:tc>
        <w:tc>
          <w:tcPr>
            <w:tcW w:w="370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w w:val="92"/>
              </w:rPr>
              <w:t>Warrants to Purchase Limited Liability Company Interests (2008)</w:t>
            </w:r>
          </w:p>
        </w:tc>
        <w:tc>
          <w:tcPr>
            <w:tcW w:w="4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(d, g)</w:t>
            </w:r>
          </w:p>
        </w:tc>
        <w:tc>
          <w:tcPr>
            <w:tcW w:w="130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7,000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21"/>
        </w:trPr>
        <w:tc>
          <w:tcPr>
            <w:tcW w:w="1900" w:type="dxa"/>
            <w:vAlign w:val="bottom"/>
          </w:tcPr>
          <w:p>
            <w:pPr>
              <w:spacing w:after="0" w:line="121" w:lineRule="exact"/>
              <w:rPr>
                <w:sz w:val="20"/>
                <w:szCs w:val="20"/>
                <w:color w:val="auto"/>
              </w:rPr>
            </w:pPr>
            <w:r>
              <w:rPr>
                <w:rFonts w:ascii="Arial" w:cs="Arial" w:eastAsia="Arial" w:hAnsi="Arial"/>
                <w:sz w:val="13"/>
                <w:szCs w:val="13"/>
                <w:color w:val="auto"/>
              </w:rPr>
              <w:t>Elyria Foundry Company, L.L.C.</w:t>
            </w:r>
          </w:p>
        </w:tc>
        <w:tc>
          <w:tcPr>
            <w:tcW w:w="1300" w:type="dxa"/>
            <w:vAlign w:val="bottom"/>
          </w:tcPr>
          <w:p>
            <w:pPr>
              <w:ind w:left="120"/>
              <w:spacing w:after="0" w:line="121" w:lineRule="exact"/>
              <w:rPr>
                <w:sz w:val="20"/>
                <w:szCs w:val="20"/>
                <w:color w:val="auto"/>
              </w:rPr>
            </w:pPr>
            <w:r>
              <w:rPr>
                <w:rFonts w:ascii="Arial" w:cs="Arial" w:eastAsia="Arial" w:hAnsi="Arial"/>
                <w:sz w:val="13"/>
                <w:szCs w:val="13"/>
                <w:color w:val="auto"/>
              </w:rPr>
              <w:t>Metals</w:t>
            </w:r>
          </w:p>
        </w:tc>
        <w:tc>
          <w:tcPr>
            <w:tcW w:w="3700" w:type="dxa"/>
            <w:vAlign w:val="bottom"/>
          </w:tcPr>
          <w:p>
            <w:pPr>
              <w:ind w:left="220"/>
              <w:spacing w:after="0" w:line="121" w:lineRule="exact"/>
              <w:rPr>
                <w:sz w:val="20"/>
                <w:szCs w:val="20"/>
                <w:color w:val="auto"/>
              </w:rPr>
            </w:pPr>
            <w:r>
              <w:rPr>
                <w:rFonts w:ascii="Arial" w:cs="Arial" w:eastAsia="Arial" w:hAnsi="Arial"/>
                <w:sz w:val="13"/>
                <w:szCs w:val="13"/>
                <w:color w:val="auto"/>
                <w:w w:val="92"/>
              </w:rPr>
              <w:t>Warrants to Purchase Limited Liability Company Interests (2013)</w:t>
            </w: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80"/>
              <w:spacing w:after="0"/>
              <w:rPr>
                <w:sz w:val="20"/>
                <w:szCs w:val="20"/>
                <w:color w:val="auto"/>
              </w:rPr>
            </w:pPr>
            <w:r>
              <w:rPr>
                <w:rFonts w:ascii="Arial" w:cs="Arial" w:eastAsia="Arial" w:hAnsi="Arial"/>
                <w:sz w:val="13"/>
                <w:szCs w:val="13"/>
                <w:color w:val="auto"/>
              </w:rPr>
              <w:t>(d, g)</w:t>
            </w:r>
          </w:p>
        </w:tc>
        <w:tc>
          <w:tcPr>
            <w:tcW w:w="13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18,227</w:t>
            </w: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20"/>
        </w:trPr>
        <w:tc>
          <w:tcPr>
            <w:tcW w:w="190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3700" w:type="dxa"/>
            <w:vAlign w:val="bottom"/>
            <w:vMerge w:val="restart"/>
            <w:shd w:val="clear" w:color="auto" w:fill="CCEEFF"/>
          </w:tcPr>
          <w:p>
            <w:pPr>
              <w:jc w:val="right"/>
              <w:ind w:right="18"/>
              <w:spacing w:after="0"/>
              <w:rPr>
                <w:sz w:val="20"/>
                <w:szCs w:val="20"/>
                <w:color w:val="auto"/>
              </w:rPr>
            </w:pPr>
            <w:r>
              <w:rPr>
                <w:rFonts w:ascii="Arial" w:cs="Arial" w:eastAsia="Arial" w:hAnsi="Arial"/>
                <w:sz w:val="13"/>
                <w:szCs w:val="13"/>
                <w:color w:val="auto"/>
              </w:rPr>
              <w:t>Total Metals</w:t>
            </w:r>
          </w:p>
        </w:tc>
        <w:tc>
          <w:tcPr>
            <w:tcW w:w="4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00" w:type="dxa"/>
            <w:vAlign w:val="bottom"/>
            <w:shd w:val="clear" w:color="auto" w:fill="CCEEFF"/>
          </w:tcPr>
          <w:p>
            <w:pPr>
              <w:spacing w:after="0"/>
              <w:rPr>
                <w:sz w:val="11"/>
                <w:szCs w:val="11"/>
                <w:color w:val="auto"/>
              </w:rPr>
            </w:pPr>
          </w:p>
        </w:tc>
        <w:tc>
          <w:tcPr>
            <w:tcW w:w="1300" w:type="dxa"/>
            <w:vAlign w:val="bottom"/>
            <w:shd w:val="clear" w:color="auto" w:fill="CCEEFF"/>
          </w:tcPr>
          <w:p>
            <w:pPr>
              <w:spacing w:after="0"/>
              <w:rPr>
                <w:sz w:val="11"/>
                <w:szCs w:val="11"/>
                <w:color w:val="auto"/>
              </w:rPr>
            </w:pPr>
          </w:p>
        </w:tc>
        <w:tc>
          <w:tcPr>
            <w:tcW w:w="3700" w:type="dxa"/>
            <w:vAlign w:val="bottom"/>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8,859,634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6,685,465</w:t>
            </w:r>
          </w:p>
        </w:tc>
        <w:tc>
          <w:tcPr>
            <w:tcW w:w="160" w:type="dxa"/>
            <w:vAlign w:val="bottom"/>
            <w:vMerge w:val="continue"/>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01"/>
        </w:trPr>
        <w:tc>
          <w:tcPr>
            <w:tcW w:w="1900" w:type="dxa"/>
            <w:vAlign w:val="bottom"/>
          </w:tcPr>
          <w:p>
            <w:pPr>
              <w:spacing w:after="0" w:line="101" w:lineRule="exact"/>
              <w:rPr>
                <w:sz w:val="20"/>
                <w:szCs w:val="20"/>
                <w:color w:val="auto"/>
              </w:rPr>
            </w:pPr>
            <w:r>
              <w:rPr>
                <w:rFonts w:ascii="Arial" w:cs="Arial" w:eastAsia="Arial" w:hAnsi="Arial"/>
                <w:sz w:val="11"/>
                <w:szCs w:val="11"/>
                <w:color w:val="auto"/>
              </w:rPr>
              <w:t>Network Communications, Inc. (d,</w:t>
            </w:r>
          </w:p>
        </w:tc>
        <w:tc>
          <w:tcPr>
            <w:tcW w:w="1300" w:type="dxa"/>
            <w:vAlign w:val="bottom"/>
          </w:tcPr>
          <w:p>
            <w:pPr>
              <w:ind w:left="120"/>
              <w:spacing w:after="0" w:line="101" w:lineRule="exact"/>
              <w:rPr>
                <w:sz w:val="20"/>
                <w:szCs w:val="20"/>
                <w:color w:val="auto"/>
              </w:rPr>
            </w:pPr>
            <w:r>
              <w:rPr>
                <w:rFonts w:ascii="Arial" w:cs="Arial" w:eastAsia="Arial" w:hAnsi="Arial"/>
                <w:sz w:val="11"/>
                <w:szCs w:val="11"/>
                <w:color w:val="auto"/>
              </w:rPr>
              <w:t>Publishing</w:t>
            </w:r>
          </w:p>
        </w:tc>
        <w:tc>
          <w:tcPr>
            <w:tcW w:w="3700" w:type="dxa"/>
            <w:vAlign w:val="bottom"/>
          </w:tcPr>
          <w:p>
            <w:pPr>
              <w:ind w:left="220"/>
              <w:spacing w:after="0" w:line="101" w:lineRule="exact"/>
              <w:rPr>
                <w:sz w:val="20"/>
                <w:szCs w:val="20"/>
                <w:color w:val="auto"/>
              </w:rPr>
            </w:pPr>
            <w:r>
              <w:rPr>
                <w:rFonts w:ascii="Arial" w:cs="Arial" w:eastAsia="Arial" w:hAnsi="Arial"/>
                <w:sz w:val="11"/>
                <w:szCs w:val="11"/>
                <w:color w:val="auto"/>
              </w:rPr>
              <w:t>Common Stock</w:t>
            </w:r>
          </w:p>
        </w:tc>
        <w:tc>
          <w:tcPr>
            <w:tcW w:w="4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78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8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900" w:type="dxa"/>
            <w:vAlign w:val="bottom"/>
          </w:tcPr>
          <w:p>
            <w:pPr>
              <w:ind w:left="180"/>
              <w:spacing w:after="0"/>
              <w:rPr>
                <w:sz w:val="20"/>
                <w:szCs w:val="20"/>
                <w:color w:val="auto"/>
              </w:rPr>
            </w:pPr>
            <w:r>
              <w:rPr>
                <w:rFonts w:ascii="Arial" w:cs="Arial" w:eastAsia="Arial" w:hAnsi="Arial"/>
                <w:sz w:val="13"/>
                <w:szCs w:val="13"/>
                <w:color w:val="auto"/>
              </w:rPr>
              <w:t>g)</w:t>
            </w:r>
          </w:p>
        </w:tc>
        <w:tc>
          <w:tcPr>
            <w:tcW w:w="130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380,572</w:t>
            </w:r>
          </w:p>
        </w:tc>
        <w:tc>
          <w:tcPr>
            <w:tcW w:w="160" w:type="dxa"/>
            <w:vAlign w:val="bottom"/>
          </w:tcPr>
          <w:p>
            <w:pPr>
              <w:spacing w:after="0"/>
              <w:rPr>
                <w:sz w:val="12"/>
                <w:szCs w:val="12"/>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20" w:type="dxa"/>
            <w:vAlign w:val="bottom"/>
            <w:gridSpan w:val="2"/>
          </w:tcPr>
          <w:p>
            <w:pPr>
              <w:jc w:val="right"/>
              <w:ind w:right="40"/>
              <w:spacing w:after="0"/>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6"/>
              </w:rPr>
              <w:t>Network Communications, Inc. (d)</w:t>
            </w:r>
          </w:p>
        </w:tc>
        <w:tc>
          <w:tcPr>
            <w:tcW w:w="13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Publishing</w:t>
            </w:r>
          </w:p>
        </w:tc>
        <w:tc>
          <w:tcPr>
            <w:tcW w:w="37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Unsecured Notes 8.60% PIK, 1/14/2020</w:t>
            </w:r>
          </w:p>
        </w:tc>
        <w:tc>
          <w:tcPr>
            <w:tcW w:w="4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2,553,597</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2,142,163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1,179,794</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00" w:type="dxa"/>
            <w:vAlign w:val="bottom"/>
            <w:vMerge w:val="restart"/>
          </w:tcPr>
          <w:p>
            <w:pPr>
              <w:jc w:val="right"/>
              <w:ind w:right="18"/>
              <w:spacing w:after="0"/>
              <w:rPr>
                <w:sz w:val="20"/>
                <w:szCs w:val="20"/>
                <w:color w:val="auto"/>
              </w:rPr>
            </w:pPr>
            <w:r>
              <w:rPr>
                <w:rFonts w:ascii="Arial" w:cs="Arial" w:eastAsia="Arial" w:hAnsi="Arial"/>
                <w:sz w:val="13"/>
                <w:szCs w:val="13"/>
                <w:color w:val="auto"/>
              </w:rPr>
              <w:t>Total Publishing</w:t>
            </w: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2,142,163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1,179,794</w:t>
            </w:r>
          </w:p>
        </w:tc>
        <w:tc>
          <w:tcPr>
            <w:tcW w:w="160" w:type="dxa"/>
            <w:vAlign w:val="bottom"/>
            <w:vMerge w:val="continue"/>
          </w:tcPr>
          <w:p>
            <w:pPr>
              <w:spacing w:after="0"/>
              <w:rPr>
                <w:sz w:val="11"/>
                <w:szCs w:val="11"/>
                <w:color w:val="auto"/>
              </w:rPr>
            </w:pPr>
          </w:p>
        </w:tc>
        <w:tc>
          <w:tcPr>
            <w:tcW w:w="8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Community Investors, Inc. (d, g)</w:t>
            </w:r>
          </w:p>
        </w:tc>
        <w:tc>
          <w:tcPr>
            <w:tcW w:w="130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Software</w:t>
            </w:r>
          </w:p>
        </w:tc>
        <w:tc>
          <w:tcPr>
            <w:tcW w:w="3700" w:type="dxa"/>
            <w:vAlign w:val="bottom"/>
            <w:vMerge w:val="restart"/>
            <w:shd w:val="clear" w:color="auto" w:fill="CCEEFF"/>
          </w:tcPr>
          <w:p>
            <w:pPr>
              <w:ind w:left="220"/>
              <w:spacing w:after="0"/>
              <w:rPr>
                <w:sz w:val="20"/>
                <w:szCs w:val="20"/>
                <w:color w:val="auto"/>
              </w:rPr>
            </w:pPr>
            <w:r>
              <w:rPr>
                <w:rFonts w:ascii="Arial" w:cs="Arial" w:eastAsia="Arial" w:hAnsi="Arial"/>
                <w:sz w:val="13"/>
                <w:szCs w:val="13"/>
                <w:color w:val="auto"/>
              </w:rPr>
              <w:t>Common Stock</w:t>
            </w:r>
          </w:p>
        </w:tc>
        <w:tc>
          <w:tcPr>
            <w:tcW w:w="460" w:type="dxa"/>
            <w:vAlign w:val="bottom"/>
            <w:shd w:val="clear" w:color="auto" w:fill="CCEEFF"/>
          </w:tcPr>
          <w:p>
            <w:pPr>
              <w:spacing w:after="0" w:line="20" w:lineRule="exact"/>
              <w:rPr>
                <w:sz w:val="1"/>
                <w:szCs w:val="1"/>
                <w:color w:val="auto"/>
              </w:rPr>
            </w:pPr>
          </w:p>
        </w:tc>
        <w:tc>
          <w:tcPr>
            <w:tcW w:w="1020" w:type="dxa"/>
            <w:vAlign w:val="bottom"/>
            <w:vMerge w:val="restart"/>
            <w:shd w:val="clear" w:color="auto" w:fill="CCEEFF"/>
          </w:tcPr>
          <w:p>
            <w:pPr>
              <w:jc w:val="right"/>
              <w:ind w:right="97"/>
              <w:spacing w:after="0"/>
              <w:rPr>
                <w:sz w:val="20"/>
                <w:szCs w:val="20"/>
                <w:color w:val="auto"/>
              </w:rPr>
            </w:pPr>
            <w:r>
              <w:rPr>
                <w:rFonts w:ascii="Arial" w:cs="Arial" w:eastAsia="Arial" w:hAnsi="Arial"/>
                <w:sz w:val="13"/>
                <w:szCs w:val="13"/>
                <w:color w:val="auto"/>
              </w:rPr>
              <w:t>1,282</w:t>
            </w: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00" w:type="dxa"/>
            <w:vAlign w:val="bottom"/>
            <w:vMerge w:val="continue"/>
            <w:shd w:val="clear" w:color="auto" w:fill="CCEEFF"/>
          </w:tcPr>
          <w:p>
            <w:pPr>
              <w:spacing w:after="0"/>
              <w:rPr>
                <w:sz w:val="11"/>
                <w:szCs w:val="11"/>
                <w:color w:val="auto"/>
              </w:rPr>
            </w:pPr>
          </w:p>
        </w:tc>
        <w:tc>
          <w:tcPr>
            <w:tcW w:w="1300" w:type="dxa"/>
            <w:vAlign w:val="bottom"/>
            <w:vMerge w:val="continue"/>
            <w:shd w:val="clear" w:color="auto" w:fill="CCEEFF"/>
          </w:tcPr>
          <w:p>
            <w:pPr>
              <w:spacing w:after="0"/>
              <w:rPr>
                <w:sz w:val="11"/>
                <w:szCs w:val="11"/>
                <w:color w:val="auto"/>
              </w:rPr>
            </w:pPr>
          </w:p>
        </w:tc>
        <w:tc>
          <w:tcPr>
            <w:tcW w:w="3700" w:type="dxa"/>
            <w:vAlign w:val="bottom"/>
            <w:vMerge w:val="continue"/>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020" w:type="dxa"/>
            <w:vAlign w:val="bottom"/>
            <w:vMerge w:val="continue"/>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1,282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1,564</w:t>
            </w:r>
          </w:p>
        </w:tc>
        <w:tc>
          <w:tcPr>
            <w:tcW w:w="160" w:type="dxa"/>
            <w:vAlign w:val="bottom"/>
            <w:vMerge w:val="continue"/>
            <w:shd w:val="clear" w:color="auto" w:fill="CCEEFF"/>
          </w:tcPr>
          <w:p>
            <w:pPr>
              <w:spacing w:after="0"/>
              <w:rPr>
                <w:sz w:val="11"/>
                <w:szCs w:val="11"/>
                <w:color w:val="auto"/>
              </w:rPr>
            </w:pPr>
          </w:p>
        </w:tc>
        <w:tc>
          <w:tcPr>
            <w:tcW w:w="820" w:type="dxa"/>
            <w:vAlign w:val="bottom"/>
            <w:gridSpan w:val="2"/>
            <w:shd w:val="clear" w:color="auto" w:fill="CCEEFF"/>
          </w:tcPr>
          <w:p>
            <w:pPr>
              <w:jc w:val="right"/>
              <w:ind w:right="40"/>
              <w:spacing w:after="0" w:line="129"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Community Investors, Inc. (d)</w:t>
            </w:r>
          </w:p>
        </w:tc>
        <w:tc>
          <w:tcPr>
            <w:tcW w:w="1300" w:type="dxa"/>
            <w:vAlign w:val="bottom"/>
          </w:tcPr>
          <w:p>
            <w:pPr>
              <w:ind w:left="120"/>
              <w:spacing w:after="0" w:line="135" w:lineRule="exact"/>
              <w:rPr>
                <w:sz w:val="20"/>
                <w:szCs w:val="20"/>
                <w:color w:val="auto"/>
              </w:rPr>
            </w:pPr>
            <w:r>
              <w:rPr>
                <w:rFonts w:ascii="Arial" w:cs="Arial" w:eastAsia="Arial" w:hAnsi="Arial"/>
                <w:sz w:val="13"/>
                <w:szCs w:val="13"/>
                <w:color w:val="auto"/>
              </w:rPr>
              <w:t>Software</w:t>
            </w:r>
          </w:p>
        </w:tc>
        <w:tc>
          <w:tcPr>
            <w:tcW w:w="3700" w:type="dxa"/>
            <w:vAlign w:val="bottom"/>
          </w:tcPr>
          <w:p>
            <w:pPr>
              <w:ind w:left="220"/>
              <w:spacing w:after="0" w:line="135" w:lineRule="exact"/>
              <w:rPr>
                <w:sz w:val="20"/>
                <w:szCs w:val="20"/>
                <w:color w:val="auto"/>
              </w:rPr>
            </w:pPr>
            <w:r>
              <w:rPr>
                <w:rFonts w:ascii="Arial" w:cs="Arial" w:eastAsia="Arial" w:hAnsi="Arial"/>
                <w:sz w:val="13"/>
                <w:szCs w:val="13"/>
                <w:color w:val="auto"/>
              </w:rPr>
              <w:t>First Lien Term Loan 9.75% Cash, 5/9/2018</w:t>
            </w:r>
          </w:p>
        </w:tc>
        <w:tc>
          <w:tcPr>
            <w:tcW w:w="46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6,150,000</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6,040,876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6,150,000</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Community Investors, Inc. (d)</w:t>
            </w:r>
          </w:p>
        </w:tc>
        <w:tc>
          <w:tcPr>
            <w:tcW w:w="13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Software</w:t>
            </w:r>
          </w:p>
        </w:tc>
        <w:tc>
          <w:tcPr>
            <w:tcW w:w="37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Revolver</w:t>
            </w:r>
          </w:p>
        </w:tc>
        <w:tc>
          <w:tcPr>
            <w:tcW w:w="4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166,667</w:t>
            </w:r>
          </w:p>
        </w:tc>
        <w:tc>
          <w:tcPr>
            <w:tcW w:w="16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Community Investors, Inc. (d, g)</w:t>
            </w:r>
          </w:p>
        </w:tc>
        <w:tc>
          <w:tcPr>
            <w:tcW w:w="1300" w:type="dxa"/>
            <w:vAlign w:val="bottom"/>
          </w:tcPr>
          <w:p>
            <w:pPr>
              <w:ind w:left="120"/>
              <w:spacing w:after="0" w:line="135" w:lineRule="exact"/>
              <w:rPr>
                <w:sz w:val="20"/>
                <w:szCs w:val="20"/>
                <w:color w:val="auto"/>
              </w:rPr>
            </w:pPr>
            <w:r>
              <w:rPr>
                <w:rFonts w:ascii="Arial" w:cs="Arial" w:eastAsia="Arial" w:hAnsi="Arial"/>
                <w:sz w:val="13"/>
                <w:szCs w:val="13"/>
                <w:color w:val="auto"/>
              </w:rPr>
              <w:t>Software</w:t>
            </w:r>
          </w:p>
        </w:tc>
        <w:tc>
          <w:tcPr>
            <w:tcW w:w="3700" w:type="dxa"/>
            <w:vAlign w:val="bottom"/>
          </w:tcPr>
          <w:p>
            <w:pPr>
              <w:ind w:left="220"/>
              <w:spacing w:after="0" w:line="135" w:lineRule="exact"/>
              <w:rPr>
                <w:sz w:val="20"/>
                <w:szCs w:val="20"/>
                <w:color w:val="auto"/>
              </w:rPr>
            </w:pPr>
            <w:r>
              <w:rPr>
                <w:rFonts w:ascii="Arial" w:cs="Arial" w:eastAsia="Arial" w:hAnsi="Arial"/>
                <w:sz w:val="13"/>
                <w:szCs w:val="13"/>
                <w:color w:val="auto"/>
              </w:rPr>
              <w:t>Preferred Stock</w:t>
            </w:r>
          </w:p>
        </w:tc>
        <w:tc>
          <w:tcPr>
            <w:tcW w:w="460" w:type="dxa"/>
            <w:vAlign w:val="bottom"/>
          </w:tcPr>
          <w:p>
            <w:pPr>
              <w:spacing w:after="0"/>
              <w:rPr>
                <w:sz w:val="11"/>
                <w:szCs w:val="11"/>
                <w:color w:val="auto"/>
              </w:rPr>
            </w:pPr>
          </w:p>
        </w:tc>
        <w:tc>
          <w:tcPr>
            <w:tcW w:w="102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148,718</w:t>
            </w:r>
          </w:p>
        </w:tc>
        <w:tc>
          <w:tcPr>
            <w:tcW w:w="160" w:type="dxa"/>
            <w:vAlign w:val="bottom"/>
          </w:tcPr>
          <w:p>
            <w:pPr>
              <w:spacing w:after="0"/>
              <w:rPr>
                <w:sz w:val="11"/>
                <w:szCs w:val="11"/>
                <w:color w:val="auto"/>
              </w:rPr>
            </w:pPr>
          </w:p>
        </w:tc>
        <w:tc>
          <w:tcPr>
            <w:tcW w:w="740" w:type="dxa"/>
            <w:vAlign w:val="bottom"/>
          </w:tcPr>
          <w:p>
            <w:pPr>
              <w:jc w:val="right"/>
              <w:spacing w:after="0" w:line="135" w:lineRule="exact"/>
              <w:rPr>
                <w:sz w:val="20"/>
                <w:szCs w:val="20"/>
                <w:color w:val="auto"/>
              </w:rPr>
            </w:pPr>
            <w:r>
              <w:rPr>
                <w:rFonts w:ascii="Arial" w:cs="Arial" w:eastAsia="Arial" w:hAnsi="Arial"/>
                <w:sz w:val="13"/>
                <w:szCs w:val="13"/>
                <w:color w:val="auto"/>
              </w:rPr>
              <w:t>148,718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181,436</w:t>
            </w:r>
          </w:p>
        </w:tc>
        <w:tc>
          <w:tcPr>
            <w:tcW w:w="82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35"/>
        </w:trPr>
        <w:tc>
          <w:tcPr>
            <w:tcW w:w="190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Pen-Link, Ltd. (d)</w:t>
            </w:r>
          </w:p>
        </w:tc>
        <w:tc>
          <w:tcPr>
            <w:tcW w:w="13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Software</w:t>
            </w:r>
          </w:p>
        </w:tc>
        <w:tc>
          <w:tcPr>
            <w:tcW w:w="3700" w:type="dxa"/>
            <w:vAlign w:val="bottom"/>
            <w:shd w:val="clear" w:color="auto" w:fill="CCEEFF"/>
          </w:tcPr>
          <w:p>
            <w:pPr>
              <w:ind w:left="220"/>
              <w:spacing w:after="0" w:line="135" w:lineRule="exact"/>
              <w:rPr>
                <w:sz w:val="20"/>
                <w:szCs w:val="20"/>
                <w:color w:val="auto"/>
              </w:rPr>
            </w:pPr>
            <w:r>
              <w:rPr>
                <w:rFonts w:ascii="Arial" w:cs="Arial" w:eastAsia="Arial" w:hAnsi="Arial"/>
                <w:sz w:val="13"/>
                <w:szCs w:val="13"/>
                <w:color w:val="auto"/>
              </w:rPr>
              <w:t>Second Lien Term Loan 12.50% Cash, 5/26/2019</w:t>
            </w:r>
          </w:p>
        </w:tc>
        <w:tc>
          <w:tcPr>
            <w:tcW w:w="460" w:type="dxa"/>
            <w:vAlign w:val="bottom"/>
            <w:shd w:val="clear" w:color="auto" w:fill="CCEEFF"/>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7"/>
              <w:spacing w:after="0" w:line="135" w:lineRule="exact"/>
              <w:rPr>
                <w:sz w:val="20"/>
                <w:szCs w:val="20"/>
                <w:color w:val="auto"/>
              </w:rPr>
            </w:pPr>
            <w:r>
              <w:rPr>
                <w:rFonts w:ascii="Arial" w:cs="Arial" w:eastAsia="Arial" w:hAnsi="Arial"/>
                <w:sz w:val="13"/>
                <w:szCs w:val="13"/>
                <w:color w:val="auto"/>
              </w:rPr>
              <w:t>11,500,000</w:t>
            </w: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11,270,573</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11,500,000</w:t>
            </w:r>
          </w:p>
        </w:tc>
        <w:tc>
          <w:tcPr>
            <w:tcW w:w="820" w:type="dxa"/>
            <w:vAlign w:val="bottom"/>
            <w:gridSpan w:val="2"/>
            <w:shd w:val="clear" w:color="auto" w:fill="CCEEFF"/>
          </w:tcPr>
          <w:p>
            <w:pPr>
              <w:jc w:val="right"/>
              <w:ind w:right="40"/>
              <w:spacing w:after="0" w:line="135" w:lineRule="exact"/>
              <w:rPr>
                <w:sz w:val="20"/>
                <w:szCs w:val="20"/>
                <w:color w:val="auto"/>
              </w:rPr>
            </w:pPr>
            <w:r>
              <w:rPr>
                <w:rFonts w:ascii="Arial" w:cs="Arial" w:eastAsia="Arial" w:hAnsi="Arial"/>
                <w:sz w:val="13"/>
                <w:szCs w:val="13"/>
                <w:color w:val="auto"/>
              </w:rPr>
              <w:t>10.3%</w:t>
            </w:r>
          </w:p>
        </w:tc>
        <w:tc>
          <w:tcPr>
            <w:tcW w:w="0" w:type="dxa"/>
            <w:vAlign w:val="bottom"/>
          </w:tcPr>
          <w:p>
            <w:pPr>
              <w:spacing w:after="0"/>
              <w:rPr>
                <w:sz w:val="1"/>
                <w:szCs w:val="1"/>
                <w:color w:val="auto"/>
              </w:rPr>
            </w:pPr>
          </w:p>
        </w:tc>
      </w:tr>
      <w:tr>
        <w:trPr>
          <w:trHeight w:val="20"/>
        </w:trPr>
        <w:tc>
          <w:tcPr>
            <w:tcW w:w="19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700" w:type="dxa"/>
            <w:vAlign w:val="bottom"/>
            <w:vMerge w:val="restart"/>
          </w:tcPr>
          <w:p>
            <w:pPr>
              <w:jc w:val="right"/>
              <w:ind w:right="18"/>
              <w:spacing w:after="0"/>
              <w:rPr>
                <w:sz w:val="20"/>
                <w:szCs w:val="20"/>
                <w:color w:val="auto"/>
              </w:rPr>
            </w:pPr>
            <w:r>
              <w:rPr>
                <w:rFonts w:ascii="Arial" w:cs="Arial" w:eastAsia="Arial" w:hAnsi="Arial"/>
                <w:sz w:val="13"/>
                <w:szCs w:val="13"/>
                <w:color w:val="auto"/>
              </w:rPr>
              <w:t>Total Software</w:t>
            </w: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700" w:type="dxa"/>
            <w:vAlign w:val="bottom"/>
            <w:vMerge w:val="continue"/>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17,461,449</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17,833,000</w:t>
            </w:r>
          </w:p>
        </w:tc>
        <w:tc>
          <w:tcPr>
            <w:tcW w:w="160" w:type="dxa"/>
            <w:vAlign w:val="bottom"/>
            <w:vMerge w:val="continue"/>
          </w:tcPr>
          <w:p>
            <w:pPr>
              <w:spacing w:after="0"/>
              <w:rPr>
                <w:sz w:val="11"/>
                <w:szCs w:val="11"/>
                <w:color w:val="auto"/>
              </w:rPr>
            </w:pPr>
          </w:p>
        </w:tc>
        <w:tc>
          <w:tcPr>
            <w:tcW w:w="8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16.0%</w:t>
            </w:r>
          </w:p>
        </w:tc>
        <w:tc>
          <w:tcPr>
            <w:tcW w:w="0" w:type="dxa"/>
            <w:vAlign w:val="bottom"/>
          </w:tcPr>
          <w:p>
            <w:pPr>
              <w:spacing w:after="0"/>
              <w:rPr>
                <w:sz w:val="1"/>
                <w:szCs w:val="1"/>
                <w:color w:val="auto"/>
              </w:rPr>
            </w:pPr>
          </w:p>
        </w:tc>
      </w:tr>
      <w:tr>
        <w:trPr>
          <w:trHeight w:val="97"/>
        </w:trPr>
        <w:tc>
          <w:tcPr>
            <w:tcW w:w="1900" w:type="dxa"/>
            <w:vAlign w:val="bottom"/>
            <w:tcBorders>
              <w:top w:val="single" w:sz="8" w:color="CCEEFF"/>
            </w:tcBorders>
            <w:shd w:val="clear" w:color="auto" w:fill="CCEEFF"/>
          </w:tcPr>
          <w:p>
            <w:pPr>
              <w:spacing w:after="0" w:line="97" w:lineRule="exact"/>
              <w:rPr>
                <w:sz w:val="20"/>
                <w:szCs w:val="20"/>
                <w:color w:val="auto"/>
              </w:rPr>
            </w:pPr>
            <w:r>
              <w:rPr>
                <w:rFonts w:ascii="Arial" w:cs="Arial" w:eastAsia="Arial" w:hAnsi="Arial"/>
                <w:sz w:val="11"/>
                <w:szCs w:val="11"/>
                <w:b w:val="1"/>
                <w:bCs w:val="1"/>
                <w:color w:val="auto"/>
              </w:rPr>
              <w:t>Sub Total Non-control/Non-</w:t>
            </w:r>
          </w:p>
        </w:tc>
        <w:tc>
          <w:tcPr>
            <w:tcW w:w="1300" w:type="dxa"/>
            <w:vAlign w:val="bottom"/>
            <w:tcBorders>
              <w:top w:val="single" w:sz="8" w:color="CCEEFF"/>
            </w:tcBorders>
            <w:shd w:val="clear" w:color="auto" w:fill="CCEEFF"/>
          </w:tcPr>
          <w:p>
            <w:pPr>
              <w:spacing w:after="0"/>
              <w:rPr>
                <w:sz w:val="8"/>
                <w:szCs w:val="8"/>
                <w:color w:val="auto"/>
              </w:rPr>
            </w:pPr>
          </w:p>
        </w:tc>
        <w:tc>
          <w:tcPr>
            <w:tcW w:w="3700" w:type="dxa"/>
            <w:vAlign w:val="bottom"/>
            <w:tcBorders>
              <w:top w:val="single" w:sz="8" w:color="CCEEFF"/>
            </w:tcBorders>
            <w:shd w:val="clear" w:color="auto" w:fill="CCEEFF"/>
          </w:tcPr>
          <w:p>
            <w:pPr>
              <w:spacing w:after="0"/>
              <w:rPr>
                <w:sz w:val="8"/>
                <w:szCs w:val="8"/>
                <w:color w:val="auto"/>
              </w:rPr>
            </w:pPr>
          </w:p>
        </w:tc>
        <w:tc>
          <w:tcPr>
            <w:tcW w:w="460" w:type="dxa"/>
            <w:vAlign w:val="bottom"/>
            <w:tcBorders>
              <w:top w:val="single" w:sz="8" w:color="CCEEFF"/>
            </w:tcBorders>
            <w:shd w:val="clear" w:color="auto" w:fill="CCEEFF"/>
          </w:tcPr>
          <w:p>
            <w:pPr>
              <w:spacing w:after="0"/>
              <w:rPr>
                <w:sz w:val="8"/>
                <w:szCs w:val="8"/>
                <w:color w:val="auto"/>
              </w:rPr>
            </w:pPr>
          </w:p>
        </w:tc>
        <w:tc>
          <w:tcPr>
            <w:tcW w:w="1020" w:type="dxa"/>
            <w:vAlign w:val="bottom"/>
            <w:tcBorders>
              <w:top w:val="single" w:sz="8" w:color="CCEEFF"/>
            </w:tcBorders>
            <w:shd w:val="clear" w:color="auto" w:fill="CCEEFF"/>
          </w:tcPr>
          <w:p>
            <w:pPr>
              <w:spacing w:after="0"/>
              <w:rPr>
                <w:sz w:val="8"/>
                <w:szCs w:val="8"/>
                <w:color w:val="auto"/>
              </w:rPr>
            </w:pPr>
          </w:p>
        </w:tc>
        <w:tc>
          <w:tcPr>
            <w:tcW w:w="160" w:type="dxa"/>
            <w:vAlign w:val="bottom"/>
            <w:tcBorders>
              <w:top w:val="single" w:sz="8" w:color="auto"/>
            </w:tcBorders>
            <w:shd w:val="clear" w:color="auto" w:fill="CCEEFF"/>
          </w:tcPr>
          <w:p>
            <w:pPr>
              <w:spacing w:after="0"/>
              <w:rPr>
                <w:sz w:val="8"/>
                <w:szCs w:val="8"/>
                <w:color w:val="auto"/>
              </w:rPr>
            </w:pPr>
          </w:p>
        </w:tc>
        <w:tc>
          <w:tcPr>
            <w:tcW w:w="74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20" w:type="dxa"/>
            <w:vAlign w:val="bottom"/>
            <w:tcBorders>
              <w:top w:val="single" w:sz="8" w:color="auto"/>
            </w:tcBorders>
            <w:shd w:val="clear" w:color="auto" w:fill="CCEEFF"/>
          </w:tcPr>
          <w:p>
            <w:pPr>
              <w:spacing w:after="0"/>
              <w:rPr>
                <w:sz w:val="8"/>
                <w:szCs w:val="8"/>
                <w:color w:val="auto"/>
              </w:rPr>
            </w:pPr>
          </w:p>
        </w:tc>
        <w:tc>
          <w:tcPr>
            <w:tcW w:w="78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4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53"/>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b w:val="1"/>
                <w:bCs w:val="1"/>
                <w:color w:val="auto"/>
              </w:rPr>
              <w:t>affiliated investments</w:t>
            </w:r>
          </w:p>
        </w:tc>
        <w:tc>
          <w:tcPr>
            <w:tcW w:w="1300" w:type="dxa"/>
            <w:vAlign w:val="bottom"/>
            <w:shd w:val="clear" w:color="auto" w:fill="CCEEFF"/>
          </w:tcPr>
          <w:p>
            <w:pPr>
              <w:spacing w:after="0"/>
              <w:rPr>
                <w:sz w:val="13"/>
                <w:szCs w:val="13"/>
                <w:color w:val="auto"/>
              </w:rPr>
            </w:pPr>
          </w:p>
        </w:tc>
        <w:tc>
          <w:tcPr>
            <w:tcW w:w="370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180,323,606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179,759,938</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161.6%</w:t>
            </w:r>
          </w:p>
        </w:tc>
        <w:tc>
          <w:tcPr>
            <w:tcW w:w="0" w:type="dxa"/>
            <w:vAlign w:val="bottom"/>
          </w:tcPr>
          <w:p>
            <w:pPr>
              <w:spacing w:after="0"/>
              <w:rPr>
                <w:sz w:val="1"/>
                <w:szCs w:val="1"/>
                <w:color w:val="auto"/>
              </w:rPr>
            </w:pPr>
          </w:p>
        </w:tc>
      </w:tr>
      <w:tr>
        <w:trPr>
          <w:trHeight w:val="115"/>
        </w:trPr>
        <w:tc>
          <w:tcPr>
            <w:tcW w:w="1900" w:type="dxa"/>
            <w:vAlign w:val="bottom"/>
          </w:tcPr>
          <w:p>
            <w:pPr>
              <w:spacing w:after="0" w:line="115" w:lineRule="exact"/>
              <w:rPr>
                <w:sz w:val="20"/>
                <w:szCs w:val="20"/>
                <w:color w:val="auto"/>
              </w:rPr>
            </w:pPr>
            <w:r>
              <w:rPr>
                <w:rFonts w:ascii="Arial" w:cs="Arial" w:eastAsia="Arial" w:hAnsi="Arial"/>
                <w:sz w:val="13"/>
                <w:szCs w:val="13"/>
                <w:b w:val="1"/>
                <w:bCs w:val="1"/>
                <w:color w:val="auto"/>
                <w:w w:val="96"/>
              </w:rPr>
              <w:t>Control investments - 17.1% (b)</w:t>
            </w:r>
          </w:p>
        </w:tc>
        <w:tc>
          <w:tcPr>
            <w:tcW w:w="1300" w:type="dxa"/>
            <w:vAlign w:val="bottom"/>
          </w:tcPr>
          <w:p>
            <w:pPr>
              <w:spacing w:after="0"/>
              <w:rPr>
                <w:sz w:val="10"/>
                <w:szCs w:val="10"/>
                <w:color w:val="auto"/>
              </w:rPr>
            </w:pPr>
          </w:p>
        </w:tc>
        <w:tc>
          <w:tcPr>
            <w:tcW w:w="3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90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Saratoga Investment Corp. CLO</w:t>
            </w:r>
          </w:p>
        </w:tc>
        <w:tc>
          <w:tcPr>
            <w:tcW w:w="1300" w:type="dxa"/>
            <w:vAlign w:val="bottom"/>
            <w:shd w:val="clear" w:color="auto" w:fill="CCEEFF"/>
          </w:tcPr>
          <w:p>
            <w:pPr>
              <w:ind w:left="120"/>
              <w:spacing w:after="0" w:line="121" w:lineRule="exact"/>
              <w:rPr>
                <w:sz w:val="20"/>
                <w:szCs w:val="20"/>
                <w:color w:val="auto"/>
              </w:rPr>
            </w:pPr>
            <w:r>
              <w:rPr>
                <w:rFonts w:ascii="Arial" w:cs="Arial" w:eastAsia="Arial" w:hAnsi="Arial"/>
                <w:sz w:val="13"/>
                <w:szCs w:val="13"/>
                <w:color w:val="auto"/>
              </w:rPr>
              <w:t>Structured Finance</w:t>
            </w:r>
          </w:p>
        </w:tc>
        <w:tc>
          <w:tcPr>
            <w:tcW w:w="3700" w:type="dxa"/>
            <w:vAlign w:val="bottom"/>
            <w:shd w:val="clear" w:color="auto" w:fill="CCEEFF"/>
          </w:tcPr>
          <w:p>
            <w:pPr>
              <w:ind w:left="220"/>
              <w:spacing w:after="0" w:line="121" w:lineRule="exact"/>
              <w:rPr>
                <w:sz w:val="20"/>
                <w:szCs w:val="20"/>
                <w:color w:val="auto"/>
              </w:rPr>
            </w:pPr>
            <w:r>
              <w:rPr>
                <w:rFonts w:ascii="Arial" w:cs="Arial" w:eastAsia="Arial" w:hAnsi="Arial"/>
                <w:sz w:val="13"/>
                <w:szCs w:val="13"/>
                <w:color w:val="auto"/>
              </w:rPr>
              <w:t>Other/Structured Finance Securities 14.78%, 10/17/2023</w:t>
            </w:r>
          </w:p>
        </w:tc>
        <w:tc>
          <w:tcPr>
            <w:tcW w:w="46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900" w:type="dxa"/>
            <w:vAlign w:val="bottom"/>
            <w:shd w:val="clear" w:color="auto" w:fill="CCEEFF"/>
          </w:tcPr>
          <w:p>
            <w:pPr>
              <w:ind w:left="180"/>
              <w:spacing w:after="0"/>
              <w:rPr>
                <w:sz w:val="20"/>
                <w:szCs w:val="20"/>
                <w:color w:val="auto"/>
              </w:rPr>
            </w:pPr>
            <w:r>
              <w:rPr>
                <w:rFonts w:ascii="Arial" w:cs="Arial" w:eastAsia="Arial" w:hAnsi="Arial"/>
                <w:sz w:val="13"/>
                <w:szCs w:val="13"/>
                <w:color w:val="auto"/>
              </w:rPr>
              <w:t>2013-1, Ltd. (d, e, f)</w:t>
            </w:r>
          </w:p>
        </w:tc>
        <w:tc>
          <w:tcPr>
            <w:tcW w:w="13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Securities</w:t>
            </w:r>
          </w:p>
        </w:tc>
        <w:tc>
          <w:tcPr>
            <w:tcW w:w="3700" w:type="dxa"/>
            <w:vAlign w:val="bottom"/>
            <w:shd w:val="clear" w:color="auto" w:fill="CCEEFF"/>
          </w:tcPr>
          <w:p>
            <w:pPr>
              <w:spacing w:after="0"/>
              <w:rPr>
                <w:sz w:val="12"/>
                <w:szCs w:val="12"/>
                <w:color w:val="auto"/>
              </w:rPr>
            </w:pPr>
          </w:p>
        </w:tc>
        <w:tc>
          <w:tcPr>
            <w:tcW w:w="460" w:type="dxa"/>
            <w:vAlign w:val="bottom"/>
            <w:shd w:val="clear" w:color="auto" w:fill="CCEEFF"/>
          </w:tcPr>
          <w:p>
            <w:pPr>
              <w:jc w:val="right"/>
              <w:ind w:right="237"/>
              <w:spacing w:after="0"/>
              <w:rPr>
                <w:sz w:val="20"/>
                <w:szCs w:val="20"/>
                <w:color w:val="auto"/>
              </w:rPr>
            </w:pPr>
            <w:r>
              <w:rPr>
                <w:rFonts w:ascii="Arial" w:cs="Arial" w:eastAsia="Arial" w:hAnsi="Arial"/>
                <w:sz w:val="13"/>
                <w:szCs w:val="13"/>
                <w:color w:val="auto"/>
              </w:rPr>
              <w:t>$</w:t>
            </w: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30,000,000</w:t>
            </w: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16,555,808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19,018,842</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1900" w:type="dxa"/>
            <w:vAlign w:val="bottom"/>
            <w:vMerge w:val="restart"/>
          </w:tcPr>
          <w:p>
            <w:pPr>
              <w:spacing w:after="0"/>
              <w:rPr>
                <w:sz w:val="20"/>
                <w:szCs w:val="20"/>
                <w:color w:val="auto"/>
              </w:rPr>
            </w:pPr>
            <w:r>
              <w:rPr>
                <w:rFonts w:ascii="Arial" w:cs="Arial" w:eastAsia="Arial" w:hAnsi="Arial"/>
                <w:sz w:val="13"/>
                <w:szCs w:val="13"/>
                <w:b w:val="1"/>
                <w:bCs w:val="1"/>
                <w:color w:val="auto"/>
                <w:w w:val="99"/>
              </w:rPr>
              <w:t>Sub Total Control investments</w:t>
            </w:r>
          </w:p>
        </w:tc>
        <w:tc>
          <w:tcPr>
            <w:tcW w:w="130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900" w:type="dxa"/>
            <w:vAlign w:val="bottom"/>
            <w:vMerge w:val="continue"/>
          </w:tcPr>
          <w:p>
            <w:pPr>
              <w:spacing w:after="0"/>
              <w:rPr>
                <w:sz w:val="11"/>
                <w:szCs w:val="11"/>
                <w:color w:val="auto"/>
              </w:rPr>
            </w:pPr>
          </w:p>
        </w:tc>
        <w:tc>
          <w:tcPr>
            <w:tcW w:w="1300" w:type="dxa"/>
            <w:vAlign w:val="bottom"/>
          </w:tcPr>
          <w:p>
            <w:pPr>
              <w:spacing w:after="0"/>
              <w:rPr>
                <w:sz w:val="11"/>
                <w:szCs w:val="11"/>
                <w:color w:val="auto"/>
              </w:rPr>
            </w:pPr>
          </w:p>
        </w:tc>
        <w:tc>
          <w:tcPr>
            <w:tcW w:w="3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16,555,808</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3"/>
                <w:szCs w:val="13"/>
                <w:color w:val="auto"/>
              </w:rPr>
              <w:t>19,018,842</w:t>
            </w:r>
          </w:p>
        </w:tc>
        <w:tc>
          <w:tcPr>
            <w:tcW w:w="160" w:type="dxa"/>
            <w:vAlign w:val="bottom"/>
            <w:vMerge w:val="continue"/>
          </w:tcPr>
          <w:p>
            <w:pPr>
              <w:spacing w:after="0"/>
              <w:rPr>
                <w:sz w:val="11"/>
                <w:szCs w:val="11"/>
                <w:color w:val="auto"/>
              </w:rPr>
            </w:pPr>
          </w:p>
        </w:tc>
        <w:tc>
          <w:tcPr>
            <w:tcW w:w="820" w:type="dxa"/>
            <w:vAlign w:val="bottom"/>
            <w:gridSpan w:val="2"/>
          </w:tcPr>
          <w:p>
            <w:pPr>
              <w:jc w:val="right"/>
              <w:ind w:right="40"/>
              <w:spacing w:after="0" w:line="129" w:lineRule="exact"/>
              <w:rPr>
                <w:sz w:val="20"/>
                <w:szCs w:val="20"/>
                <w:color w:val="auto"/>
              </w:rPr>
            </w:pPr>
            <w:r>
              <w:rPr>
                <w:rFonts w:ascii="Arial" w:cs="Arial" w:eastAsia="Arial" w:hAnsi="Arial"/>
                <w:sz w:val="13"/>
                <w:szCs w:val="13"/>
                <w:color w:val="auto"/>
              </w:rPr>
              <w:t>17.1%</w:t>
            </w:r>
          </w:p>
        </w:tc>
        <w:tc>
          <w:tcPr>
            <w:tcW w:w="0" w:type="dxa"/>
            <w:vAlign w:val="bottom"/>
          </w:tcPr>
          <w:p>
            <w:pPr>
              <w:spacing w:after="0"/>
              <w:rPr>
                <w:sz w:val="1"/>
                <w:szCs w:val="1"/>
                <w:color w:val="auto"/>
              </w:rPr>
            </w:pPr>
          </w:p>
        </w:tc>
      </w:tr>
      <w:tr>
        <w:trPr>
          <w:trHeight w:val="20"/>
        </w:trPr>
        <w:tc>
          <w:tcPr>
            <w:tcW w:w="1900" w:type="dxa"/>
            <w:vAlign w:val="bottom"/>
            <w:vMerge w:val="restart"/>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TOTAL INVESTMENTS -</w:t>
            </w:r>
          </w:p>
        </w:tc>
        <w:tc>
          <w:tcPr>
            <w:tcW w:w="1300" w:type="dxa"/>
            <w:vAlign w:val="bottom"/>
            <w:shd w:val="clear" w:color="auto" w:fill="CCEEFF"/>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1900" w:type="dxa"/>
            <w:vAlign w:val="bottom"/>
            <w:vMerge w:val="continue"/>
            <w:shd w:val="clear" w:color="auto" w:fill="CCEEFF"/>
          </w:tcPr>
          <w:p>
            <w:pPr>
              <w:spacing w:after="0"/>
              <w:rPr>
                <w:sz w:val="8"/>
                <w:szCs w:val="8"/>
                <w:color w:val="auto"/>
              </w:rPr>
            </w:pPr>
          </w:p>
        </w:tc>
        <w:tc>
          <w:tcPr>
            <w:tcW w:w="1300" w:type="dxa"/>
            <w:vAlign w:val="bottom"/>
            <w:shd w:val="clear" w:color="auto" w:fill="CCEEFF"/>
          </w:tcPr>
          <w:p>
            <w:pPr>
              <w:spacing w:after="0"/>
              <w:rPr>
                <w:sz w:val="8"/>
                <w:szCs w:val="8"/>
                <w:color w:val="auto"/>
              </w:rPr>
            </w:pPr>
          </w:p>
        </w:tc>
        <w:tc>
          <w:tcPr>
            <w:tcW w:w="3700" w:type="dxa"/>
            <w:vAlign w:val="bottom"/>
            <w:shd w:val="clear" w:color="auto" w:fill="CCEEFF"/>
          </w:tcPr>
          <w:p>
            <w:pPr>
              <w:spacing w:after="0"/>
              <w:rPr>
                <w:sz w:val="8"/>
                <w:szCs w:val="8"/>
                <w:color w:val="auto"/>
              </w:rPr>
            </w:pPr>
          </w:p>
        </w:tc>
        <w:tc>
          <w:tcPr>
            <w:tcW w:w="460" w:type="dxa"/>
            <w:vAlign w:val="bottom"/>
            <w:shd w:val="clear" w:color="auto" w:fill="CCEEFF"/>
          </w:tcPr>
          <w:p>
            <w:pPr>
              <w:spacing w:after="0"/>
              <w:rPr>
                <w:sz w:val="8"/>
                <w:szCs w:val="8"/>
                <w:color w:val="auto"/>
              </w:rPr>
            </w:pPr>
          </w:p>
        </w:tc>
        <w:tc>
          <w:tcPr>
            <w:tcW w:w="1020" w:type="dxa"/>
            <w:vAlign w:val="bottom"/>
            <w:vMerge w:val="restart"/>
            <w:shd w:val="clear" w:color="auto" w:fill="CCEEFF"/>
          </w:tcPr>
          <w:p>
            <w:pPr>
              <w:spacing w:after="0"/>
              <w:rPr>
                <w:sz w:val="8"/>
                <w:szCs w:val="8"/>
                <w:color w:val="auto"/>
              </w:rPr>
            </w:pPr>
          </w:p>
        </w:tc>
        <w:tc>
          <w:tcPr>
            <w:tcW w:w="160" w:type="dxa"/>
            <w:vAlign w:val="bottom"/>
            <w:vMerge w:val="restart"/>
            <w:shd w:val="clear" w:color="auto" w:fill="CCEEFF"/>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196,879,414</w:t>
            </w:r>
          </w:p>
        </w:tc>
        <w:tc>
          <w:tcPr>
            <w:tcW w:w="80" w:type="dxa"/>
            <w:vAlign w:val="bottom"/>
            <w:shd w:val="clear" w:color="auto" w:fill="CCEEFF"/>
          </w:tcPr>
          <w:p>
            <w:pPr>
              <w:spacing w:after="0"/>
              <w:rPr>
                <w:sz w:val="8"/>
                <w:szCs w:val="8"/>
                <w:color w:val="auto"/>
              </w:rPr>
            </w:pPr>
          </w:p>
        </w:tc>
        <w:tc>
          <w:tcPr>
            <w:tcW w:w="3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b w:val="1"/>
                <w:bCs w:val="1"/>
                <w:color w:val="auto"/>
              </w:rPr>
              <w:t>198,778,780</w:t>
            </w:r>
          </w:p>
        </w:tc>
        <w:tc>
          <w:tcPr>
            <w:tcW w:w="82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178.7%</w:t>
            </w:r>
          </w:p>
        </w:tc>
        <w:tc>
          <w:tcPr>
            <w:tcW w:w="0" w:type="dxa"/>
            <w:vAlign w:val="bottom"/>
          </w:tcPr>
          <w:p>
            <w:pPr>
              <w:spacing w:after="0"/>
              <w:rPr>
                <w:sz w:val="1"/>
                <w:szCs w:val="1"/>
                <w:color w:val="auto"/>
              </w:rPr>
            </w:pPr>
          </w:p>
        </w:tc>
      </w:tr>
      <w:tr>
        <w:trPr>
          <w:trHeight w:val="140"/>
        </w:trPr>
        <w:tc>
          <w:tcPr>
            <w:tcW w:w="1900" w:type="dxa"/>
            <w:vAlign w:val="bottom"/>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178.7% (b)</w:t>
            </w:r>
          </w:p>
        </w:tc>
        <w:tc>
          <w:tcPr>
            <w:tcW w:w="1300" w:type="dxa"/>
            <w:vAlign w:val="bottom"/>
            <w:shd w:val="clear" w:color="auto" w:fill="CCEEFF"/>
          </w:tcPr>
          <w:p>
            <w:pPr>
              <w:spacing w:after="0"/>
              <w:rPr>
                <w:sz w:val="12"/>
                <w:szCs w:val="12"/>
                <w:color w:val="auto"/>
              </w:rPr>
            </w:pPr>
          </w:p>
        </w:tc>
        <w:tc>
          <w:tcPr>
            <w:tcW w:w="37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2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00" w:type="dxa"/>
            <w:vAlign w:val="bottom"/>
            <w:gridSpan w:val="2"/>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212090</wp:posOffset>
            </wp:positionV>
            <wp:extent cx="18268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0" w:lineRule="exact"/>
        <w:rPr>
          <w:sz w:val="20"/>
          <w:szCs w:val="20"/>
          <w:color w:val="auto"/>
        </w:rPr>
      </w:pPr>
    </w:p>
    <w:p>
      <w:pPr>
        <w:ind w:left="360" w:hanging="352"/>
        <w:spacing w:after="0"/>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All of our equity and debt investments are issued by eligible portfolio companies, as defined in the Investment Company Act of 1940, except Saratoga Investment Corp. CLO 2013-1, Ltd.</w:t>
      </w:r>
    </w:p>
    <w:p>
      <w:pPr>
        <w:ind w:left="380" w:hanging="372"/>
        <w:spacing w:after="0" w:line="216"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Percentages are based on net assets of $111,206,093 as of November 30, 2013.</w:t>
      </w:r>
    </w:p>
    <w:p>
      <w:pPr>
        <w:ind w:left="360" w:hanging="352"/>
        <w:spacing w:after="0"/>
        <w:tabs>
          <w:tab w:leader="none" w:pos="360" w:val="left"/>
        </w:tabs>
        <w:numPr>
          <w:ilvl w:val="0"/>
          <w:numId w:val="3"/>
        </w:numPr>
        <w:rPr>
          <w:rFonts w:ascii="Arial" w:cs="Arial" w:eastAsia="Arial" w:hAnsi="Arial"/>
          <w:sz w:val="11"/>
          <w:szCs w:val="11"/>
          <w:color w:val="auto"/>
        </w:rPr>
      </w:pPr>
      <w:r>
        <w:rPr>
          <w:rFonts w:ascii="Arial" w:cs="Arial" w:eastAsia="Arial" w:hAnsi="Arial"/>
          <w:sz w:val="11"/>
          <w:szCs w:val="11"/>
          <w:color w:val="auto"/>
        </w:rPr>
        <w:t>Because there is no readily available market value for these investments, the fair value of these investments is approved in good faith by our board of directors. (see Note 3 to the consolidated financial statements).</w:t>
      </w:r>
    </w:p>
    <w:p>
      <w:pPr>
        <w:spacing w:after="0" w:line="8" w:lineRule="exact"/>
        <w:rPr>
          <w:rFonts w:ascii="Arial" w:cs="Arial" w:eastAsia="Arial" w:hAnsi="Arial"/>
          <w:sz w:val="11"/>
          <w:szCs w:val="11"/>
          <w:color w:val="auto"/>
        </w:rPr>
      </w:pPr>
    </w:p>
    <w:p>
      <w:pPr>
        <w:ind w:left="380" w:hanging="372"/>
        <w:spacing w:after="0" w:line="216" w:lineRule="auto"/>
        <w:tabs>
          <w:tab w:leader="none" w:pos="3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These securities are pledged as collateral under a senior secured revolving credit facility (see Note 6 to the consolidated financial statements).</w:t>
      </w:r>
    </w:p>
    <w:p>
      <w:pPr>
        <w:ind w:left="360" w:hanging="352"/>
        <w:spacing w:after="0" w:line="216" w:lineRule="auto"/>
        <w:tabs>
          <w:tab w:leader="none" w:pos="360" w:val="left"/>
        </w:tabs>
        <w:numPr>
          <w:ilvl w:val="0"/>
          <w:numId w:val="3"/>
        </w:numPr>
        <w:rPr>
          <w:rFonts w:ascii="Arial" w:cs="Arial" w:eastAsia="Arial" w:hAnsi="Arial"/>
          <w:sz w:val="13"/>
          <w:szCs w:val="13"/>
          <w:color w:val="auto"/>
        </w:rPr>
      </w:pPr>
      <w:r>
        <w:rPr>
          <w:rFonts w:ascii="Arial" w:cs="Arial" w:eastAsia="Arial" w:hAnsi="Arial"/>
          <w:sz w:val="13"/>
          <w:szCs w:val="13"/>
          <w:color w:val="auto"/>
        </w:rPr>
        <w:t>14.78% represents the modeled effective interest rate that is expected to be earned over the life of the investment.</w:t>
      </w:r>
    </w:p>
    <w:p>
      <w:pPr>
        <w:ind w:left="340" w:right="160" w:hanging="332"/>
        <w:spacing w:after="0" w:line="229" w:lineRule="auto"/>
        <w:tabs>
          <w:tab w:leader="none" w:pos="394" w:val="left"/>
        </w:tabs>
        <w:numPr>
          <w:ilvl w:val="0"/>
          <w:numId w:val="3"/>
        </w:numPr>
        <w:rPr>
          <w:rFonts w:ascii="Arial" w:cs="Arial" w:eastAsia="Arial" w:hAnsi="Arial"/>
          <w:sz w:val="13"/>
          <w:szCs w:val="13"/>
          <w:color w:val="auto"/>
        </w:rPr>
      </w:pPr>
      <w:r>
        <w:rPr>
          <w:rFonts w:ascii="Arial" w:cs="Arial" w:eastAsia="Arial" w:hAnsi="Arial"/>
          <w:sz w:val="13"/>
          <w:szCs w:val="13"/>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Redemptions</w:t>
            </w: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Sales (cost)</w:t>
            </w: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Interest</w:t>
            </w:r>
          </w:p>
        </w:tc>
        <w:tc>
          <w:tcPr>
            <w:tcW w:w="120" w:type="dxa"/>
            <w:vAlign w:val="bottom"/>
          </w:tcPr>
          <w:p>
            <w:pPr>
              <w:spacing w:after="0"/>
              <w:rPr>
                <w:sz w:val="14"/>
                <w:szCs w:val="14"/>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Management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Net Realized</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24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Income</w:t>
            </w:r>
          </w:p>
        </w:tc>
        <w:tc>
          <w:tcPr>
            <w:tcW w:w="12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fee income</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gains/(losses)</w:t>
            </w:r>
          </w:p>
        </w:tc>
        <w:tc>
          <w:tcPr>
            <w:tcW w:w="11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gains/(losses)</w:t>
            </w:r>
          </w:p>
        </w:tc>
        <w:tc>
          <w:tcPr>
            <w:tcW w:w="0" w:type="dxa"/>
            <w:vAlign w:val="bottom"/>
          </w:tcPr>
          <w:p>
            <w:pPr>
              <w:spacing w:after="0"/>
              <w:rPr>
                <w:sz w:val="1"/>
                <w:szCs w:val="1"/>
                <w:color w:val="auto"/>
              </w:rPr>
            </w:pPr>
          </w:p>
        </w:tc>
      </w:tr>
      <w:tr>
        <w:trPr>
          <w:trHeight w:val="195"/>
        </w:trPr>
        <w:tc>
          <w:tcPr>
            <w:tcW w:w="230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Saratoga Investment Corp.</w:t>
            </w:r>
          </w:p>
        </w:tc>
        <w:tc>
          <w:tcPr>
            <w:tcW w:w="16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4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CLO 2013-1, Ltd.</w:t>
            </w:r>
          </w:p>
        </w:tc>
        <w:tc>
          <w:tcPr>
            <w:tcW w:w="860" w:type="dxa"/>
            <w:vAlign w:val="bottom"/>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116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707"/>
              <w:spacing w:after="0"/>
              <w:rPr>
                <w:sz w:val="20"/>
                <w:szCs w:val="20"/>
                <w:color w:val="auto"/>
              </w:rPr>
            </w:pPr>
            <w:r>
              <w:rPr>
                <w:rFonts w:ascii="Arial" w:cs="Arial" w:eastAsia="Arial" w:hAnsi="Arial"/>
                <w:sz w:val="15"/>
                <w:szCs w:val="15"/>
                <w:color w:val="auto"/>
                <w:w w:val="71"/>
              </w:rPr>
              <w:t>$</w:t>
            </w:r>
          </w:p>
        </w:tc>
        <w:tc>
          <w:tcPr>
            <w:tcW w:w="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   $</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2,791,830</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1,400,039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2,463,034</w:t>
            </w:r>
          </w:p>
        </w:tc>
        <w:tc>
          <w:tcPr>
            <w:tcW w:w="0" w:type="dxa"/>
            <w:vAlign w:val="bottom"/>
          </w:tcPr>
          <w:p>
            <w:pPr>
              <w:spacing w:after="0"/>
              <w:rPr>
                <w:sz w:val="1"/>
                <w:szCs w:val="1"/>
                <w:color w:val="auto"/>
              </w:rPr>
            </w:pPr>
          </w:p>
        </w:tc>
      </w:tr>
      <w:tr>
        <w:trPr>
          <w:trHeight w:val="20"/>
        </w:trPr>
        <w:tc>
          <w:tcPr>
            <w:tcW w:w="2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(g) Non-income producing at November 30,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2013</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3"/>
                <w:szCs w:val="13"/>
                <w:b w:val="1"/>
                <w:bCs w:val="1"/>
                <w:color w:val="auto"/>
              </w:rPr>
              <w:t>Principal/</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 of</w:t>
            </w:r>
          </w:p>
        </w:tc>
        <w:tc>
          <w:tcPr>
            <w:tcW w:w="0" w:type="dxa"/>
            <w:vAlign w:val="bottom"/>
          </w:tcPr>
          <w:p>
            <w:pPr>
              <w:spacing w:after="0"/>
              <w:rPr>
                <w:sz w:val="1"/>
                <w:szCs w:val="1"/>
                <w:color w:val="auto"/>
              </w:rPr>
            </w:pPr>
          </w:p>
        </w:tc>
      </w:tr>
      <w:tr>
        <w:trPr>
          <w:trHeight w:val="153"/>
        </w:trPr>
        <w:tc>
          <w:tcPr>
            <w:tcW w:w="2020" w:type="dxa"/>
            <w:vAlign w:val="bottom"/>
            <w:gridSpan w:val="2"/>
          </w:tcPr>
          <w:p>
            <w:pPr>
              <w:spacing w:after="0"/>
              <w:rPr>
                <w:sz w:val="20"/>
                <w:szCs w:val="20"/>
                <w:color w:val="auto"/>
              </w:rPr>
            </w:pPr>
            <w:r>
              <w:rPr>
                <w:rFonts w:ascii="Arial" w:cs="Arial" w:eastAsia="Arial" w:hAnsi="Arial"/>
                <w:sz w:val="13"/>
                <w:szCs w:val="13"/>
                <w:b w:val="1"/>
                <w:bCs w:val="1"/>
                <w:color w:val="auto"/>
              </w:rPr>
              <w:t>Company (a)</w:t>
            </w:r>
          </w:p>
        </w:tc>
        <w:tc>
          <w:tcPr>
            <w:tcW w:w="1260" w:type="dxa"/>
            <w:vAlign w:val="bottom"/>
          </w:tcPr>
          <w:p>
            <w:pPr>
              <w:ind w:left="400"/>
              <w:spacing w:after="0"/>
              <w:rPr>
                <w:sz w:val="20"/>
                <w:szCs w:val="20"/>
                <w:color w:val="auto"/>
              </w:rPr>
            </w:pPr>
            <w:r>
              <w:rPr>
                <w:rFonts w:ascii="Arial" w:cs="Arial" w:eastAsia="Arial" w:hAnsi="Arial"/>
                <w:sz w:val="13"/>
                <w:szCs w:val="13"/>
                <w:b w:val="1"/>
                <w:bCs w:val="1"/>
                <w:color w:val="auto"/>
              </w:rPr>
              <w:t>Industry</w:t>
            </w:r>
          </w:p>
        </w:tc>
        <w:tc>
          <w:tcPr>
            <w:tcW w:w="180" w:type="dxa"/>
            <w:vAlign w:val="bottom"/>
          </w:tcPr>
          <w:p>
            <w:pPr>
              <w:spacing w:after="0"/>
              <w:rPr>
                <w:sz w:val="13"/>
                <w:szCs w:val="13"/>
                <w:color w:val="auto"/>
              </w:rPr>
            </w:pPr>
          </w:p>
        </w:tc>
        <w:tc>
          <w:tcPr>
            <w:tcW w:w="3480" w:type="dxa"/>
            <w:vAlign w:val="bottom"/>
            <w:gridSpan w:val="2"/>
          </w:tcPr>
          <w:p>
            <w:pPr>
              <w:ind w:left="700"/>
              <w:spacing w:after="0"/>
              <w:rPr>
                <w:sz w:val="20"/>
                <w:szCs w:val="20"/>
                <w:color w:val="auto"/>
              </w:rPr>
            </w:pPr>
            <w:r>
              <w:rPr>
                <w:rFonts w:ascii="Arial" w:cs="Arial" w:eastAsia="Arial" w:hAnsi="Arial"/>
                <w:sz w:val="13"/>
                <w:szCs w:val="13"/>
                <w:b w:val="1"/>
                <w:bCs w:val="1"/>
                <w:color w:val="auto"/>
              </w:rPr>
              <w:t>Investment Interest Rate / Maturity</w:t>
            </w:r>
          </w:p>
        </w:tc>
        <w:tc>
          <w:tcPr>
            <w:tcW w:w="120" w:type="dxa"/>
            <w:vAlign w:val="bottom"/>
          </w:tcPr>
          <w:p>
            <w:pPr>
              <w:spacing w:after="0"/>
              <w:rPr>
                <w:sz w:val="13"/>
                <w:szCs w:val="13"/>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3"/>
                <w:szCs w:val="13"/>
                <w:b w:val="1"/>
                <w:bCs w:val="1"/>
                <w:color w:val="auto"/>
                <w:w w:val="87"/>
              </w:rPr>
              <w:t>Number of Shares</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gridSpan w:val="2"/>
          </w:tcPr>
          <w:p>
            <w:pPr>
              <w:ind w:left="140"/>
              <w:spacing w:after="0"/>
              <w:rPr>
                <w:sz w:val="20"/>
                <w:szCs w:val="20"/>
                <w:color w:val="auto"/>
              </w:rPr>
            </w:pPr>
            <w:r>
              <w:rPr>
                <w:rFonts w:ascii="Arial" w:cs="Arial" w:eastAsia="Arial" w:hAnsi="Arial"/>
                <w:sz w:val="13"/>
                <w:szCs w:val="13"/>
                <w:b w:val="1"/>
                <w:bCs w:val="1"/>
                <w:color w:val="auto"/>
              </w:rPr>
              <w:t>Cost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ind w:left="40"/>
              <w:spacing w:after="0"/>
              <w:rPr>
                <w:sz w:val="20"/>
                <w:szCs w:val="20"/>
                <w:color w:val="auto"/>
              </w:rPr>
            </w:pPr>
            <w:r>
              <w:rPr>
                <w:rFonts w:ascii="Arial" w:cs="Arial" w:eastAsia="Arial" w:hAnsi="Arial"/>
                <w:sz w:val="13"/>
                <w:szCs w:val="13"/>
                <w:b w:val="1"/>
                <w:bCs w:val="1"/>
                <w:color w:val="auto"/>
              </w:rPr>
              <w:t>Fair Value (c)</w:t>
            </w:r>
          </w:p>
        </w:tc>
        <w:tc>
          <w:tcPr>
            <w:tcW w:w="780" w:type="dxa"/>
            <w:vAlign w:val="bottom"/>
            <w:gridSpan w:val="2"/>
          </w:tcPr>
          <w:p>
            <w:pPr>
              <w:jc w:val="right"/>
              <w:ind w:right="160"/>
              <w:spacing w:after="0"/>
              <w:rPr>
                <w:sz w:val="20"/>
                <w:szCs w:val="20"/>
                <w:color w:val="auto"/>
              </w:rPr>
            </w:pPr>
            <w:r>
              <w:rPr>
                <w:rFonts w:ascii="Arial" w:cs="Arial" w:eastAsia="Arial" w:hAnsi="Arial"/>
                <w:sz w:val="13"/>
                <w:szCs w:val="13"/>
                <w:b w:val="1"/>
                <w:bCs w:val="1"/>
                <w:color w:val="auto"/>
                <w:w w:val="89"/>
              </w:rPr>
              <w:t>Net Assets</w:t>
            </w:r>
          </w:p>
        </w:tc>
        <w:tc>
          <w:tcPr>
            <w:tcW w:w="0" w:type="dxa"/>
            <w:vAlign w:val="bottom"/>
          </w:tcPr>
          <w:p>
            <w:pPr>
              <w:spacing w:after="0"/>
              <w:rPr>
                <w:sz w:val="1"/>
                <w:szCs w:val="1"/>
                <w:color w:val="auto"/>
              </w:rPr>
            </w:pPr>
          </w:p>
        </w:tc>
      </w:tr>
      <w:tr>
        <w:trPr>
          <w:trHeight w:val="110"/>
        </w:trPr>
        <w:tc>
          <w:tcPr>
            <w:tcW w:w="1840" w:type="dxa"/>
            <w:vAlign w:val="bottom"/>
            <w:tcBorders>
              <w:top w:val="single" w:sz="8" w:color="auto"/>
            </w:tcBorders>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Non-control/Non-affiliated</w:t>
            </w:r>
          </w:p>
        </w:tc>
        <w:tc>
          <w:tcPr>
            <w:tcW w:w="18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6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3"/>
                <w:szCs w:val="13"/>
                <w:b w:val="1"/>
                <w:bCs w:val="1"/>
                <w:color w:val="auto"/>
              </w:rPr>
              <w:t>investments - 119.2% (b)</w:t>
            </w: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rPr>
              <w:t>Coast Plating, Inc.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Aerospace</w:t>
            </w:r>
          </w:p>
        </w:tc>
        <w:tc>
          <w:tcPr>
            <w:tcW w:w="36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First Lien Term Loan 11.70% Cash, 9/13/2014</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2,550,000</w:t>
            </w:r>
          </w:p>
        </w:tc>
        <w:tc>
          <w:tcPr>
            <w:tcW w:w="2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2,550,000</w:t>
            </w:r>
          </w:p>
        </w:tc>
        <w:tc>
          <w:tcPr>
            <w:tcW w:w="80" w:type="dxa"/>
            <w:vAlign w:val="bottom"/>
          </w:tcPr>
          <w:p>
            <w:pPr>
              <w:spacing w:after="0"/>
              <w:rPr>
                <w:sz w:val="11"/>
                <w:szCs w:val="11"/>
                <w:color w:val="auto"/>
              </w:rPr>
            </w:pPr>
          </w:p>
        </w:tc>
        <w:tc>
          <w:tcPr>
            <w:tcW w:w="180" w:type="dxa"/>
            <w:vAlign w:val="bottom"/>
            <w:gridSpan w:val="2"/>
          </w:tcPr>
          <w:p>
            <w:pPr>
              <w:jc w:val="right"/>
              <w:ind w:right="40"/>
              <w:spacing w:after="0" w:line="135" w:lineRule="exact"/>
              <w:rPr>
                <w:sz w:val="20"/>
                <w:szCs w:val="20"/>
                <w:color w:val="auto"/>
              </w:rPr>
            </w:pPr>
            <w:r>
              <w:rPr>
                <w:rFonts w:ascii="Arial" w:cs="Arial" w:eastAsia="Arial" w:hAnsi="Arial"/>
                <w:sz w:val="13"/>
                <w:szCs w:val="13"/>
                <w:color w:val="auto"/>
              </w:rPr>
              <w:t>$</w:t>
            </w: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2,550,000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Coast Plating, Inc. (d)</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Aerospace</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First Lien Term Loan 13.20% Cash, 9/13/2014</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950,000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950,000</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0.9%</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Total Aerospace</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3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3,500,000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3,500,000</w:t>
            </w:r>
          </w:p>
        </w:tc>
        <w:tc>
          <w:tcPr>
            <w:tcW w:w="16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01"/>
        </w:trPr>
        <w:tc>
          <w:tcPr>
            <w:tcW w:w="2020" w:type="dxa"/>
            <w:vAlign w:val="bottom"/>
            <w:tcBorders>
              <w:top w:val="single" w:sz="8" w:color="CCEEFF"/>
            </w:tcBorders>
            <w:gridSpan w:val="2"/>
            <w:shd w:val="clear" w:color="auto" w:fill="CCEEFF"/>
          </w:tcPr>
          <w:p>
            <w:pPr>
              <w:spacing w:after="0" w:line="101" w:lineRule="exact"/>
              <w:rPr>
                <w:sz w:val="20"/>
                <w:szCs w:val="20"/>
                <w:color w:val="auto"/>
              </w:rPr>
            </w:pPr>
            <w:r>
              <w:rPr>
                <w:rFonts w:ascii="Arial" w:cs="Arial" w:eastAsia="Arial" w:hAnsi="Arial"/>
                <w:sz w:val="11"/>
                <w:szCs w:val="11"/>
                <w:color w:val="auto"/>
              </w:rPr>
              <w:t>National Truck Protection Co., Inc.</w:t>
            </w:r>
          </w:p>
        </w:tc>
        <w:tc>
          <w:tcPr>
            <w:tcW w:w="126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1"/>
                <w:szCs w:val="11"/>
                <w:color w:val="auto"/>
              </w:rPr>
              <w:t>Automotive</w:t>
            </w:r>
          </w:p>
        </w:tc>
        <w:tc>
          <w:tcPr>
            <w:tcW w:w="3660" w:type="dxa"/>
            <w:vAlign w:val="bottom"/>
            <w:tcBorders>
              <w:top w:val="single" w:sz="8" w:color="CCEEFF"/>
            </w:tcBorders>
            <w:gridSpan w:val="3"/>
            <w:shd w:val="clear" w:color="auto" w:fill="CCEEFF"/>
          </w:tcPr>
          <w:p>
            <w:pPr>
              <w:ind w:left="180"/>
              <w:spacing w:after="0" w:line="101" w:lineRule="exact"/>
              <w:rPr>
                <w:sz w:val="20"/>
                <w:szCs w:val="20"/>
                <w:color w:val="auto"/>
              </w:rPr>
            </w:pPr>
            <w:r>
              <w:rPr>
                <w:rFonts w:ascii="Arial" w:cs="Arial" w:eastAsia="Arial" w:hAnsi="Arial"/>
                <w:sz w:val="11"/>
                <w:szCs w:val="11"/>
                <w:color w:val="auto"/>
              </w:rPr>
              <w:t>Common Stock</w:t>
            </w:r>
          </w:p>
        </w:tc>
        <w:tc>
          <w:tcPr>
            <w:tcW w:w="12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 (h)</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589</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500,000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591,827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21"/>
        </w:trPr>
        <w:tc>
          <w:tcPr>
            <w:tcW w:w="2020" w:type="dxa"/>
            <w:vAlign w:val="bottom"/>
            <w:gridSpan w:val="2"/>
          </w:tcPr>
          <w:p>
            <w:pPr>
              <w:spacing w:after="0" w:line="121" w:lineRule="exact"/>
              <w:rPr>
                <w:sz w:val="20"/>
                <w:szCs w:val="20"/>
                <w:color w:val="auto"/>
              </w:rPr>
            </w:pPr>
            <w:r>
              <w:rPr>
                <w:rFonts w:ascii="Arial" w:cs="Arial" w:eastAsia="Arial" w:hAnsi="Arial"/>
                <w:sz w:val="13"/>
                <w:szCs w:val="13"/>
                <w:color w:val="auto"/>
              </w:rPr>
              <w:t>National Truck Protection Co., Inc.</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Automotive</w:t>
            </w:r>
          </w:p>
        </w:tc>
        <w:tc>
          <w:tcPr>
            <w:tcW w:w="366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First Lien Term Loan 15.50% Cash 8/10/2017</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2"/>
          </w:tcPr>
          <w:p>
            <w:pPr>
              <w:ind w:left="180"/>
              <w:spacing w:after="0"/>
              <w:rPr>
                <w:sz w:val="20"/>
                <w:szCs w:val="20"/>
                <w:color w:val="auto"/>
              </w:rPr>
            </w:pPr>
            <w:r>
              <w:rPr>
                <w:rFonts w:ascii="Arial" w:cs="Arial" w:eastAsia="Arial" w:hAnsi="Arial"/>
                <w:sz w:val="13"/>
                <w:szCs w:val="13"/>
                <w:color w:val="auto"/>
              </w:rPr>
              <w:t>(d)</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5,500,000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5,500,000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5,500,000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Take 5 Oil Change, L.L.C. (d)</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First Lien Term Loan 9.00% Cash, 11/28/2016</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6,000,000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6,000,000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6,000,000</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rPr>
              <w:t>Take 5 Oil Change, L.L.C.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Automotive</w:t>
            </w:r>
          </w:p>
        </w:tc>
        <w:tc>
          <w:tcPr>
            <w:tcW w:w="36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First Lien Term Loan 13.00% Cash, 11/28/2016</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2,000,000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1,961,761</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2,000,000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Take 5 Oil Change, L.L.C. (d), (h)</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Automotive</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Common Stock</w:t>
            </w:r>
          </w:p>
        </w:tc>
        <w:tc>
          <w:tcPr>
            <w:tcW w:w="1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7,128</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712,800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712,800</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Total Automotive</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3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14,674,561</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14,804,627</w:t>
            </w:r>
          </w:p>
        </w:tc>
        <w:tc>
          <w:tcPr>
            <w:tcW w:w="16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13.6%</w:t>
            </w:r>
          </w:p>
        </w:tc>
        <w:tc>
          <w:tcPr>
            <w:tcW w:w="0" w:type="dxa"/>
            <w:vAlign w:val="bottom"/>
          </w:tcPr>
          <w:p>
            <w:pPr>
              <w:spacing w:after="0"/>
              <w:rPr>
                <w:sz w:val="1"/>
                <w:szCs w:val="1"/>
                <w:color w:val="auto"/>
              </w:rPr>
            </w:pPr>
          </w:p>
        </w:tc>
      </w:tr>
      <w:tr>
        <w:trPr>
          <w:trHeight w:val="20"/>
        </w:trPr>
        <w:tc>
          <w:tcPr>
            <w:tcW w:w="20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Legacy Cabinets Holdings (d), (h)</w:t>
            </w:r>
          </w:p>
        </w:tc>
        <w:tc>
          <w:tcPr>
            <w:tcW w:w="12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Building Products</w:t>
            </w:r>
          </w:p>
        </w:tc>
        <w:tc>
          <w:tcPr>
            <w:tcW w:w="3660" w:type="dxa"/>
            <w:vAlign w:val="bottom"/>
            <w:gridSpan w:val="3"/>
            <w:vMerge w:val="restart"/>
            <w:shd w:val="clear" w:color="auto" w:fill="CCEEFF"/>
          </w:tcPr>
          <w:p>
            <w:pPr>
              <w:ind w:left="180"/>
              <w:spacing w:after="0"/>
              <w:rPr>
                <w:sz w:val="20"/>
                <w:szCs w:val="20"/>
                <w:color w:val="auto"/>
              </w:rPr>
            </w:pPr>
            <w:r>
              <w:rPr>
                <w:rFonts w:ascii="Arial" w:cs="Arial" w:eastAsia="Arial" w:hAnsi="Arial"/>
                <w:sz w:val="13"/>
                <w:szCs w:val="13"/>
                <w:color w:val="auto"/>
              </w:rPr>
              <w:t>Common Stock Voting A-1</w:t>
            </w:r>
          </w:p>
        </w:tc>
        <w:tc>
          <w:tcPr>
            <w:tcW w:w="120" w:type="dxa"/>
            <w:vAlign w:val="bottom"/>
            <w:shd w:val="clear" w:color="auto" w:fill="CCEEFF"/>
          </w:tcPr>
          <w:p>
            <w:pPr>
              <w:spacing w:after="0" w:line="20" w:lineRule="exact"/>
              <w:rPr>
                <w:sz w:val="1"/>
                <w:szCs w:val="1"/>
                <w:color w:val="auto"/>
              </w:rPr>
            </w:pP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2,535</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3660" w:type="dxa"/>
            <w:vAlign w:val="bottom"/>
            <w:gridSpan w:val="3"/>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220,900</w:t>
            </w:r>
          </w:p>
        </w:tc>
        <w:tc>
          <w:tcPr>
            <w:tcW w:w="80" w:type="dxa"/>
            <w:vAlign w:val="bottom"/>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rPr>
              <w:t>Legacy Cabinets Holdings (d), (h)</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Building Products</w:t>
            </w:r>
          </w:p>
        </w:tc>
        <w:tc>
          <w:tcPr>
            <w:tcW w:w="36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Common Stock Voting B-1</w:t>
            </w:r>
          </w:p>
        </w:tc>
        <w:tc>
          <w:tcPr>
            <w:tcW w:w="120" w:type="dxa"/>
            <w:vAlign w:val="bottom"/>
          </w:tcPr>
          <w:p>
            <w:pPr>
              <w:spacing w:after="0"/>
              <w:rPr>
                <w:sz w:val="11"/>
                <w:szCs w:val="11"/>
                <w:color w:val="auto"/>
              </w:rPr>
            </w:pP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1,600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139,424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0.0%</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Legacy Cabinets, Inc. (d)</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Building Products</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w w:val="94"/>
              </w:rPr>
              <w:t>First Lien Term Loan 7.25% (1.00% Cash/6.25% PIK), 5/3/2014</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332,229</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332,229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267,378</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Total Building Products</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3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692,553</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267,378</w:t>
            </w:r>
          </w:p>
        </w:tc>
        <w:tc>
          <w:tcPr>
            <w:tcW w:w="16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0.2%</w:t>
            </w:r>
          </w:p>
        </w:tc>
        <w:tc>
          <w:tcPr>
            <w:tcW w:w="0" w:type="dxa"/>
            <w:vAlign w:val="bottom"/>
          </w:tcPr>
          <w:p>
            <w:pPr>
              <w:spacing w:after="0"/>
              <w:rPr>
                <w:sz w:val="1"/>
                <w:szCs w:val="1"/>
                <w:color w:val="auto"/>
              </w:rPr>
            </w:pPr>
          </w:p>
        </w:tc>
      </w:tr>
      <w:tr>
        <w:trPr>
          <w:trHeight w:val="101"/>
        </w:trPr>
        <w:tc>
          <w:tcPr>
            <w:tcW w:w="2020" w:type="dxa"/>
            <w:vAlign w:val="bottom"/>
            <w:tcBorders>
              <w:top w:val="single" w:sz="8" w:color="CCEEFF"/>
            </w:tcBorders>
            <w:gridSpan w:val="2"/>
            <w:shd w:val="clear" w:color="auto" w:fill="CCEEFF"/>
          </w:tcPr>
          <w:p>
            <w:pPr>
              <w:spacing w:after="0" w:line="101" w:lineRule="exact"/>
              <w:rPr>
                <w:sz w:val="20"/>
                <w:szCs w:val="20"/>
                <w:color w:val="auto"/>
              </w:rPr>
            </w:pPr>
            <w:r>
              <w:rPr>
                <w:rFonts w:ascii="Arial" w:cs="Arial" w:eastAsia="Arial" w:hAnsi="Arial"/>
                <w:sz w:val="11"/>
                <w:szCs w:val="11"/>
                <w:color w:val="auto"/>
              </w:rPr>
              <w:t>Emily Street Enterprises, L.L.C. (d)</w:t>
            </w:r>
          </w:p>
        </w:tc>
        <w:tc>
          <w:tcPr>
            <w:tcW w:w="1260" w:type="dxa"/>
            <w:vAlign w:val="bottom"/>
            <w:tcBorders>
              <w:top w:val="single" w:sz="8" w:color="CCEEFF"/>
            </w:tcBorders>
            <w:shd w:val="clear" w:color="auto" w:fill="CCEEFF"/>
          </w:tcPr>
          <w:p>
            <w:pPr>
              <w:spacing w:after="0" w:line="101" w:lineRule="exact"/>
              <w:rPr>
                <w:sz w:val="20"/>
                <w:szCs w:val="20"/>
                <w:color w:val="auto"/>
              </w:rPr>
            </w:pPr>
            <w:r>
              <w:rPr>
                <w:rFonts w:ascii="Arial" w:cs="Arial" w:eastAsia="Arial" w:hAnsi="Arial"/>
                <w:sz w:val="11"/>
                <w:szCs w:val="11"/>
                <w:color w:val="auto"/>
              </w:rPr>
              <w:t>Business Services</w:t>
            </w:r>
          </w:p>
        </w:tc>
        <w:tc>
          <w:tcPr>
            <w:tcW w:w="3660" w:type="dxa"/>
            <w:vAlign w:val="bottom"/>
            <w:tcBorders>
              <w:top w:val="single" w:sz="8" w:color="CCEEFF"/>
            </w:tcBorders>
            <w:gridSpan w:val="3"/>
            <w:shd w:val="clear" w:color="auto" w:fill="CCEEFF"/>
          </w:tcPr>
          <w:p>
            <w:pPr>
              <w:ind w:left="180"/>
              <w:spacing w:after="0" w:line="101" w:lineRule="exact"/>
              <w:rPr>
                <w:sz w:val="20"/>
                <w:szCs w:val="20"/>
                <w:color w:val="auto"/>
              </w:rPr>
            </w:pPr>
            <w:r>
              <w:rPr>
                <w:rFonts w:ascii="Arial" w:cs="Arial" w:eastAsia="Arial" w:hAnsi="Arial"/>
                <w:sz w:val="11"/>
                <w:szCs w:val="11"/>
                <w:color w:val="auto"/>
              </w:rPr>
              <w:t>Senior Secured Note 14.00% (13.00% Cash/1.00% PIK),</w:t>
            </w:r>
          </w:p>
        </w:tc>
        <w:tc>
          <w:tcPr>
            <w:tcW w:w="120" w:type="dxa"/>
            <w:vAlign w:val="bottom"/>
            <w:tcBorders>
              <w:top w:val="single" w:sz="8" w:color="CCEEFF"/>
            </w:tcBorders>
            <w:shd w:val="clear" w:color="auto" w:fill="CCEEFF"/>
          </w:tcPr>
          <w:p>
            <w:pPr>
              <w:spacing w:after="0"/>
              <w:rPr>
                <w:sz w:val="8"/>
                <w:szCs w:val="8"/>
                <w:color w:val="auto"/>
              </w:rPr>
            </w:pPr>
          </w:p>
        </w:tc>
        <w:tc>
          <w:tcPr>
            <w:tcW w:w="114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200" w:type="dxa"/>
            <w:vAlign w:val="bottom"/>
            <w:tcBorders>
              <w:top w:val="single" w:sz="8" w:color="auto"/>
            </w:tcBorders>
            <w:shd w:val="clear" w:color="auto" w:fill="CCEEFF"/>
          </w:tcPr>
          <w:p>
            <w:pPr>
              <w:spacing w:after="0"/>
              <w:rPr>
                <w:sz w:val="8"/>
                <w:szCs w:val="8"/>
                <w:color w:val="auto"/>
              </w:rPr>
            </w:pPr>
          </w:p>
        </w:tc>
        <w:tc>
          <w:tcPr>
            <w:tcW w:w="720" w:type="dxa"/>
            <w:vAlign w:val="bottom"/>
            <w:tcBorders>
              <w:top w:val="single" w:sz="8" w:color="auto"/>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80" w:type="dxa"/>
            <w:vAlign w:val="bottom"/>
            <w:tcBorders>
              <w:top w:val="single" w:sz="8" w:color="CCEEFF"/>
            </w:tcBorders>
            <w:shd w:val="clear" w:color="auto" w:fill="CCEEFF"/>
          </w:tcPr>
          <w:p>
            <w:pPr>
              <w:spacing w:after="0"/>
              <w:rPr>
                <w:sz w:val="8"/>
                <w:szCs w:val="8"/>
                <w:color w:val="auto"/>
              </w:rPr>
            </w:pPr>
          </w:p>
        </w:tc>
        <w:tc>
          <w:tcPr>
            <w:tcW w:w="100" w:type="dxa"/>
            <w:vAlign w:val="bottom"/>
            <w:tcBorders>
              <w:top w:val="single" w:sz="8" w:color="auto"/>
            </w:tcBorders>
            <w:shd w:val="clear" w:color="auto" w:fill="CCEEFF"/>
          </w:tcPr>
          <w:p>
            <w:pPr>
              <w:spacing w:after="0"/>
              <w:rPr>
                <w:sz w:val="8"/>
                <w:szCs w:val="8"/>
                <w:color w:val="auto"/>
              </w:rPr>
            </w:pPr>
          </w:p>
        </w:tc>
        <w:tc>
          <w:tcPr>
            <w:tcW w:w="920" w:type="dxa"/>
            <w:vAlign w:val="bottom"/>
            <w:tcBorders>
              <w:top w:val="single" w:sz="8" w:color="auto"/>
            </w:tcBorders>
            <w:shd w:val="clear" w:color="auto" w:fill="CCEEFF"/>
          </w:tcPr>
          <w:p>
            <w:pPr>
              <w:spacing w:after="0"/>
              <w:rPr>
                <w:sz w:val="8"/>
                <w:szCs w:val="8"/>
                <w:color w:val="auto"/>
              </w:rPr>
            </w:pPr>
          </w:p>
        </w:tc>
        <w:tc>
          <w:tcPr>
            <w:tcW w:w="160" w:type="dxa"/>
            <w:vAlign w:val="bottom"/>
            <w:tcBorders>
              <w:top w:val="single" w:sz="8" w:color="CCEEFF"/>
            </w:tcBorders>
            <w:shd w:val="clear" w:color="auto" w:fill="CCEEFF"/>
          </w:tcPr>
          <w:p>
            <w:pPr>
              <w:spacing w:after="0"/>
              <w:rPr>
                <w:sz w:val="8"/>
                <w:szCs w:val="8"/>
                <w:color w:val="auto"/>
              </w:rPr>
            </w:pPr>
          </w:p>
        </w:tc>
        <w:tc>
          <w:tcPr>
            <w:tcW w:w="680" w:type="dxa"/>
            <w:vAlign w:val="bottom"/>
            <w:tcBorders>
              <w:top w:val="single" w:sz="8" w:color="auto"/>
            </w:tcBorders>
            <w:shd w:val="clear" w:color="auto" w:fill="CCEEFF"/>
          </w:tcPr>
          <w:p>
            <w:pPr>
              <w:spacing w:after="0"/>
              <w:rPr>
                <w:sz w:val="8"/>
                <w:szCs w:val="8"/>
                <w:color w:val="auto"/>
              </w:rPr>
            </w:pPr>
          </w:p>
        </w:tc>
        <w:tc>
          <w:tcPr>
            <w:tcW w:w="100" w:type="dxa"/>
            <w:vAlign w:val="bottom"/>
            <w:tcBorders>
              <w:top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350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12/28/2017</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5,705,384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5,595,317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5,705,384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5.2%</w:t>
            </w:r>
          </w:p>
        </w:tc>
        <w:tc>
          <w:tcPr>
            <w:tcW w:w="0" w:type="dxa"/>
            <w:vAlign w:val="bottom"/>
          </w:tcPr>
          <w:p>
            <w:pPr>
              <w:spacing w:after="0"/>
              <w:rPr>
                <w:sz w:val="1"/>
                <w:szCs w:val="1"/>
                <w:color w:val="auto"/>
              </w:rPr>
            </w:pPr>
          </w:p>
        </w:tc>
      </w:tr>
      <w:tr>
        <w:trPr>
          <w:trHeight w:val="121"/>
        </w:trPr>
        <w:tc>
          <w:tcPr>
            <w:tcW w:w="2020" w:type="dxa"/>
            <w:vAlign w:val="bottom"/>
            <w:gridSpan w:val="2"/>
          </w:tcPr>
          <w:p>
            <w:pPr>
              <w:spacing w:after="0" w:line="121" w:lineRule="exact"/>
              <w:rPr>
                <w:sz w:val="20"/>
                <w:szCs w:val="20"/>
                <w:color w:val="auto"/>
              </w:rPr>
            </w:pPr>
            <w:r>
              <w:rPr>
                <w:rFonts w:ascii="Arial" w:cs="Arial" w:eastAsia="Arial" w:hAnsi="Arial"/>
                <w:sz w:val="13"/>
                <w:szCs w:val="13"/>
                <w:color w:val="auto"/>
                <w:w w:val="97"/>
              </w:rPr>
              <w:t>Emily Street Enterprises, L.L.C. (d),</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Business Services</w:t>
            </w:r>
          </w:p>
        </w:tc>
        <w:tc>
          <w:tcPr>
            <w:tcW w:w="366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Warrant Membership Interests</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2"/>
          </w:tcPr>
          <w:p>
            <w:pPr>
              <w:ind w:left="180"/>
              <w:spacing w:after="0"/>
              <w:rPr>
                <w:sz w:val="20"/>
                <w:szCs w:val="20"/>
                <w:color w:val="auto"/>
              </w:rPr>
            </w:pPr>
            <w:r>
              <w:rPr>
                <w:rFonts w:ascii="Arial" w:cs="Arial" w:eastAsia="Arial" w:hAnsi="Arial"/>
                <w:sz w:val="13"/>
                <w:szCs w:val="13"/>
                <w:color w:val="auto"/>
              </w:rPr>
              <w:t>(h)</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49,318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3"/>
                <w:szCs w:val="13"/>
                <w:color w:val="auto"/>
              </w:rPr>
              <w:t>400,000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399,969</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21"/>
        </w:trPr>
        <w:tc>
          <w:tcPr>
            <w:tcW w:w="202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w w:val="99"/>
              </w:rPr>
              <w:t>Dispensing Dynamics International</w:t>
            </w:r>
          </w:p>
        </w:tc>
        <w:tc>
          <w:tcPr>
            <w:tcW w:w="1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Business Services</w:t>
            </w:r>
          </w:p>
        </w:tc>
        <w:tc>
          <w:tcPr>
            <w:tcW w:w="36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Senior Secured Note 12.50% Cash, 1/1/2018</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2"/>
            <w:shd w:val="clear" w:color="auto" w:fill="CCEEFF"/>
          </w:tcPr>
          <w:p>
            <w:pPr>
              <w:ind w:left="180"/>
              <w:spacing w:after="0"/>
              <w:rPr>
                <w:sz w:val="20"/>
                <w:szCs w:val="20"/>
                <w:color w:val="auto"/>
              </w:rPr>
            </w:pPr>
            <w:r>
              <w:rPr>
                <w:rFonts w:ascii="Arial" w:cs="Arial" w:eastAsia="Arial" w:hAnsi="Arial"/>
                <w:sz w:val="13"/>
                <w:szCs w:val="13"/>
                <w:color w:val="auto"/>
              </w:rPr>
              <w:t>(d)</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7,000,000</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6,860,186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7,000,000</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0" w:type="dxa"/>
            <w:vAlign w:val="bottom"/>
          </w:tcPr>
          <w:p>
            <w:pPr>
              <w:spacing w:after="0"/>
              <w:rPr>
                <w:sz w:val="1"/>
                <w:szCs w:val="1"/>
                <w:color w:val="auto"/>
              </w:rPr>
            </w:pPr>
          </w:p>
        </w:tc>
      </w:tr>
      <w:tr>
        <w:trPr>
          <w:trHeight w:val="121"/>
        </w:trPr>
        <w:tc>
          <w:tcPr>
            <w:tcW w:w="2020" w:type="dxa"/>
            <w:vAlign w:val="bottom"/>
            <w:gridSpan w:val="2"/>
          </w:tcPr>
          <w:p>
            <w:pPr>
              <w:spacing w:after="0" w:line="121" w:lineRule="exact"/>
              <w:rPr>
                <w:sz w:val="20"/>
                <w:szCs w:val="20"/>
                <w:color w:val="auto"/>
              </w:rPr>
            </w:pPr>
            <w:r>
              <w:rPr>
                <w:rFonts w:ascii="Arial" w:cs="Arial" w:eastAsia="Arial" w:hAnsi="Arial"/>
                <w:sz w:val="13"/>
                <w:szCs w:val="13"/>
                <w:color w:val="auto"/>
              </w:rPr>
              <w:t>Knowland Technology Holdings,</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Business Services</w:t>
            </w:r>
          </w:p>
        </w:tc>
        <w:tc>
          <w:tcPr>
            <w:tcW w:w="366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First Lien Term Loan 11.00% Cash, 11/29/2017</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2"/>
          </w:tcPr>
          <w:p>
            <w:pPr>
              <w:ind w:left="180"/>
              <w:spacing w:after="0"/>
              <w:rPr>
                <w:sz w:val="20"/>
                <w:szCs w:val="20"/>
                <w:color w:val="auto"/>
              </w:rPr>
            </w:pPr>
            <w:r>
              <w:rPr>
                <w:rFonts w:ascii="Arial" w:cs="Arial" w:eastAsia="Arial" w:hAnsi="Arial"/>
                <w:sz w:val="13"/>
                <w:szCs w:val="13"/>
                <w:color w:val="auto"/>
              </w:rPr>
              <w:t>L.L.C. (d)</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6,200,000</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6,082,248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3"/>
                <w:szCs w:val="13"/>
                <w:color w:val="auto"/>
              </w:rPr>
              <w:t>6,200,000</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5.7%</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Sourcehov LLC (d)</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Business Services</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Second Lien Term Loan 10.50% Cash, 4/29/2018</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2,648,298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2,850,000</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2.6%</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Total Business Services</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3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21,586,049</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22,155,353</w:t>
            </w:r>
          </w:p>
        </w:tc>
        <w:tc>
          <w:tcPr>
            <w:tcW w:w="16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20.3%</w:t>
            </w:r>
          </w:p>
        </w:tc>
        <w:tc>
          <w:tcPr>
            <w:tcW w:w="0" w:type="dxa"/>
            <w:vAlign w:val="bottom"/>
          </w:tcPr>
          <w:p>
            <w:pPr>
              <w:spacing w:after="0"/>
              <w:rPr>
                <w:sz w:val="1"/>
                <w:szCs w:val="1"/>
                <w:color w:val="auto"/>
              </w:rPr>
            </w:pPr>
          </w:p>
        </w:tc>
      </w:tr>
      <w:tr>
        <w:trPr>
          <w:trHeight w:val="20"/>
        </w:trPr>
        <w:tc>
          <w:tcPr>
            <w:tcW w:w="20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C.H.I. Overhead Doors, Inc. (d)</w:t>
            </w:r>
          </w:p>
        </w:tc>
        <w:tc>
          <w:tcPr>
            <w:tcW w:w="12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Consumer Products</w:t>
            </w:r>
          </w:p>
        </w:tc>
        <w:tc>
          <w:tcPr>
            <w:tcW w:w="3660" w:type="dxa"/>
            <w:vAlign w:val="bottom"/>
            <w:gridSpan w:val="3"/>
            <w:vMerge w:val="restart"/>
            <w:shd w:val="clear" w:color="auto" w:fill="CCEEFF"/>
          </w:tcPr>
          <w:p>
            <w:pPr>
              <w:ind w:left="180"/>
              <w:spacing w:after="0"/>
              <w:rPr>
                <w:sz w:val="20"/>
                <w:szCs w:val="20"/>
                <w:color w:val="auto"/>
              </w:rPr>
            </w:pPr>
            <w:r>
              <w:rPr>
                <w:rFonts w:ascii="Arial" w:cs="Arial" w:eastAsia="Arial" w:hAnsi="Arial"/>
                <w:sz w:val="13"/>
                <w:szCs w:val="13"/>
                <w:color w:val="auto"/>
              </w:rPr>
              <w:t>First Lien Term Loan 7.25% Cash, 8/17/2017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4,974,747</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3660" w:type="dxa"/>
            <w:vAlign w:val="bottom"/>
            <w:gridSpan w:val="3"/>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4,930,481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5,024,495</w:t>
            </w:r>
          </w:p>
        </w:tc>
        <w:tc>
          <w:tcPr>
            <w:tcW w:w="16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w w:val="98"/>
              </w:rPr>
              <w:t>Targus Group International, Inc.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Consumer Products</w:t>
            </w:r>
          </w:p>
        </w:tc>
        <w:tc>
          <w:tcPr>
            <w:tcW w:w="36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First Lien Term Loan 11.00% Cash, 5/24/2016</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3,940,003</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3,888,460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3,956,551</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Unsecured Note 10.00% PIK, 6/14/2019</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1,914,341</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1,914,341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1,116,252</w:t>
            </w: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1.0%</w:t>
            </w: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rPr>
              <w:t>Targus Holdings, Inc.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Consumer Products</w:t>
            </w:r>
          </w:p>
        </w:tc>
        <w:tc>
          <w:tcPr>
            <w:tcW w:w="36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Unsecured Note 16.00% Cash, 10/26/2018</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332,500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326,320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305,334</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Targus Holdings, Inc. (d), (h)</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Products</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Common Stock</w:t>
            </w:r>
          </w:p>
        </w:tc>
        <w:tc>
          <w:tcPr>
            <w:tcW w:w="1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62,413</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566,765</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3,324,741</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3.1%</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Total Consumer Products</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3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11,626,367</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13,727,373</w:t>
            </w:r>
          </w:p>
        </w:tc>
        <w:tc>
          <w:tcPr>
            <w:tcW w:w="16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12.7%</w:t>
            </w:r>
          </w:p>
        </w:tc>
        <w:tc>
          <w:tcPr>
            <w:tcW w:w="0" w:type="dxa"/>
            <w:vAlign w:val="bottom"/>
          </w:tcPr>
          <w:p>
            <w:pPr>
              <w:spacing w:after="0"/>
              <w:rPr>
                <w:sz w:val="1"/>
                <w:szCs w:val="1"/>
                <w:color w:val="auto"/>
              </w:rPr>
            </w:pPr>
          </w:p>
        </w:tc>
      </w:tr>
      <w:tr>
        <w:trPr>
          <w:trHeight w:val="20"/>
        </w:trPr>
        <w:tc>
          <w:tcPr>
            <w:tcW w:w="2020" w:type="dxa"/>
            <w:vAlign w:val="bottom"/>
            <w:gridSpan w:val="2"/>
            <w:vMerge w:val="restart"/>
            <w:shd w:val="clear" w:color="auto" w:fill="CCEEFF"/>
          </w:tcPr>
          <w:p>
            <w:pPr>
              <w:spacing w:after="0"/>
              <w:rPr>
                <w:sz w:val="20"/>
                <w:szCs w:val="20"/>
                <w:color w:val="auto"/>
              </w:rPr>
            </w:pPr>
            <w:r>
              <w:rPr>
                <w:rFonts w:ascii="Arial" w:cs="Arial" w:eastAsia="Arial" w:hAnsi="Arial"/>
                <w:sz w:val="13"/>
                <w:szCs w:val="13"/>
                <w:color w:val="auto"/>
              </w:rPr>
              <w:t>CFF Acquisition L.L.C. (d)</w:t>
            </w:r>
          </w:p>
        </w:tc>
        <w:tc>
          <w:tcPr>
            <w:tcW w:w="12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Consumer Services</w:t>
            </w:r>
          </w:p>
        </w:tc>
        <w:tc>
          <w:tcPr>
            <w:tcW w:w="3660" w:type="dxa"/>
            <w:vAlign w:val="bottom"/>
            <w:gridSpan w:val="3"/>
            <w:vMerge w:val="restart"/>
            <w:shd w:val="clear" w:color="auto" w:fill="CCEEFF"/>
          </w:tcPr>
          <w:p>
            <w:pPr>
              <w:ind w:left="180"/>
              <w:spacing w:after="0"/>
              <w:rPr>
                <w:sz w:val="20"/>
                <w:szCs w:val="20"/>
                <w:color w:val="auto"/>
              </w:rPr>
            </w:pPr>
            <w:r>
              <w:rPr>
                <w:rFonts w:ascii="Arial" w:cs="Arial" w:eastAsia="Arial" w:hAnsi="Arial"/>
                <w:sz w:val="13"/>
                <w:szCs w:val="13"/>
                <w:color w:val="auto"/>
              </w:rPr>
              <w:t>First Lien Term Loan 7.50% Cash, 7/31/2015</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2,161,391</w:t>
            </w: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2"/>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3660" w:type="dxa"/>
            <w:vAlign w:val="bottom"/>
            <w:gridSpan w:val="3"/>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2,032,060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2,154,475</w:t>
            </w:r>
          </w:p>
        </w:tc>
        <w:tc>
          <w:tcPr>
            <w:tcW w:w="16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2.0%</w:t>
            </w:r>
          </w:p>
        </w:tc>
        <w:tc>
          <w:tcPr>
            <w:tcW w:w="0" w:type="dxa"/>
            <w:vAlign w:val="bottom"/>
          </w:tcPr>
          <w:p>
            <w:pPr>
              <w:spacing w:after="0"/>
              <w:rPr>
                <w:sz w:val="1"/>
                <w:szCs w:val="1"/>
                <w:color w:val="auto"/>
              </w:rPr>
            </w:pPr>
          </w:p>
        </w:tc>
      </w:tr>
      <w:tr>
        <w:trPr>
          <w:trHeight w:val="135"/>
        </w:trPr>
        <w:tc>
          <w:tcPr>
            <w:tcW w:w="2020" w:type="dxa"/>
            <w:vAlign w:val="bottom"/>
            <w:gridSpan w:val="2"/>
          </w:tcPr>
          <w:p>
            <w:pPr>
              <w:spacing w:after="0" w:line="135" w:lineRule="exact"/>
              <w:rPr>
                <w:sz w:val="20"/>
                <w:szCs w:val="20"/>
                <w:color w:val="auto"/>
              </w:rPr>
            </w:pPr>
            <w:r>
              <w:rPr>
                <w:rFonts w:ascii="Arial" w:cs="Arial" w:eastAsia="Arial" w:hAnsi="Arial"/>
                <w:sz w:val="13"/>
                <w:szCs w:val="13"/>
                <w:color w:val="auto"/>
              </w:rPr>
              <w:t>Expedited Travel L.L.C.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Consumer Services</w:t>
            </w:r>
          </w:p>
        </w:tc>
        <w:tc>
          <w:tcPr>
            <w:tcW w:w="36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First Lien Term Loan 12.00% Cash, 12/28/2017</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5,500,000</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5,380,520</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5,500,000</w:t>
            </w: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5.0%</w:t>
            </w:r>
          </w:p>
        </w:tc>
        <w:tc>
          <w:tcPr>
            <w:tcW w:w="0" w:type="dxa"/>
            <w:vAlign w:val="bottom"/>
          </w:tcPr>
          <w:p>
            <w:pPr>
              <w:spacing w:after="0"/>
              <w:rPr>
                <w:sz w:val="1"/>
                <w:szCs w:val="1"/>
                <w:color w:val="auto"/>
              </w:rPr>
            </w:pPr>
          </w:p>
        </w:tc>
      </w:tr>
      <w:tr>
        <w:trPr>
          <w:trHeight w:val="135"/>
        </w:trPr>
        <w:tc>
          <w:tcPr>
            <w:tcW w:w="202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PrePaid Legal Services, Inc. (d)</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Consumer Services</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First Lien Term Loan 11.00% Cash, 12/31/2016</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3,000,000</w:t>
            </w: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2,936,860</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3,000,000</w:t>
            </w:r>
          </w:p>
        </w:tc>
        <w:tc>
          <w:tcPr>
            <w:tcW w:w="16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Total Consumer Services</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8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3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3"/>
                <w:szCs w:val="13"/>
                <w:color w:val="auto"/>
              </w:rPr>
              <w:t>10,349,440</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jc w:val="right"/>
              <w:spacing w:after="0" w:line="129" w:lineRule="exact"/>
              <w:rPr>
                <w:sz w:val="20"/>
                <w:szCs w:val="20"/>
                <w:color w:val="auto"/>
              </w:rPr>
            </w:pPr>
            <w:r>
              <w:rPr>
                <w:rFonts w:ascii="Arial" w:cs="Arial" w:eastAsia="Arial" w:hAnsi="Arial"/>
                <w:sz w:val="13"/>
                <w:szCs w:val="13"/>
                <w:color w:val="auto"/>
              </w:rPr>
              <w:t>10,654,475</w:t>
            </w:r>
          </w:p>
        </w:tc>
        <w:tc>
          <w:tcPr>
            <w:tcW w:w="16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9.8%</w:t>
            </w: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11" w:right="239" w:bottom="3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1" w:right="239" w:bottom="30" w:gutter="0" w:footer="0" w:header="0"/>
          <w:type w:val="continuous"/>
        </w:sectPr>
      </w:pPr>
    </w:p>
    <w:bookmarkStart w:id="5" w:name="page6"/>
    <w:bookmarkEnd w:id="5"/>
    <w:p>
      <w:pPr>
        <w:spacing w:after="0" w:line="6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Principal/</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gridSpan w:val="2"/>
          </w:tcPr>
          <w:p>
            <w:pPr>
              <w:jc w:val="right"/>
              <w:ind w:right="257"/>
              <w:spacing w:after="0"/>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84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Company (a)</w:t>
            </w:r>
          </w:p>
        </w:tc>
        <w:tc>
          <w:tcPr>
            <w:tcW w:w="180" w:type="dxa"/>
            <w:vAlign w:val="bottom"/>
            <w:tcBorders>
              <w:bottom w:val="single" w:sz="8" w:color="CCEEFF"/>
            </w:tcBorders>
          </w:tcPr>
          <w:p>
            <w:pPr>
              <w:spacing w:after="0"/>
              <w:rPr>
                <w:sz w:val="13"/>
                <w:szCs w:val="13"/>
                <w:color w:val="auto"/>
              </w:rPr>
            </w:pPr>
          </w:p>
        </w:tc>
        <w:tc>
          <w:tcPr>
            <w:tcW w:w="126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Industry</w:t>
            </w:r>
          </w:p>
        </w:tc>
        <w:tc>
          <w:tcPr>
            <w:tcW w:w="180" w:type="dxa"/>
            <w:vAlign w:val="bottom"/>
            <w:tcBorders>
              <w:bottom w:val="single" w:sz="8" w:color="CCEEFF"/>
            </w:tcBorders>
          </w:tcPr>
          <w:p>
            <w:pPr>
              <w:spacing w:after="0"/>
              <w:rPr>
                <w:sz w:val="13"/>
                <w:szCs w:val="13"/>
                <w:color w:val="auto"/>
              </w:rPr>
            </w:pPr>
          </w:p>
        </w:tc>
        <w:tc>
          <w:tcPr>
            <w:tcW w:w="3320" w:type="dxa"/>
            <w:vAlign w:val="bottom"/>
            <w:tcBorders>
              <w:bottom w:val="single" w:sz="8" w:color="auto"/>
            </w:tcBorders>
          </w:tcPr>
          <w:p>
            <w:pPr>
              <w:jc w:val="right"/>
              <w:ind w:right="637"/>
              <w:spacing w:after="0"/>
              <w:rPr>
                <w:sz w:val="20"/>
                <w:szCs w:val="20"/>
                <w:color w:val="auto"/>
              </w:rPr>
            </w:pPr>
            <w:r>
              <w:rPr>
                <w:rFonts w:ascii="Arial" w:cs="Arial" w:eastAsia="Arial" w:hAnsi="Arial"/>
                <w:sz w:val="13"/>
                <w:szCs w:val="13"/>
                <w:b w:val="1"/>
                <w:bCs w:val="1"/>
                <w:color w:val="auto"/>
              </w:rPr>
              <w:t>Investment Interest Rate / Maturity</w:t>
            </w:r>
          </w:p>
        </w:tc>
        <w:tc>
          <w:tcPr>
            <w:tcW w:w="1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87"/>
              </w:rPr>
              <w:t>Number of Shares</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3"/>
                <w:szCs w:val="13"/>
                <w:b w:val="1"/>
                <w:bCs w:val="1"/>
                <w:color w:val="auto"/>
              </w:rPr>
              <w:t>Cost</w:t>
            </w:r>
          </w:p>
        </w:tc>
        <w:tc>
          <w:tcPr>
            <w:tcW w:w="14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w w:val="95"/>
              </w:rPr>
              <w:t>Fair Value (c)</w:t>
            </w:r>
          </w:p>
        </w:tc>
        <w:tc>
          <w:tcPr>
            <w:tcW w:w="160" w:type="dxa"/>
            <w:vAlign w:val="bottom"/>
            <w:tcBorders>
              <w:bottom w:val="single" w:sz="8" w:color="CCEEFF"/>
            </w:tcBorders>
            <w:gridSpan w:val="2"/>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9"/>
              </w:rPr>
              <w:t>Net Assets</w:t>
            </w:r>
          </w:p>
        </w:tc>
        <w:tc>
          <w:tcPr>
            <w:tcW w:w="140" w:type="dxa"/>
            <w:vAlign w:val="bottom"/>
            <w:tcBorders>
              <w:bottom w:val="single" w:sz="8" w:color="CCEEFF"/>
            </w:tcBorders>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1840" w:type="dxa"/>
            <w:vAlign w:val="bottom"/>
            <w:gridSpan w:val="2"/>
            <w:shd w:val="clear" w:color="auto" w:fill="CCEEFF"/>
          </w:tcPr>
          <w:p>
            <w:pPr>
              <w:spacing w:after="0" w:line="129" w:lineRule="exact"/>
              <w:rPr>
                <w:sz w:val="20"/>
                <w:szCs w:val="20"/>
                <w:color w:val="auto"/>
              </w:rPr>
            </w:pPr>
            <w:r>
              <w:rPr>
                <w:rFonts w:ascii="Arial" w:cs="Arial" w:eastAsia="Arial" w:hAnsi="Arial"/>
                <w:sz w:val="13"/>
                <w:szCs w:val="13"/>
                <w:color w:val="auto"/>
                <w:w w:val="97"/>
              </w:rPr>
              <w:t>M/C Acquisition Corp., L.L.C. (d)</w:t>
            </w: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Education</w:t>
            </w: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line="129" w:lineRule="exact"/>
              <w:rPr>
                <w:sz w:val="20"/>
                <w:szCs w:val="20"/>
                <w:color w:val="auto"/>
              </w:rPr>
            </w:pPr>
            <w:r>
              <w:rPr>
                <w:rFonts w:ascii="Arial" w:cs="Arial" w:eastAsia="Arial" w:hAnsi="Arial"/>
                <w:sz w:val="13"/>
                <w:szCs w:val="13"/>
                <w:color w:val="auto"/>
              </w:rPr>
              <w:t>First Lien Term Loan 1.00% Cash, 12/31/2012</w:t>
            </w: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11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2,740,780</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1,586,846</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291,893</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20" w:type="dxa"/>
            <w:vAlign w:val="bottom"/>
            <w:gridSpan w:val="3"/>
          </w:tcPr>
          <w:p>
            <w:pPr>
              <w:spacing w:after="0" w:line="121" w:lineRule="exact"/>
              <w:rPr>
                <w:sz w:val="20"/>
                <w:szCs w:val="20"/>
                <w:color w:val="auto"/>
              </w:rPr>
            </w:pPr>
            <w:r>
              <w:rPr>
                <w:rFonts w:ascii="Arial" w:cs="Arial" w:eastAsia="Arial" w:hAnsi="Arial"/>
                <w:sz w:val="13"/>
                <w:szCs w:val="13"/>
                <w:color w:val="auto"/>
              </w:rPr>
              <w:t>M/C Acquisition Corp., L.L.C. (d),</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Education</w:t>
            </w:r>
          </w:p>
        </w:tc>
        <w:tc>
          <w:tcPr>
            <w:tcW w:w="366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Class A Common Stock</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3"/>
          </w:tcPr>
          <w:p>
            <w:pPr>
              <w:ind w:left="180"/>
              <w:spacing w:after="0"/>
              <w:rPr>
                <w:sz w:val="20"/>
                <w:szCs w:val="20"/>
                <w:color w:val="auto"/>
              </w:rPr>
            </w:pPr>
            <w:r>
              <w:rPr>
                <w:rFonts w:ascii="Arial" w:cs="Arial" w:eastAsia="Arial" w:hAnsi="Arial"/>
                <w:sz w:val="13"/>
                <w:szCs w:val="13"/>
                <w:color w:val="auto"/>
              </w:rPr>
              <w:t>(h)</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544,761</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30,242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Total Education</w:t>
            </w: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34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1,617,088</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291,893</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20" w:type="dxa"/>
            <w:vAlign w:val="bottom"/>
            <w:gridSpan w:val="3"/>
          </w:tcPr>
          <w:p>
            <w:pPr>
              <w:spacing w:after="0" w:line="101" w:lineRule="exact"/>
              <w:rPr>
                <w:sz w:val="20"/>
                <w:szCs w:val="20"/>
                <w:color w:val="auto"/>
              </w:rPr>
            </w:pPr>
            <w:r>
              <w:rPr>
                <w:rFonts w:ascii="Arial" w:cs="Arial" w:eastAsia="Arial" w:hAnsi="Arial"/>
                <w:sz w:val="11"/>
                <w:szCs w:val="11"/>
                <w:color w:val="auto"/>
              </w:rPr>
              <w:t>Group Dekko, Inc. (d)</w:t>
            </w:r>
          </w:p>
        </w:tc>
        <w:tc>
          <w:tcPr>
            <w:tcW w:w="1260" w:type="dxa"/>
            <w:vAlign w:val="bottom"/>
          </w:tcPr>
          <w:p>
            <w:pPr>
              <w:spacing w:after="0" w:line="101" w:lineRule="exact"/>
              <w:rPr>
                <w:sz w:val="20"/>
                <w:szCs w:val="20"/>
                <w:color w:val="auto"/>
              </w:rPr>
            </w:pPr>
            <w:r>
              <w:rPr>
                <w:rFonts w:ascii="Arial" w:cs="Arial" w:eastAsia="Arial" w:hAnsi="Arial"/>
                <w:sz w:val="11"/>
                <w:szCs w:val="11"/>
                <w:color w:val="auto"/>
              </w:rPr>
              <w:t>Electronics</w:t>
            </w:r>
          </w:p>
        </w:tc>
        <w:tc>
          <w:tcPr>
            <w:tcW w:w="3660" w:type="dxa"/>
            <w:vAlign w:val="bottom"/>
            <w:gridSpan w:val="3"/>
          </w:tcPr>
          <w:p>
            <w:pPr>
              <w:ind w:left="180"/>
              <w:spacing w:after="0" w:line="101" w:lineRule="exact"/>
              <w:rPr>
                <w:sz w:val="20"/>
                <w:szCs w:val="20"/>
                <w:color w:val="auto"/>
              </w:rPr>
            </w:pPr>
            <w:r>
              <w:rPr>
                <w:rFonts w:ascii="Arial" w:cs="Arial" w:eastAsia="Arial" w:hAnsi="Arial"/>
                <w:sz w:val="11"/>
                <w:szCs w:val="11"/>
                <w:color w:val="auto"/>
              </w:rPr>
              <w:t>Second Lien Term Loan 11.00% (10.00% Cash/1.00% PIK),</w:t>
            </w: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3500" w:type="dxa"/>
            <w:vAlign w:val="bottom"/>
            <w:gridSpan w:val="2"/>
          </w:tcPr>
          <w:p>
            <w:pPr>
              <w:ind w:left="180"/>
              <w:spacing w:after="0"/>
              <w:rPr>
                <w:sz w:val="20"/>
                <w:szCs w:val="20"/>
                <w:color w:val="auto"/>
              </w:rPr>
            </w:pPr>
            <w:r>
              <w:rPr>
                <w:rFonts w:ascii="Arial" w:cs="Arial" w:eastAsia="Arial" w:hAnsi="Arial"/>
                <w:sz w:val="13"/>
                <w:szCs w:val="13"/>
                <w:color w:val="auto"/>
              </w:rPr>
              <w:t>5/1/2016</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6,824,717</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6,824,717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6,720,981</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Total Electronics</w:t>
            </w: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34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6,824,717</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6,720,981</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3"/>
                <w:szCs w:val="13"/>
                <w:color w:val="auto"/>
              </w:rPr>
              <w:t>USS Parent Holding Corp. (d), (h)</w:t>
            </w:r>
          </w:p>
        </w:tc>
        <w:tc>
          <w:tcPr>
            <w:tcW w:w="1260" w:type="dxa"/>
            <w:vAlign w:val="bottom"/>
            <w:vMerge w:val="restart"/>
          </w:tcPr>
          <w:p>
            <w:pPr>
              <w:spacing w:after="0"/>
              <w:rPr>
                <w:sz w:val="20"/>
                <w:szCs w:val="20"/>
                <w:color w:val="auto"/>
              </w:rPr>
            </w:pPr>
            <w:r>
              <w:rPr>
                <w:rFonts w:ascii="Arial" w:cs="Arial" w:eastAsia="Arial" w:hAnsi="Arial"/>
                <w:sz w:val="13"/>
                <w:szCs w:val="13"/>
                <w:color w:val="auto"/>
              </w:rPr>
              <w:t>Environmental</w:t>
            </w:r>
          </w:p>
        </w:tc>
        <w:tc>
          <w:tcPr>
            <w:tcW w:w="3660" w:type="dxa"/>
            <w:vAlign w:val="bottom"/>
            <w:gridSpan w:val="3"/>
            <w:vMerge w:val="restart"/>
          </w:tcPr>
          <w:p>
            <w:pPr>
              <w:ind w:left="180"/>
              <w:spacing w:after="0"/>
              <w:rPr>
                <w:sz w:val="20"/>
                <w:szCs w:val="20"/>
                <w:color w:val="auto"/>
              </w:rPr>
            </w:pPr>
            <w:r>
              <w:rPr>
                <w:rFonts w:ascii="Arial" w:cs="Arial" w:eastAsia="Arial" w:hAnsi="Arial"/>
                <w:sz w:val="13"/>
                <w:szCs w:val="13"/>
                <w:color w:val="auto"/>
              </w:rPr>
              <w:t>Non Voting Common Stock</w:t>
            </w:r>
          </w:p>
        </w:tc>
        <w:tc>
          <w:tcPr>
            <w:tcW w:w="120" w:type="dxa"/>
            <w:vAlign w:val="bottom"/>
          </w:tcPr>
          <w:p>
            <w:pPr>
              <w:spacing w:after="0" w:line="20" w:lineRule="exact"/>
              <w:rPr>
                <w:sz w:val="1"/>
                <w:szCs w:val="1"/>
                <w:color w:val="auto"/>
              </w:rPr>
            </w:pP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765</w:t>
            </w: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3"/>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3660" w:type="dxa"/>
            <w:vAlign w:val="bottom"/>
            <w:gridSpan w:val="3"/>
            <w:vMerge w:val="continue"/>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133,002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125,981</w:t>
            </w:r>
          </w:p>
        </w:tc>
        <w:tc>
          <w:tcPr>
            <w:tcW w:w="1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0.1%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USS Parent Holding Corp. (d), (h)</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Environmental</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Voting Common Stock</w:t>
            </w:r>
          </w:p>
        </w:tc>
        <w:tc>
          <w:tcPr>
            <w:tcW w:w="120" w:type="dxa"/>
            <w:vAlign w:val="bottom"/>
            <w:shd w:val="clear" w:color="auto" w:fill="CCEEFF"/>
          </w:tcPr>
          <w:p>
            <w:pPr>
              <w:spacing w:after="0"/>
              <w:rPr>
                <w:sz w:val="11"/>
                <w:szCs w:val="11"/>
                <w:color w:val="auto"/>
              </w:rPr>
            </w:pP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17,396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3,025,798</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2,866,065</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Total Environmental</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3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3,158,800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2,992,046</w:t>
            </w:r>
          </w:p>
        </w:tc>
        <w:tc>
          <w:tcPr>
            <w:tcW w:w="1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2.8%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DS Waters of America, Inc. (d)</w:t>
            </w:r>
          </w:p>
        </w:tc>
        <w:tc>
          <w:tcPr>
            <w:tcW w:w="12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Food and Beverage</w:t>
            </w:r>
          </w:p>
        </w:tc>
        <w:tc>
          <w:tcPr>
            <w:tcW w:w="3660" w:type="dxa"/>
            <w:vAlign w:val="bottom"/>
            <w:gridSpan w:val="3"/>
            <w:vMerge w:val="restart"/>
            <w:shd w:val="clear" w:color="auto" w:fill="CCEEFF"/>
          </w:tcPr>
          <w:p>
            <w:pPr>
              <w:ind w:left="180"/>
              <w:spacing w:after="0"/>
              <w:rPr>
                <w:sz w:val="20"/>
                <w:szCs w:val="20"/>
                <w:color w:val="auto"/>
              </w:rPr>
            </w:pPr>
            <w:r>
              <w:rPr>
                <w:rFonts w:ascii="Arial" w:cs="Arial" w:eastAsia="Arial" w:hAnsi="Arial"/>
                <w:sz w:val="13"/>
                <w:szCs w:val="13"/>
                <w:color w:val="auto"/>
              </w:rPr>
              <w:t>First Lien Term Loan 10.50% Cash, 8/29/2017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3,970,000</w:t>
            </w: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3"/>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3660" w:type="dxa"/>
            <w:vAlign w:val="bottom"/>
            <w:gridSpan w:val="3"/>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3,994,704</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4,049,400</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3"/>
          </w:tcPr>
          <w:p>
            <w:pPr>
              <w:spacing w:after="0" w:line="135" w:lineRule="exact"/>
              <w:rPr>
                <w:sz w:val="20"/>
                <w:szCs w:val="20"/>
                <w:color w:val="auto"/>
              </w:rPr>
            </w:pPr>
            <w:r>
              <w:rPr>
                <w:rFonts w:ascii="Arial" w:cs="Arial" w:eastAsia="Arial" w:hAnsi="Arial"/>
                <w:sz w:val="13"/>
                <w:szCs w:val="13"/>
                <w:color w:val="auto"/>
              </w:rPr>
              <w:t>HOA Restaurant Group, L.L.C.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Food and Beverage</w:t>
            </w:r>
          </w:p>
        </w:tc>
        <w:tc>
          <w:tcPr>
            <w:tcW w:w="36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Senior Secured Note 11.25% Cash, 4/1/2017</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4,000,000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3,897,940</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3,560,000</w:t>
            </w:r>
          </w:p>
        </w:tc>
        <w:tc>
          <w:tcPr>
            <w:tcW w:w="4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TB Corp. (d)</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Food and Beverage</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First Lien Term Loan 5.81% Cash, 6/19/2018</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5,153,506</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5,128,662</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5,140,622</w:t>
            </w: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3"/>
          </w:tcPr>
          <w:p>
            <w:pPr>
              <w:spacing w:after="0" w:line="135" w:lineRule="exact"/>
              <w:rPr>
                <w:sz w:val="20"/>
                <w:szCs w:val="20"/>
                <w:color w:val="auto"/>
              </w:rPr>
            </w:pPr>
            <w:r>
              <w:rPr>
                <w:rFonts w:ascii="Arial" w:cs="Arial" w:eastAsia="Arial" w:hAnsi="Arial"/>
                <w:sz w:val="13"/>
                <w:szCs w:val="13"/>
                <w:color w:val="auto"/>
              </w:rPr>
              <w:t>TB Corp.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Food and Beverage</w:t>
            </w:r>
          </w:p>
        </w:tc>
        <w:tc>
          <w:tcPr>
            <w:tcW w:w="3660" w:type="dxa"/>
            <w:vAlign w:val="bottom"/>
            <w:gridSpan w:val="3"/>
          </w:tcPr>
          <w:p>
            <w:pPr>
              <w:ind w:left="180"/>
              <w:spacing w:after="0" w:line="135" w:lineRule="exact"/>
              <w:rPr>
                <w:sz w:val="20"/>
                <w:szCs w:val="20"/>
                <w:color w:val="auto"/>
              </w:rPr>
            </w:pPr>
            <w:r>
              <w:rPr>
                <w:rFonts w:ascii="Arial" w:cs="Arial" w:eastAsia="Arial" w:hAnsi="Arial"/>
                <w:sz w:val="13"/>
                <w:szCs w:val="13"/>
                <w:color w:val="auto"/>
                <w:w w:val="95"/>
              </w:rPr>
              <w:t>Unsecured Note 13.50% (12.00% Cash/1.50% PIK), 2/19/2017</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2,504,585</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2,468,317</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gridSpan w:val="3"/>
          </w:tcPr>
          <w:p>
            <w:pPr>
              <w:jc w:val="right"/>
              <w:ind w:right="120"/>
              <w:spacing w:after="0" w:line="135" w:lineRule="exact"/>
              <w:rPr>
                <w:sz w:val="20"/>
                <w:szCs w:val="20"/>
                <w:color w:val="auto"/>
              </w:rPr>
            </w:pPr>
            <w:r>
              <w:rPr>
                <w:rFonts w:ascii="Arial" w:cs="Arial" w:eastAsia="Arial" w:hAnsi="Arial"/>
                <w:sz w:val="13"/>
                <w:szCs w:val="13"/>
                <w:color w:val="auto"/>
              </w:rPr>
              <w:t>2,492,062</w:t>
            </w:r>
          </w:p>
        </w:tc>
        <w:tc>
          <w:tcPr>
            <w:tcW w:w="4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2.3%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TM Restaurant Group L.L.C. (d)</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Food and Beverage</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First Lien Term Loan 7.75% Cash, 7/17/2017</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2,962,500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2,943,045</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2,956,871</w:t>
            </w: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2.7%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Total Food and Beverage</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3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18,432,668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18,198,955</w:t>
            </w:r>
          </w:p>
        </w:tc>
        <w:tc>
          <w:tcPr>
            <w:tcW w:w="1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16.7%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Oceans Acquisition, Inc. (d)</w:t>
            </w:r>
          </w:p>
        </w:tc>
        <w:tc>
          <w:tcPr>
            <w:tcW w:w="12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Healthcare Services</w:t>
            </w:r>
          </w:p>
        </w:tc>
        <w:tc>
          <w:tcPr>
            <w:tcW w:w="3660" w:type="dxa"/>
            <w:vAlign w:val="bottom"/>
            <w:gridSpan w:val="3"/>
            <w:vMerge w:val="restart"/>
            <w:shd w:val="clear" w:color="auto" w:fill="CCEEFF"/>
          </w:tcPr>
          <w:p>
            <w:pPr>
              <w:ind w:left="180"/>
              <w:spacing w:after="0"/>
              <w:rPr>
                <w:sz w:val="20"/>
                <w:szCs w:val="20"/>
                <w:color w:val="auto"/>
              </w:rPr>
            </w:pPr>
            <w:r>
              <w:rPr>
                <w:rFonts w:ascii="Arial" w:cs="Arial" w:eastAsia="Arial" w:hAnsi="Arial"/>
                <w:sz w:val="13"/>
                <w:szCs w:val="13"/>
                <w:color w:val="auto"/>
              </w:rPr>
              <w:t>First Lien Term Loan 10.75% Cash, 12/27/2017</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7,500,000</w:t>
            </w: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3"/>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3660" w:type="dxa"/>
            <w:vAlign w:val="bottom"/>
            <w:gridSpan w:val="3"/>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7,351,433</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7,500,000</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6.9%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3"/>
          </w:tcPr>
          <w:p>
            <w:pPr>
              <w:spacing w:after="0" w:line="135" w:lineRule="exact"/>
              <w:rPr>
                <w:sz w:val="20"/>
                <w:szCs w:val="20"/>
                <w:color w:val="auto"/>
              </w:rPr>
            </w:pPr>
            <w:r>
              <w:rPr>
                <w:rFonts w:ascii="Arial" w:cs="Arial" w:eastAsia="Arial" w:hAnsi="Arial"/>
                <w:sz w:val="13"/>
                <w:szCs w:val="13"/>
                <w:color w:val="auto"/>
              </w:rPr>
              <w:t>Maverick Healthcare Group (d)</w:t>
            </w:r>
          </w:p>
        </w:tc>
        <w:tc>
          <w:tcPr>
            <w:tcW w:w="1260" w:type="dxa"/>
            <w:vAlign w:val="bottom"/>
          </w:tcPr>
          <w:p>
            <w:pPr>
              <w:spacing w:after="0" w:line="135" w:lineRule="exact"/>
              <w:rPr>
                <w:sz w:val="20"/>
                <w:szCs w:val="20"/>
                <w:color w:val="auto"/>
              </w:rPr>
            </w:pPr>
            <w:r>
              <w:rPr>
                <w:rFonts w:ascii="Arial" w:cs="Arial" w:eastAsia="Arial" w:hAnsi="Arial"/>
                <w:sz w:val="13"/>
                <w:szCs w:val="13"/>
                <w:color w:val="auto"/>
              </w:rPr>
              <w:t>Healthcare Services</w:t>
            </w:r>
          </w:p>
        </w:tc>
        <w:tc>
          <w:tcPr>
            <w:tcW w:w="3660" w:type="dxa"/>
            <w:vAlign w:val="bottom"/>
            <w:gridSpan w:val="3"/>
          </w:tcPr>
          <w:p>
            <w:pPr>
              <w:ind w:left="180"/>
              <w:spacing w:after="0" w:line="135" w:lineRule="exact"/>
              <w:rPr>
                <w:sz w:val="20"/>
                <w:szCs w:val="20"/>
                <w:color w:val="auto"/>
              </w:rPr>
            </w:pPr>
            <w:r>
              <w:rPr>
                <w:rFonts w:ascii="Arial" w:cs="Arial" w:eastAsia="Arial" w:hAnsi="Arial"/>
                <w:sz w:val="13"/>
                <w:szCs w:val="13"/>
                <w:color w:val="auto"/>
              </w:rPr>
              <w:t>First Lien Term Loan 10.75% Cash, 12/31/2016</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line="135" w:lineRule="exact"/>
              <w:rPr>
                <w:sz w:val="20"/>
                <w:szCs w:val="20"/>
                <w:color w:val="auto"/>
              </w:rPr>
            </w:pPr>
            <w:r>
              <w:rPr>
                <w:rFonts w:ascii="Arial" w:cs="Arial" w:eastAsia="Arial" w:hAnsi="Arial"/>
                <w:sz w:val="13"/>
                <w:szCs w:val="13"/>
                <w:color w:val="auto"/>
              </w:rPr>
              <w:t>4,900,000</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35" w:lineRule="exact"/>
              <w:rPr>
                <w:sz w:val="20"/>
                <w:szCs w:val="20"/>
                <w:color w:val="auto"/>
              </w:rPr>
            </w:pPr>
            <w:r>
              <w:rPr>
                <w:rFonts w:ascii="Arial" w:cs="Arial" w:eastAsia="Arial" w:hAnsi="Arial"/>
                <w:sz w:val="13"/>
                <w:szCs w:val="13"/>
                <w:color w:val="auto"/>
              </w:rPr>
              <w:t>4,835,389</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4,900,000</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Total Healthcare Services</w:t>
            </w: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34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12,186,822</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12,400,000</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11.4%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3"/>
                <w:szCs w:val="13"/>
                <w:color w:val="auto"/>
              </w:rPr>
              <w:t>McMillin Companies L.L.C. (d), (h)</w:t>
            </w:r>
          </w:p>
        </w:tc>
        <w:tc>
          <w:tcPr>
            <w:tcW w:w="1260" w:type="dxa"/>
            <w:vAlign w:val="bottom"/>
            <w:vMerge w:val="restart"/>
          </w:tcPr>
          <w:p>
            <w:pPr>
              <w:spacing w:after="0"/>
              <w:rPr>
                <w:sz w:val="20"/>
                <w:szCs w:val="20"/>
                <w:color w:val="auto"/>
              </w:rPr>
            </w:pPr>
            <w:r>
              <w:rPr>
                <w:rFonts w:ascii="Arial" w:cs="Arial" w:eastAsia="Arial" w:hAnsi="Arial"/>
                <w:sz w:val="13"/>
                <w:szCs w:val="13"/>
                <w:color w:val="auto"/>
              </w:rPr>
              <w:t>Homebuilding</w:t>
            </w:r>
          </w:p>
        </w:tc>
        <w:tc>
          <w:tcPr>
            <w:tcW w:w="3660" w:type="dxa"/>
            <w:vAlign w:val="bottom"/>
            <w:gridSpan w:val="3"/>
            <w:vMerge w:val="restart"/>
          </w:tcPr>
          <w:p>
            <w:pPr>
              <w:ind w:left="180"/>
              <w:spacing w:after="0"/>
              <w:rPr>
                <w:sz w:val="20"/>
                <w:szCs w:val="20"/>
                <w:color w:val="auto"/>
              </w:rPr>
            </w:pPr>
            <w:r>
              <w:rPr>
                <w:rFonts w:ascii="Arial" w:cs="Arial" w:eastAsia="Arial" w:hAnsi="Arial"/>
                <w:sz w:val="13"/>
                <w:szCs w:val="13"/>
                <w:color w:val="auto"/>
              </w:rPr>
              <w:t>Senior Secured Note 0% Cash, 12/31/2013</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550,000</w:t>
            </w: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3"/>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36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536,764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315,370</w:t>
            </w:r>
          </w:p>
        </w:tc>
        <w:tc>
          <w:tcPr>
            <w:tcW w:w="1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Total Homebuilding</w:t>
            </w: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34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536,764</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315,370</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3"/>
                <w:szCs w:val="13"/>
                <w:color w:val="auto"/>
              </w:rPr>
              <w:t>Capstone Logistics, L.L.C. (d)</w:t>
            </w:r>
          </w:p>
        </w:tc>
        <w:tc>
          <w:tcPr>
            <w:tcW w:w="1260" w:type="dxa"/>
            <w:vAlign w:val="bottom"/>
            <w:vMerge w:val="restart"/>
          </w:tcPr>
          <w:p>
            <w:pPr>
              <w:spacing w:after="0"/>
              <w:rPr>
                <w:sz w:val="20"/>
                <w:szCs w:val="20"/>
                <w:color w:val="auto"/>
              </w:rPr>
            </w:pPr>
            <w:r>
              <w:rPr>
                <w:rFonts w:ascii="Arial" w:cs="Arial" w:eastAsia="Arial" w:hAnsi="Arial"/>
                <w:sz w:val="13"/>
                <w:szCs w:val="13"/>
                <w:color w:val="auto"/>
              </w:rPr>
              <w:t>Logistics</w:t>
            </w:r>
          </w:p>
        </w:tc>
        <w:tc>
          <w:tcPr>
            <w:tcW w:w="3660" w:type="dxa"/>
            <w:vAlign w:val="bottom"/>
            <w:gridSpan w:val="3"/>
            <w:vMerge w:val="restart"/>
          </w:tcPr>
          <w:p>
            <w:pPr>
              <w:ind w:left="180"/>
              <w:spacing w:after="0"/>
              <w:rPr>
                <w:sz w:val="20"/>
                <w:szCs w:val="20"/>
                <w:color w:val="auto"/>
              </w:rPr>
            </w:pPr>
            <w:r>
              <w:rPr>
                <w:rFonts w:ascii="Arial" w:cs="Arial" w:eastAsia="Arial" w:hAnsi="Arial"/>
                <w:sz w:val="13"/>
                <w:szCs w:val="13"/>
                <w:color w:val="auto"/>
              </w:rPr>
              <w:t>First Lien Term Loan 7.50% Cash, 9/16/2016</w:t>
            </w:r>
          </w:p>
        </w:tc>
        <w:tc>
          <w:tcPr>
            <w:tcW w:w="120" w:type="dxa"/>
            <w:vAlign w:val="bottom"/>
            <w:vMerge w:val="restart"/>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tcPr>
          <w:p>
            <w:pPr>
              <w:jc w:val="right"/>
              <w:ind w:right="100"/>
              <w:spacing w:after="0"/>
              <w:rPr>
                <w:sz w:val="20"/>
                <w:szCs w:val="20"/>
                <w:color w:val="auto"/>
              </w:rPr>
            </w:pPr>
            <w:r>
              <w:rPr>
                <w:rFonts w:ascii="Arial" w:cs="Arial" w:eastAsia="Arial" w:hAnsi="Arial"/>
                <w:sz w:val="13"/>
                <w:szCs w:val="13"/>
                <w:color w:val="auto"/>
              </w:rPr>
              <w:t>899,769</w:t>
            </w: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3"/>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3660" w:type="dxa"/>
            <w:vAlign w:val="bottom"/>
            <w:gridSpan w:val="3"/>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124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889,798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908,766</w:t>
            </w:r>
          </w:p>
        </w:tc>
        <w:tc>
          <w:tcPr>
            <w:tcW w:w="1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0.8%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Capstone Logistics, L.L.C. (d)</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Logistics</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rPr>
              <w:t>First Lien Term Loan 13.50% Cash, 9/16/2016</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3,693,369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3,652,443</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3,767,236</w:t>
            </w: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20" w:type="dxa"/>
            <w:vAlign w:val="bottom"/>
            <w:gridSpan w:val="3"/>
          </w:tcPr>
          <w:p>
            <w:pPr>
              <w:spacing w:after="0" w:line="121" w:lineRule="exact"/>
              <w:rPr>
                <w:sz w:val="20"/>
                <w:szCs w:val="20"/>
                <w:color w:val="auto"/>
              </w:rPr>
            </w:pPr>
            <w:r>
              <w:rPr>
                <w:rFonts w:ascii="Arial" w:cs="Arial" w:eastAsia="Arial" w:hAnsi="Arial"/>
                <w:sz w:val="13"/>
                <w:szCs w:val="13"/>
                <w:color w:val="auto"/>
              </w:rPr>
              <w:t>Worldwide Express Operations,</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Logistics</w:t>
            </w:r>
          </w:p>
        </w:tc>
        <w:tc>
          <w:tcPr>
            <w:tcW w:w="366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First Lien Term Loan 7.50% Cash, 6/30/2013</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3"/>
          </w:tcPr>
          <w:p>
            <w:pPr>
              <w:ind w:left="180"/>
              <w:spacing w:after="0"/>
              <w:rPr>
                <w:sz w:val="20"/>
                <w:szCs w:val="20"/>
                <w:color w:val="auto"/>
              </w:rPr>
            </w:pPr>
            <w:r>
              <w:rPr>
                <w:rFonts w:ascii="Arial" w:cs="Arial" w:eastAsia="Arial" w:hAnsi="Arial"/>
                <w:sz w:val="13"/>
                <w:szCs w:val="13"/>
                <w:color w:val="auto"/>
              </w:rPr>
              <w:t>L.L.C. (d)</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6,527,979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6,461,295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6,504,478</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shd w:val="clear" w:color="auto" w:fill="CCEEFF"/>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34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3"/>
                <w:szCs w:val="13"/>
                <w:color w:val="auto"/>
              </w:rPr>
              <w:t>Total Logistics</w:t>
            </w: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vMerge w:val="continue"/>
            <w:shd w:val="clear" w:color="auto" w:fill="CCEEFF"/>
          </w:tcPr>
          <w:p>
            <w:pPr>
              <w:spacing w:after="0"/>
              <w:rPr>
                <w:sz w:val="11"/>
                <w:szCs w:val="11"/>
                <w:color w:val="auto"/>
              </w:rPr>
            </w:pPr>
          </w:p>
        </w:tc>
        <w:tc>
          <w:tcPr>
            <w:tcW w:w="3480" w:type="dxa"/>
            <w:vAlign w:val="bottom"/>
            <w:gridSpan w:val="2"/>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11,003,536</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11,180,480</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10.3%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2020" w:type="dxa"/>
            <w:vAlign w:val="bottom"/>
            <w:gridSpan w:val="3"/>
          </w:tcPr>
          <w:p>
            <w:pPr>
              <w:spacing w:after="0" w:line="101" w:lineRule="exact"/>
              <w:rPr>
                <w:sz w:val="20"/>
                <w:szCs w:val="20"/>
                <w:color w:val="auto"/>
              </w:rPr>
            </w:pPr>
            <w:r>
              <w:rPr>
                <w:rFonts w:ascii="Arial" w:cs="Arial" w:eastAsia="Arial" w:hAnsi="Arial"/>
                <w:sz w:val="11"/>
                <w:szCs w:val="11"/>
                <w:color w:val="auto"/>
              </w:rPr>
              <w:t>Elyria Foundry Company, L.L.C.</w:t>
            </w:r>
          </w:p>
        </w:tc>
        <w:tc>
          <w:tcPr>
            <w:tcW w:w="1260" w:type="dxa"/>
            <w:vAlign w:val="bottom"/>
          </w:tcPr>
          <w:p>
            <w:pPr>
              <w:spacing w:after="0" w:line="101" w:lineRule="exact"/>
              <w:rPr>
                <w:sz w:val="20"/>
                <w:szCs w:val="20"/>
                <w:color w:val="auto"/>
              </w:rPr>
            </w:pPr>
            <w:r>
              <w:rPr>
                <w:rFonts w:ascii="Arial" w:cs="Arial" w:eastAsia="Arial" w:hAnsi="Arial"/>
                <w:sz w:val="11"/>
                <w:szCs w:val="11"/>
                <w:color w:val="auto"/>
              </w:rPr>
              <w:t>Metals</w:t>
            </w:r>
          </w:p>
        </w:tc>
        <w:tc>
          <w:tcPr>
            <w:tcW w:w="3660" w:type="dxa"/>
            <w:vAlign w:val="bottom"/>
            <w:gridSpan w:val="3"/>
          </w:tcPr>
          <w:p>
            <w:pPr>
              <w:ind w:left="180"/>
              <w:spacing w:after="0" w:line="101" w:lineRule="exact"/>
              <w:rPr>
                <w:sz w:val="20"/>
                <w:szCs w:val="20"/>
                <w:color w:val="auto"/>
              </w:rPr>
            </w:pPr>
            <w:r>
              <w:rPr>
                <w:rFonts w:ascii="Arial" w:cs="Arial" w:eastAsia="Arial" w:hAnsi="Arial"/>
                <w:sz w:val="11"/>
                <w:szCs w:val="11"/>
                <w:color w:val="auto"/>
              </w:rPr>
              <w:t>Senior Secured Note 17.00% (13.00% Cash/4.00% PIK),</w:t>
            </w:r>
          </w:p>
        </w:tc>
        <w:tc>
          <w:tcPr>
            <w:tcW w:w="1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9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20" w:type="dxa"/>
            <w:vAlign w:val="bottom"/>
            <w:gridSpan w:val="3"/>
          </w:tcPr>
          <w:p>
            <w:pPr>
              <w:ind w:left="180"/>
              <w:spacing w:after="0"/>
              <w:rPr>
                <w:sz w:val="20"/>
                <w:szCs w:val="20"/>
                <w:color w:val="auto"/>
              </w:rPr>
            </w:pPr>
            <w:r>
              <w:rPr>
                <w:rFonts w:ascii="Arial" w:cs="Arial" w:eastAsia="Arial" w:hAnsi="Arial"/>
                <w:sz w:val="13"/>
                <w:szCs w:val="13"/>
                <w:color w:val="auto"/>
              </w:rPr>
              <w:t>(d)</w:t>
            </w:r>
          </w:p>
        </w:tc>
        <w:tc>
          <w:tcPr>
            <w:tcW w:w="1260" w:type="dxa"/>
            <w:vAlign w:val="bottom"/>
          </w:tcPr>
          <w:p>
            <w:pPr>
              <w:spacing w:after="0"/>
              <w:rPr>
                <w:sz w:val="12"/>
                <w:szCs w:val="12"/>
                <w:color w:val="auto"/>
              </w:rPr>
            </w:pPr>
          </w:p>
        </w:tc>
        <w:tc>
          <w:tcPr>
            <w:tcW w:w="3500" w:type="dxa"/>
            <w:vAlign w:val="bottom"/>
            <w:gridSpan w:val="2"/>
          </w:tcPr>
          <w:p>
            <w:pPr>
              <w:ind w:left="180"/>
              <w:spacing w:after="0"/>
              <w:rPr>
                <w:sz w:val="20"/>
                <w:szCs w:val="20"/>
                <w:color w:val="auto"/>
              </w:rPr>
            </w:pPr>
            <w:r>
              <w:rPr>
                <w:rFonts w:ascii="Arial" w:cs="Arial" w:eastAsia="Arial" w:hAnsi="Arial"/>
                <w:sz w:val="13"/>
                <w:szCs w:val="13"/>
                <w:color w:val="auto"/>
              </w:rPr>
              <w:t>3/1/2013</w:t>
            </w: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7,728,566</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7,728,566</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3"/>
                <w:szCs w:val="13"/>
                <w:color w:val="auto"/>
              </w:rPr>
              <w:t>6,723,852</w:t>
            </w:r>
          </w:p>
        </w:tc>
        <w:tc>
          <w:tcPr>
            <w:tcW w:w="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6.2%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Elyria Foundry Company, L.L.C.</w:t>
            </w:r>
          </w:p>
        </w:tc>
        <w:tc>
          <w:tcPr>
            <w:tcW w:w="1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Metals</w:t>
            </w:r>
          </w:p>
        </w:tc>
        <w:tc>
          <w:tcPr>
            <w:tcW w:w="36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Warrants to Purchase Limited Liability Company Interests</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(d), (h)</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3,000</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gridSpan w:val="2"/>
            <w:shd w:val="clear" w:color="auto" w:fill="CCEEFF"/>
          </w:tcPr>
          <w:p>
            <w:pPr>
              <w:spacing w:after="0"/>
              <w:rPr>
                <w:sz w:val="12"/>
                <w:szCs w:val="12"/>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480" w:type="dxa"/>
            <w:vAlign w:val="bottom"/>
            <w:gridSpan w:val="2"/>
            <w:vMerge w:val="restart"/>
          </w:tcPr>
          <w:p>
            <w:pPr>
              <w:jc w:val="right"/>
              <w:ind w:right="160"/>
              <w:spacing w:after="0"/>
              <w:rPr>
                <w:sz w:val="20"/>
                <w:szCs w:val="20"/>
                <w:color w:val="auto"/>
              </w:rPr>
            </w:pPr>
            <w:r>
              <w:rPr>
                <w:rFonts w:ascii="Arial" w:cs="Arial" w:eastAsia="Arial" w:hAnsi="Arial"/>
                <w:sz w:val="13"/>
                <w:szCs w:val="13"/>
                <w:color w:val="auto"/>
              </w:rPr>
              <w:t>Total Metals</w:t>
            </w: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vMerge w:val="continue"/>
          </w:tcPr>
          <w:p>
            <w:pPr>
              <w:spacing w:after="0"/>
              <w:rPr>
                <w:sz w:val="11"/>
                <w:szCs w:val="11"/>
                <w:color w:val="auto"/>
              </w:rPr>
            </w:pPr>
          </w:p>
        </w:tc>
        <w:tc>
          <w:tcPr>
            <w:tcW w:w="34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20"/>
              <w:spacing w:after="0" w:line="129" w:lineRule="exact"/>
              <w:rPr>
                <w:sz w:val="20"/>
                <w:szCs w:val="20"/>
                <w:color w:val="auto"/>
              </w:rPr>
            </w:pPr>
            <w:r>
              <w:rPr>
                <w:rFonts w:ascii="Arial" w:cs="Arial" w:eastAsia="Arial" w:hAnsi="Arial"/>
                <w:sz w:val="13"/>
                <w:szCs w:val="13"/>
                <w:color w:val="auto"/>
              </w:rPr>
              <w:t>7,728,566</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6,723,852</w:t>
            </w:r>
          </w:p>
        </w:tc>
        <w:tc>
          <w:tcPr>
            <w:tcW w:w="120" w:type="dxa"/>
            <w:vAlign w:val="bottom"/>
            <w:vMerge w:val="continue"/>
          </w:tcPr>
          <w:p>
            <w:pPr>
              <w:spacing w:after="0"/>
              <w:rPr>
                <w:sz w:val="11"/>
                <w:szCs w:val="11"/>
                <w:color w:val="auto"/>
              </w:rPr>
            </w:pPr>
          </w:p>
        </w:tc>
        <w:tc>
          <w:tcPr>
            <w:tcW w:w="40" w:type="dxa"/>
            <w:vAlign w:val="bottom"/>
            <w:vMerge w:val="continue"/>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gridSpan w:val="3"/>
            <w:vMerge w:val="restart"/>
            <w:shd w:val="clear" w:color="auto" w:fill="CCEEFF"/>
          </w:tcPr>
          <w:p>
            <w:pPr>
              <w:spacing w:after="0"/>
              <w:rPr>
                <w:sz w:val="20"/>
                <w:szCs w:val="20"/>
                <w:color w:val="auto"/>
              </w:rPr>
            </w:pPr>
            <w:r>
              <w:rPr>
                <w:rFonts w:ascii="Arial" w:cs="Arial" w:eastAsia="Arial" w:hAnsi="Arial"/>
                <w:sz w:val="13"/>
                <w:szCs w:val="13"/>
                <w:color w:val="auto"/>
              </w:rPr>
              <w:t>Network Communications, Inc. (d)</w:t>
            </w:r>
          </w:p>
        </w:tc>
        <w:tc>
          <w:tcPr>
            <w:tcW w:w="1260" w:type="dxa"/>
            <w:vAlign w:val="bottom"/>
            <w:vMerge w:val="restart"/>
            <w:shd w:val="clear" w:color="auto" w:fill="CCEEFF"/>
          </w:tcPr>
          <w:p>
            <w:pPr>
              <w:spacing w:after="0"/>
              <w:rPr>
                <w:sz w:val="20"/>
                <w:szCs w:val="20"/>
                <w:color w:val="auto"/>
              </w:rPr>
            </w:pPr>
            <w:r>
              <w:rPr>
                <w:rFonts w:ascii="Arial" w:cs="Arial" w:eastAsia="Arial" w:hAnsi="Arial"/>
                <w:sz w:val="13"/>
                <w:szCs w:val="13"/>
                <w:color w:val="auto"/>
              </w:rPr>
              <w:t>Publishing</w:t>
            </w:r>
          </w:p>
        </w:tc>
        <w:tc>
          <w:tcPr>
            <w:tcW w:w="3660" w:type="dxa"/>
            <w:vAlign w:val="bottom"/>
            <w:gridSpan w:val="3"/>
            <w:vMerge w:val="restart"/>
            <w:shd w:val="clear" w:color="auto" w:fill="CCEEFF"/>
          </w:tcPr>
          <w:p>
            <w:pPr>
              <w:ind w:left="180"/>
              <w:spacing w:after="0"/>
              <w:rPr>
                <w:sz w:val="20"/>
                <w:szCs w:val="20"/>
                <w:color w:val="auto"/>
              </w:rPr>
            </w:pPr>
            <w:r>
              <w:rPr>
                <w:rFonts w:ascii="Arial" w:cs="Arial" w:eastAsia="Arial" w:hAnsi="Arial"/>
                <w:sz w:val="13"/>
                <w:szCs w:val="13"/>
                <w:color w:val="auto"/>
              </w:rPr>
              <w:t>Unsecured Note 8.60% PIK, 1/14/2020</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3"/>
                <w:szCs w:val="13"/>
                <w:color w:val="auto"/>
              </w:rPr>
              <w:t>2,500,198</w:t>
            </w: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3"/>
            <w:vMerge w:val="continue"/>
            <w:shd w:val="clear" w:color="auto" w:fill="CCEEFF"/>
          </w:tcPr>
          <w:p>
            <w:pPr>
              <w:spacing w:after="0"/>
              <w:rPr>
                <w:sz w:val="11"/>
                <w:szCs w:val="11"/>
                <w:color w:val="auto"/>
              </w:rPr>
            </w:pPr>
          </w:p>
        </w:tc>
        <w:tc>
          <w:tcPr>
            <w:tcW w:w="1260" w:type="dxa"/>
            <w:vAlign w:val="bottom"/>
            <w:vMerge w:val="continue"/>
            <w:shd w:val="clear" w:color="auto" w:fill="CCEEFF"/>
          </w:tcPr>
          <w:p>
            <w:pPr>
              <w:spacing w:after="0"/>
              <w:rPr>
                <w:sz w:val="11"/>
                <w:szCs w:val="11"/>
                <w:color w:val="auto"/>
              </w:rPr>
            </w:pPr>
          </w:p>
        </w:tc>
        <w:tc>
          <w:tcPr>
            <w:tcW w:w="3660" w:type="dxa"/>
            <w:vAlign w:val="bottom"/>
            <w:gridSpan w:val="3"/>
            <w:vMerge w:val="continue"/>
            <w:shd w:val="clear" w:color="auto" w:fill="CCEEFF"/>
          </w:tcPr>
          <w:p>
            <w:pPr>
              <w:spacing w:after="0"/>
              <w:rPr>
                <w:sz w:val="11"/>
                <w:szCs w:val="11"/>
                <w:color w:val="auto"/>
              </w:rPr>
            </w:pPr>
          </w:p>
        </w:tc>
        <w:tc>
          <w:tcPr>
            <w:tcW w:w="120" w:type="dxa"/>
            <w:vAlign w:val="bottom"/>
            <w:vMerge w:val="continue"/>
            <w:shd w:val="clear" w:color="auto" w:fill="CCEEFF"/>
          </w:tcPr>
          <w:p>
            <w:pPr>
              <w:spacing w:after="0"/>
              <w:rPr>
                <w:sz w:val="11"/>
                <w:szCs w:val="11"/>
                <w:color w:val="auto"/>
              </w:rPr>
            </w:pPr>
          </w:p>
        </w:tc>
        <w:tc>
          <w:tcPr>
            <w:tcW w:w="1240" w:type="dxa"/>
            <w:vAlign w:val="bottom"/>
            <w:gridSpan w:val="2"/>
            <w:vMerge w:val="continue"/>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29" w:lineRule="exact"/>
              <w:rPr>
                <w:sz w:val="20"/>
                <w:szCs w:val="20"/>
                <w:color w:val="auto"/>
              </w:rPr>
            </w:pPr>
            <w:r>
              <w:rPr>
                <w:rFonts w:ascii="Arial" w:cs="Arial" w:eastAsia="Arial" w:hAnsi="Arial"/>
                <w:sz w:val="13"/>
                <w:szCs w:val="13"/>
                <w:color w:val="auto"/>
              </w:rPr>
              <w:t>2,049,660</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4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960,827</w:t>
            </w:r>
          </w:p>
        </w:tc>
        <w:tc>
          <w:tcPr>
            <w:tcW w:w="120" w:type="dxa"/>
            <w:vAlign w:val="bottom"/>
            <w:vMerge w:val="continue"/>
            <w:shd w:val="clear" w:color="auto" w:fill="CCEEFF"/>
          </w:tcPr>
          <w:p>
            <w:pPr>
              <w:spacing w:after="0"/>
              <w:rPr>
                <w:sz w:val="11"/>
                <w:szCs w:val="11"/>
                <w:color w:val="auto"/>
              </w:rPr>
            </w:pPr>
          </w:p>
        </w:tc>
        <w:tc>
          <w:tcPr>
            <w:tcW w:w="40" w:type="dxa"/>
            <w:vAlign w:val="bottom"/>
            <w:vMerge w:val="continue"/>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0.9%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20" w:type="dxa"/>
            <w:vAlign w:val="bottom"/>
            <w:gridSpan w:val="3"/>
          </w:tcPr>
          <w:p>
            <w:pPr>
              <w:spacing w:after="0" w:line="121" w:lineRule="exact"/>
              <w:rPr>
                <w:sz w:val="20"/>
                <w:szCs w:val="20"/>
                <w:color w:val="auto"/>
              </w:rPr>
            </w:pPr>
            <w:r>
              <w:rPr>
                <w:rFonts w:ascii="Arial" w:cs="Arial" w:eastAsia="Arial" w:hAnsi="Arial"/>
                <w:sz w:val="13"/>
                <w:szCs w:val="13"/>
                <w:color w:val="auto"/>
              </w:rPr>
              <w:t>Network Communications, Inc. (d),</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Publishing</w:t>
            </w:r>
          </w:p>
        </w:tc>
        <w:tc>
          <w:tcPr>
            <w:tcW w:w="366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Common Stock</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3"/>
          </w:tcPr>
          <w:p>
            <w:pPr>
              <w:ind w:left="180"/>
              <w:spacing w:after="0"/>
              <w:rPr>
                <w:sz w:val="20"/>
                <w:szCs w:val="20"/>
                <w:color w:val="auto"/>
              </w:rPr>
            </w:pPr>
            <w:r>
              <w:rPr>
                <w:rFonts w:ascii="Arial" w:cs="Arial" w:eastAsia="Arial" w:hAnsi="Arial"/>
                <w:sz w:val="13"/>
                <w:szCs w:val="13"/>
                <w:color w:val="auto"/>
              </w:rPr>
              <w:t>(h)</w:t>
            </w:r>
          </w:p>
        </w:tc>
        <w:tc>
          <w:tcPr>
            <w:tcW w:w="1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211,429</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4"/>
          </w:tcPr>
          <w:p>
            <w:pPr>
              <w:jc w:val="right"/>
              <w:ind w:right="160"/>
              <w:spacing w:after="0"/>
              <w:rPr>
                <w:sz w:val="20"/>
                <w:szCs w:val="20"/>
                <w:color w:val="auto"/>
              </w:rPr>
            </w:pPr>
            <w:r>
              <w:rPr>
                <w:rFonts w:ascii="Arial" w:cs="Arial" w:eastAsia="Arial" w:hAnsi="Arial"/>
                <w:sz w:val="13"/>
                <w:szCs w:val="13"/>
                <w:color w:val="auto"/>
              </w:rPr>
              <w:t>—</w:t>
            </w: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20" w:type="dxa"/>
            <w:vAlign w:val="bottom"/>
            <w:gridSpan w:val="3"/>
            <w:shd w:val="clear" w:color="auto" w:fill="CCEEFF"/>
          </w:tcPr>
          <w:p>
            <w:pPr>
              <w:spacing w:after="0" w:line="135" w:lineRule="exact"/>
              <w:rPr>
                <w:sz w:val="20"/>
                <w:szCs w:val="20"/>
                <w:color w:val="auto"/>
              </w:rPr>
            </w:pPr>
            <w:r>
              <w:rPr>
                <w:rFonts w:ascii="Arial" w:cs="Arial" w:eastAsia="Arial" w:hAnsi="Arial"/>
                <w:sz w:val="13"/>
                <w:szCs w:val="13"/>
                <w:color w:val="auto"/>
              </w:rPr>
              <w:t>Penton Media, Inc. (d)</w:t>
            </w:r>
          </w:p>
        </w:tc>
        <w:tc>
          <w:tcPr>
            <w:tcW w:w="12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Publishing</w:t>
            </w:r>
          </w:p>
        </w:tc>
        <w:tc>
          <w:tcPr>
            <w:tcW w:w="3660" w:type="dxa"/>
            <w:vAlign w:val="bottom"/>
            <w:gridSpan w:val="3"/>
            <w:shd w:val="clear" w:color="auto" w:fill="CCEEFF"/>
          </w:tcPr>
          <w:p>
            <w:pPr>
              <w:ind w:left="180"/>
              <w:spacing w:after="0" w:line="135" w:lineRule="exact"/>
              <w:rPr>
                <w:sz w:val="20"/>
                <w:szCs w:val="20"/>
                <w:color w:val="auto"/>
              </w:rPr>
            </w:pPr>
            <w:r>
              <w:rPr>
                <w:rFonts w:ascii="Arial" w:cs="Arial" w:eastAsia="Arial" w:hAnsi="Arial"/>
                <w:sz w:val="13"/>
                <w:szCs w:val="13"/>
                <w:color w:val="auto"/>
                <w:w w:val="94"/>
              </w:rPr>
              <w:t>First Lien Term Loan 6.00% (4.00% Cash/2.00% PIK), 8/1/2014</w:t>
            </w:r>
          </w:p>
        </w:tc>
        <w:tc>
          <w:tcPr>
            <w:tcW w:w="1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w w:val="82"/>
              </w:rPr>
              <w:t>$</w:t>
            </w:r>
          </w:p>
        </w:tc>
        <w:tc>
          <w:tcPr>
            <w:tcW w:w="1240" w:type="dxa"/>
            <w:vAlign w:val="bottom"/>
            <w:gridSpan w:val="2"/>
            <w:shd w:val="clear" w:color="auto" w:fill="CCEEFF"/>
          </w:tcPr>
          <w:p>
            <w:pPr>
              <w:jc w:val="right"/>
              <w:ind w:right="100"/>
              <w:spacing w:after="0" w:line="135" w:lineRule="exact"/>
              <w:rPr>
                <w:sz w:val="20"/>
                <w:szCs w:val="20"/>
                <w:color w:val="auto"/>
              </w:rPr>
            </w:pPr>
            <w:r>
              <w:rPr>
                <w:rFonts w:ascii="Arial" w:cs="Arial" w:eastAsia="Arial" w:hAnsi="Arial"/>
                <w:sz w:val="13"/>
                <w:szCs w:val="13"/>
                <w:color w:val="auto"/>
              </w:rPr>
              <w:t>4,839,189</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20"/>
              <w:spacing w:after="0" w:line="135" w:lineRule="exact"/>
              <w:rPr>
                <w:sz w:val="20"/>
                <w:szCs w:val="20"/>
                <w:color w:val="auto"/>
              </w:rPr>
            </w:pPr>
            <w:r>
              <w:rPr>
                <w:rFonts w:ascii="Arial" w:cs="Arial" w:eastAsia="Arial" w:hAnsi="Arial"/>
                <w:sz w:val="13"/>
                <w:szCs w:val="13"/>
                <w:color w:val="auto"/>
              </w:rPr>
              <w:t>4,497,495</w:t>
            </w: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60" w:type="dxa"/>
            <w:vAlign w:val="bottom"/>
            <w:gridSpan w:val="3"/>
            <w:shd w:val="clear" w:color="auto" w:fill="CCEEFF"/>
          </w:tcPr>
          <w:p>
            <w:pPr>
              <w:jc w:val="right"/>
              <w:ind w:right="120"/>
              <w:spacing w:after="0" w:line="135" w:lineRule="exact"/>
              <w:rPr>
                <w:sz w:val="20"/>
                <w:szCs w:val="20"/>
                <w:color w:val="auto"/>
              </w:rPr>
            </w:pPr>
            <w:r>
              <w:rPr>
                <w:rFonts w:ascii="Arial" w:cs="Arial" w:eastAsia="Arial" w:hAnsi="Arial"/>
                <w:sz w:val="13"/>
                <w:szCs w:val="13"/>
                <w:color w:val="auto"/>
              </w:rPr>
              <w:t>4,669,818</w:t>
            </w: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1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480" w:type="dxa"/>
            <w:vAlign w:val="bottom"/>
            <w:gridSpan w:val="2"/>
          </w:tcPr>
          <w:p>
            <w:pPr>
              <w:jc w:val="right"/>
              <w:ind w:right="160"/>
              <w:spacing w:after="0" w:line="129" w:lineRule="exact"/>
              <w:rPr>
                <w:sz w:val="20"/>
                <w:szCs w:val="20"/>
                <w:color w:val="auto"/>
              </w:rPr>
            </w:pPr>
            <w:r>
              <w:rPr>
                <w:rFonts w:ascii="Arial" w:cs="Arial" w:eastAsia="Arial" w:hAnsi="Arial"/>
                <w:sz w:val="13"/>
                <w:szCs w:val="13"/>
                <w:color w:val="auto"/>
              </w:rPr>
              <w:t>Total Publishing</w:t>
            </w: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760" w:type="dxa"/>
            <w:vAlign w:val="bottom"/>
            <w:tcBorders>
              <w:top w:val="single" w:sz="8" w:color="auto"/>
              <w:bottom w:val="single" w:sz="8" w:color="auto"/>
            </w:tcBorders>
            <w:gridSpan w:val="2"/>
          </w:tcPr>
          <w:p>
            <w:pPr>
              <w:jc w:val="right"/>
              <w:ind w:right="20"/>
              <w:spacing w:after="0" w:line="129" w:lineRule="exact"/>
              <w:rPr>
                <w:sz w:val="20"/>
                <w:szCs w:val="20"/>
                <w:color w:val="auto"/>
              </w:rPr>
            </w:pPr>
            <w:r>
              <w:rPr>
                <w:rFonts w:ascii="Arial" w:cs="Arial" w:eastAsia="Arial" w:hAnsi="Arial"/>
                <w:sz w:val="13"/>
                <w:szCs w:val="13"/>
                <w:color w:val="auto"/>
              </w:rPr>
              <w:t>6,547,155</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gridSpan w:val="2"/>
          </w:tcPr>
          <w:p>
            <w:pPr>
              <w:jc w:val="right"/>
              <w:spacing w:after="0" w:line="129" w:lineRule="exact"/>
              <w:rPr>
                <w:sz w:val="20"/>
                <w:szCs w:val="20"/>
                <w:color w:val="auto"/>
              </w:rPr>
            </w:pPr>
            <w:r>
              <w:rPr>
                <w:rFonts w:ascii="Arial" w:cs="Arial" w:eastAsia="Arial" w:hAnsi="Arial"/>
                <w:sz w:val="13"/>
                <w:szCs w:val="13"/>
                <w:color w:val="auto"/>
              </w:rPr>
              <w:t>5,630,645</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w:t>
            </w:r>
          </w:p>
        </w:tc>
        <w:tc>
          <w:tcPr>
            <w:tcW w:w="1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6"/>
        </w:trPr>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500" w:type="dxa"/>
            <w:vAlign w:val="bottom"/>
            <w:gridSpan w:val="2"/>
          </w:tcPr>
          <w:p>
            <w:pPr>
              <w:ind w:left="238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gridSpan w:val="2"/>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332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6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128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88"/>
              </w:rPr>
              <w:t>Principal/</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gridSpan w:val="2"/>
          </w:tcPr>
          <w:p>
            <w:pPr>
              <w:jc w:val="right"/>
              <w:ind w:right="277"/>
              <w:spacing w:after="0"/>
              <w:rPr>
                <w:sz w:val="20"/>
                <w:szCs w:val="20"/>
                <w:color w:val="auto"/>
              </w:rPr>
            </w:pPr>
            <w:r>
              <w:rPr>
                <w:rFonts w:ascii="Arial" w:cs="Arial" w:eastAsia="Arial" w:hAnsi="Arial"/>
                <w:sz w:val="13"/>
                <w:szCs w:val="13"/>
                <w:b w:val="1"/>
                <w:bCs w:val="1"/>
                <w:color w:val="auto"/>
              </w:rPr>
              <w:t>%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020" w:type="dxa"/>
            <w:vAlign w:val="bottom"/>
            <w:gridSpan w:val="3"/>
          </w:tcPr>
          <w:p>
            <w:pPr>
              <w:spacing w:after="0"/>
              <w:rPr>
                <w:sz w:val="20"/>
                <w:szCs w:val="20"/>
                <w:color w:val="auto"/>
              </w:rPr>
            </w:pPr>
            <w:r>
              <w:rPr>
                <w:rFonts w:ascii="Arial" w:cs="Arial" w:eastAsia="Arial" w:hAnsi="Arial"/>
                <w:sz w:val="13"/>
                <w:szCs w:val="13"/>
                <w:b w:val="1"/>
                <w:bCs w:val="1"/>
                <w:color w:val="auto"/>
              </w:rPr>
              <w:t>Company (a)</w:t>
            </w:r>
          </w:p>
        </w:tc>
        <w:tc>
          <w:tcPr>
            <w:tcW w:w="1260" w:type="dxa"/>
            <w:vAlign w:val="bottom"/>
          </w:tcPr>
          <w:p>
            <w:pPr>
              <w:ind w:left="400"/>
              <w:spacing w:after="0"/>
              <w:rPr>
                <w:sz w:val="20"/>
                <w:szCs w:val="20"/>
                <w:color w:val="auto"/>
              </w:rPr>
            </w:pPr>
            <w:r>
              <w:rPr>
                <w:rFonts w:ascii="Arial" w:cs="Arial" w:eastAsia="Arial" w:hAnsi="Arial"/>
                <w:sz w:val="13"/>
                <w:szCs w:val="13"/>
                <w:b w:val="1"/>
                <w:bCs w:val="1"/>
                <w:color w:val="auto"/>
              </w:rPr>
              <w:t>Industry</w:t>
            </w:r>
          </w:p>
        </w:tc>
        <w:tc>
          <w:tcPr>
            <w:tcW w:w="180" w:type="dxa"/>
            <w:vAlign w:val="bottom"/>
          </w:tcPr>
          <w:p>
            <w:pPr>
              <w:spacing w:after="0"/>
              <w:rPr>
                <w:sz w:val="13"/>
                <w:szCs w:val="13"/>
                <w:color w:val="auto"/>
              </w:rPr>
            </w:pPr>
          </w:p>
        </w:tc>
        <w:tc>
          <w:tcPr>
            <w:tcW w:w="3480" w:type="dxa"/>
            <w:vAlign w:val="bottom"/>
            <w:gridSpan w:val="2"/>
          </w:tcPr>
          <w:p>
            <w:pPr>
              <w:jc w:val="right"/>
              <w:ind w:right="860"/>
              <w:spacing w:after="0"/>
              <w:rPr>
                <w:sz w:val="20"/>
                <w:szCs w:val="20"/>
                <w:color w:val="auto"/>
              </w:rPr>
            </w:pPr>
            <w:r>
              <w:rPr>
                <w:rFonts w:ascii="Arial" w:cs="Arial" w:eastAsia="Arial" w:hAnsi="Arial"/>
                <w:sz w:val="13"/>
                <w:szCs w:val="13"/>
                <w:b w:val="1"/>
                <w:bCs w:val="1"/>
                <w:color w:val="auto"/>
              </w:rPr>
              <w:t>Investment Interest Rate / Maturity</w:t>
            </w:r>
          </w:p>
        </w:tc>
        <w:tc>
          <w:tcPr>
            <w:tcW w:w="120" w:type="dxa"/>
            <w:vAlign w:val="bottom"/>
          </w:tcPr>
          <w:p>
            <w:pPr>
              <w:spacing w:after="0"/>
              <w:rPr>
                <w:sz w:val="13"/>
                <w:szCs w:val="13"/>
                <w:color w:val="auto"/>
              </w:rPr>
            </w:pPr>
          </w:p>
        </w:tc>
        <w:tc>
          <w:tcPr>
            <w:tcW w:w="124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7"/>
              </w:rPr>
              <w:t>Number of Shares</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6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Cost</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4"/>
          </w:tcPr>
          <w:p>
            <w:pPr>
              <w:ind w:left="40"/>
              <w:spacing w:after="0"/>
              <w:rPr>
                <w:sz w:val="20"/>
                <w:szCs w:val="20"/>
                <w:color w:val="auto"/>
              </w:rPr>
            </w:pPr>
            <w:r>
              <w:rPr>
                <w:rFonts w:ascii="Arial" w:cs="Arial" w:eastAsia="Arial" w:hAnsi="Arial"/>
                <w:sz w:val="13"/>
                <w:szCs w:val="13"/>
                <w:b w:val="1"/>
                <w:bCs w:val="1"/>
                <w:color w:val="auto"/>
              </w:rPr>
              <w:t>Fair Value (c)</w:t>
            </w:r>
          </w:p>
        </w:tc>
        <w:tc>
          <w:tcPr>
            <w:tcW w:w="780" w:type="dxa"/>
            <w:vAlign w:val="bottom"/>
            <w:gridSpan w:val="2"/>
          </w:tcPr>
          <w:p>
            <w:pPr>
              <w:jc w:val="right"/>
              <w:ind w:right="137"/>
              <w:spacing w:after="0"/>
              <w:rPr>
                <w:sz w:val="20"/>
                <w:szCs w:val="20"/>
                <w:color w:val="auto"/>
              </w:rPr>
            </w:pPr>
            <w:r>
              <w:rPr>
                <w:rFonts w:ascii="Arial" w:cs="Arial" w:eastAsia="Arial" w:hAnsi="Arial"/>
                <w:sz w:val="13"/>
                <w:szCs w:val="13"/>
                <w:b w:val="1"/>
                <w:bCs w:val="1"/>
                <w:color w:val="auto"/>
                <w:w w:val="83"/>
              </w:rPr>
              <w:t>Net Assets</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0"/>
        </w:trPr>
        <w:tc>
          <w:tcPr>
            <w:tcW w:w="1840" w:type="dxa"/>
            <w:vAlign w:val="bottom"/>
            <w:tcBorders>
              <w:top w:val="single" w:sz="8" w:color="auto"/>
            </w:tcBorders>
            <w:gridSpan w:val="2"/>
            <w:shd w:val="clear" w:color="auto" w:fill="CCEEFF"/>
          </w:tcPr>
          <w:p>
            <w:pPr>
              <w:spacing w:after="0" w:line="110" w:lineRule="exact"/>
              <w:rPr>
                <w:sz w:val="20"/>
                <w:szCs w:val="20"/>
                <w:color w:val="auto"/>
              </w:rPr>
            </w:pPr>
            <w:r>
              <w:rPr>
                <w:rFonts w:ascii="Arial" w:cs="Arial" w:eastAsia="Arial" w:hAnsi="Arial"/>
                <w:sz w:val="12"/>
                <w:szCs w:val="12"/>
                <w:b w:val="1"/>
                <w:bCs w:val="1"/>
                <w:color w:val="auto"/>
              </w:rPr>
              <w:t>Sub Total Non-control/Non-</w:t>
            </w:r>
          </w:p>
        </w:tc>
        <w:tc>
          <w:tcPr>
            <w:tcW w:w="180" w:type="dxa"/>
            <w:vAlign w:val="bottom"/>
            <w:tcBorders>
              <w:top w:val="single" w:sz="8" w:color="CCEEFF"/>
            </w:tcBorders>
            <w:shd w:val="clear" w:color="auto" w:fill="CCEEFF"/>
          </w:tcPr>
          <w:p>
            <w:pPr>
              <w:spacing w:after="0"/>
              <w:rPr>
                <w:sz w:val="9"/>
                <w:szCs w:val="9"/>
                <w:color w:val="auto"/>
              </w:rPr>
            </w:pPr>
          </w:p>
        </w:tc>
        <w:tc>
          <w:tcPr>
            <w:tcW w:w="1260" w:type="dxa"/>
            <w:vAlign w:val="bottom"/>
            <w:tcBorders>
              <w:top w:val="single" w:sz="8" w:color="auto"/>
            </w:tcBorders>
            <w:shd w:val="clear" w:color="auto" w:fill="CCEEFF"/>
          </w:tcPr>
          <w:p>
            <w:pPr>
              <w:spacing w:after="0"/>
              <w:rPr>
                <w:sz w:val="9"/>
                <w:szCs w:val="9"/>
                <w:color w:val="auto"/>
              </w:rPr>
            </w:pPr>
          </w:p>
        </w:tc>
        <w:tc>
          <w:tcPr>
            <w:tcW w:w="180" w:type="dxa"/>
            <w:vAlign w:val="bottom"/>
            <w:tcBorders>
              <w:top w:val="single" w:sz="8" w:color="CCEEFF"/>
            </w:tcBorders>
            <w:shd w:val="clear" w:color="auto" w:fill="CCEEFF"/>
          </w:tcPr>
          <w:p>
            <w:pPr>
              <w:spacing w:after="0"/>
              <w:rPr>
                <w:sz w:val="9"/>
                <w:szCs w:val="9"/>
                <w:color w:val="auto"/>
              </w:rPr>
            </w:pPr>
          </w:p>
        </w:tc>
        <w:tc>
          <w:tcPr>
            <w:tcW w:w="3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1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CCEEFF"/>
              <w:left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9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auto"/>
            </w:tcBorders>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left w:val="single" w:sz="8" w:color="CCEEFF"/>
            </w:tcBorders>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20" w:type="dxa"/>
            <w:vAlign w:val="bottom"/>
            <w:gridSpan w:val="3"/>
            <w:shd w:val="clear" w:color="auto" w:fill="CCEEFF"/>
          </w:tcPr>
          <w:p>
            <w:pPr>
              <w:ind w:left="180"/>
              <w:spacing w:after="0"/>
              <w:rPr>
                <w:sz w:val="20"/>
                <w:szCs w:val="20"/>
                <w:color w:val="auto"/>
              </w:rPr>
            </w:pPr>
            <w:r>
              <w:rPr>
                <w:rFonts w:ascii="Arial" w:cs="Arial" w:eastAsia="Arial" w:hAnsi="Arial"/>
                <w:sz w:val="13"/>
                <w:szCs w:val="13"/>
                <w:b w:val="1"/>
                <w:bCs w:val="1"/>
                <w:color w:val="auto"/>
              </w:rPr>
              <w:t>affiliated investments</w:t>
            </w:r>
          </w:p>
        </w:tc>
        <w:tc>
          <w:tcPr>
            <w:tcW w:w="12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3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9"/>
              </w:rPr>
              <w:t>130,465,086</w:t>
            </w:r>
          </w:p>
        </w:tc>
        <w:tc>
          <w:tcPr>
            <w:tcW w:w="20" w:type="dxa"/>
            <w:vAlign w:val="bottom"/>
            <w:shd w:val="clear" w:color="auto" w:fill="CCEEFF"/>
          </w:tcPr>
          <w:p>
            <w:pPr>
              <w:spacing w:after="0"/>
              <w:rPr>
                <w:sz w:val="13"/>
                <w:szCs w:val="13"/>
                <w:color w:val="auto"/>
              </w:rPr>
            </w:pPr>
          </w:p>
        </w:tc>
        <w:tc>
          <w:tcPr>
            <w:tcW w:w="140" w:type="dxa"/>
            <w:vAlign w:val="bottom"/>
            <w:tcBorders>
              <w:left w:val="single" w:sz="8" w:color="CCEEFF"/>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129,563,428</w:t>
            </w: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119.2%</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5"/>
        </w:trPr>
        <w:tc>
          <w:tcPr>
            <w:tcW w:w="20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Control investments - 23.5% (b)</w:t>
            </w: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GSC Partners CDO GP III, LP</w:t>
            </w:r>
          </w:p>
        </w:tc>
        <w:tc>
          <w:tcPr>
            <w:tcW w:w="1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Financial Services</w:t>
            </w:r>
          </w:p>
        </w:tc>
        <w:tc>
          <w:tcPr>
            <w:tcW w:w="36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100% General Partnership Interest</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(g), (h)</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20" w:type="dxa"/>
            <w:vAlign w:val="bottom"/>
            <w:gridSpan w:val="3"/>
          </w:tcPr>
          <w:p>
            <w:pPr>
              <w:spacing w:after="0" w:line="121" w:lineRule="exact"/>
              <w:rPr>
                <w:sz w:val="20"/>
                <w:szCs w:val="20"/>
                <w:color w:val="auto"/>
              </w:rPr>
            </w:pPr>
            <w:r>
              <w:rPr>
                <w:rFonts w:ascii="Arial" w:cs="Arial" w:eastAsia="Arial" w:hAnsi="Arial"/>
                <w:sz w:val="13"/>
                <w:szCs w:val="13"/>
                <w:color w:val="auto"/>
              </w:rPr>
              <w:t>GSC Investment Corp. CLO</w:t>
            </w:r>
          </w:p>
        </w:tc>
        <w:tc>
          <w:tcPr>
            <w:tcW w:w="1260" w:type="dxa"/>
            <w:vAlign w:val="bottom"/>
          </w:tcPr>
          <w:p>
            <w:pPr>
              <w:spacing w:after="0" w:line="121" w:lineRule="exact"/>
              <w:rPr>
                <w:sz w:val="20"/>
                <w:szCs w:val="20"/>
                <w:color w:val="auto"/>
              </w:rPr>
            </w:pPr>
            <w:r>
              <w:rPr>
                <w:rFonts w:ascii="Arial" w:cs="Arial" w:eastAsia="Arial" w:hAnsi="Arial"/>
                <w:sz w:val="13"/>
                <w:szCs w:val="13"/>
                <w:color w:val="auto"/>
              </w:rPr>
              <w:t>Structured Finance</w:t>
            </w:r>
          </w:p>
        </w:tc>
        <w:tc>
          <w:tcPr>
            <w:tcW w:w="3660" w:type="dxa"/>
            <w:vAlign w:val="bottom"/>
            <w:gridSpan w:val="3"/>
          </w:tcPr>
          <w:p>
            <w:pPr>
              <w:ind w:left="180"/>
              <w:spacing w:after="0" w:line="121" w:lineRule="exact"/>
              <w:rPr>
                <w:sz w:val="20"/>
                <w:szCs w:val="20"/>
                <w:color w:val="auto"/>
              </w:rPr>
            </w:pPr>
            <w:r>
              <w:rPr>
                <w:rFonts w:ascii="Arial" w:cs="Arial" w:eastAsia="Arial" w:hAnsi="Arial"/>
                <w:sz w:val="13"/>
                <w:szCs w:val="13"/>
                <w:color w:val="auto"/>
              </w:rPr>
              <w:t>Other/Structured Finance Securities 23.06%, 1/21/2020</w:t>
            </w: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3"/>
          </w:tcPr>
          <w:p>
            <w:pPr>
              <w:ind w:left="180"/>
              <w:spacing w:after="0"/>
              <w:rPr>
                <w:sz w:val="20"/>
                <w:szCs w:val="20"/>
                <w:color w:val="auto"/>
              </w:rPr>
            </w:pPr>
            <w:r>
              <w:rPr>
                <w:rFonts w:ascii="Arial" w:cs="Arial" w:eastAsia="Arial" w:hAnsi="Arial"/>
                <w:sz w:val="13"/>
                <w:szCs w:val="13"/>
                <w:color w:val="auto"/>
              </w:rPr>
              <w:t>2007 LTD. (d), (e), (g)</w:t>
            </w:r>
          </w:p>
        </w:tc>
        <w:tc>
          <w:tcPr>
            <w:tcW w:w="1260" w:type="dxa"/>
            <w:vAlign w:val="bottom"/>
          </w:tcPr>
          <w:p>
            <w:pPr>
              <w:spacing w:after="0"/>
              <w:rPr>
                <w:sz w:val="20"/>
                <w:szCs w:val="20"/>
                <w:color w:val="auto"/>
              </w:rPr>
            </w:pPr>
            <w:r>
              <w:rPr>
                <w:rFonts w:ascii="Arial" w:cs="Arial" w:eastAsia="Arial" w:hAnsi="Arial"/>
                <w:sz w:val="13"/>
                <w:szCs w:val="13"/>
                <w:color w:val="auto"/>
              </w:rPr>
              <w:t>Securities</w:t>
            </w:r>
          </w:p>
        </w:tc>
        <w:tc>
          <w:tcPr>
            <w:tcW w:w="18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240" w:type="dxa"/>
            <w:vAlign w:val="bottom"/>
            <w:gridSpan w:val="2"/>
          </w:tcPr>
          <w:p>
            <w:pPr>
              <w:jc w:val="right"/>
              <w:ind w:right="100"/>
              <w:spacing w:after="0"/>
              <w:rPr>
                <w:sz w:val="20"/>
                <w:szCs w:val="20"/>
                <w:color w:val="auto"/>
              </w:rPr>
            </w:pPr>
            <w:r>
              <w:rPr>
                <w:rFonts w:ascii="Arial" w:cs="Arial" w:eastAsia="Arial" w:hAnsi="Arial"/>
                <w:sz w:val="13"/>
                <w:szCs w:val="13"/>
                <w:color w:val="auto"/>
              </w:rPr>
              <w:t>30,000,000</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18,944,966</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3"/>
                <w:szCs w:val="13"/>
                <w:color w:val="auto"/>
              </w:rPr>
              <w:t>25,516,959</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color w:val="auto"/>
              </w:rPr>
              <w:t>23.5%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gridSpan w:val="3"/>
            <w:vMerge w:val="restart"/>
            <w:shd w:val="clear" w:color="auto" w:fill="CCEEFF"/>
          </w:tcPr>
          <w:p>
            <w:pPr>
              <w:spacing w:after="0"/>
              <w:rPr>
                <w:sz w:val="20"/>
                <w:szCs w:val="20"/>
                <w:color w:val="auto"/>
              </w:rPr>
            </w:pPr>
            <w:r>
              <w:rPr>
                <w:rFonts w:ascii="Arial" w:cs="Arial" w:eastAsia="Arial" w:hAnsi="Arial"/>
                <w:sz w:val="13"/>
                <w:szCs w:val="13"/>
                <w:b w:val="1"/>
                <w:bCs w:val="1"/>
                <w:color w:val="auto"/>
              </w:rPr>
              <w:t>Sub Total Control investments</w:t>
            </w: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3"/>
            <w:vMerge w:val="continue"/>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33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18,944,966</w:t>
            </w:r>
          </w:p>
        </w:tc>
        <w:tc>
          <w:tcPr>
            <w:tcW w:w="20" w:type="dxa"/>
            <w:vAlign w:val="bottom"/>
            <w:vMerge w:val="continue"/>
            <w:shd w:val="clear" w:color="auto" w:fill="CCEEFF"/>
          </w:tcPr>
          <w:p>
            <w:pPr>
              <w:spacing w:after="0"/>
              <w:rPr>
                <w:sz w:val="11"/>
                <w:szCs w:val="11"/>
                <w:color w:val="auto"/>
              </w:rPr>
            </w:pPr>
          </w:p>
        </w:tc>
        <w:tc>
          <w:tcPr>
            <w:tcW w:w="140" w:type="dxa"/>
            <w:vAlign w:val="bottom"/>
            <w:tcBorders>
              <w:left w:val="single" w:sz="8" w:color="CCEEFF"/>
            </w:tcBorders>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25,516,959</w:t>
            </w:r>
          </w:p>
        </w:tc>
        <w:tc>
          <w:tcPr>
            <w:tcW w:w="40" w:type="dxa"/>
            <w:vAlign w:val="bottom"/>
            <w:vMerge w:val="continue"/>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spacing w:after="0" w:line="129" w:lineRule="exact"/>
              <w:rPr>
                <w:sz w:val="20"/>
                <w:szCs w:val="20"/>
                <w:color w:val="auto"/>
              </w:rPr>
            </w:pPr>
            <w:r>
              <w:rPr>
                <w:rFonts w:ascii="Arial" w:cs="Arial" w:eastAsia="Arial" w:hAnsi="Arial"/>
                <w:sz w:val="13"/>
                <w:szCs w:val="13"/>
                <w:color w:val="auto"/>
              </w:rPr>
              <w:t>23.5%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5"/>
        </w:trPr>
        <w:tc>
          <w:tcPr>
            <w:tcW w:w="2020" w:type="dxa"/>
            <w:vAlign w:val="bottom"/>
            <w:gridSpan w:val="3"/>
          </w:tcPr>
          <w:p>
            <w:pPr>
              <w:spacing w:after="0" w:line="115" w:lineRule="exact"/>
              <w:rPr>
                <w:sz w:val="20"/>
                <w:szCs w:val="20"/>
                <w:color w:val="auto"/>
              </w:rPr>
            </w:pPr>
            <w:r>
              <w:rPr>
                <w:rFonts w:ascii="Arial" w:cs="Arial" w:eastAsia="Arial" w:hAnsi="Arial"/>
                <w:sz w:val="13"/>
                <w:szCs w:val="13"/>
                <w:b w:val="1"/>
                <w:bCs w:val="1"/>
                <w:color w:val="auto"/>
              </w:rPr>
              <w:t>Affiliate investments - 0.0% (b)</w:t>
            </w:r>
          </w:p>
        </w:tc>
        <w:tc>
          <w:tcPr>
            <w:tcW w:w="12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020" w:type="dxa"/>
            <w:vAlign w:val="bottom"/>
            <w:gridSpan w:val="3"/>
            <w:shd w:val="clear" w:color="auto" w:fill="CCEEFF"/>
          </w:tcPr>
          <w:p>
            <w:pPr>
              <w:spacing w:after="0" w:line="121" w:lineRule="exact"/>
              <w:rPr>
                <w:sz w:val="20"/>
                <w:szCs w:val="20"/>
                <w:color w:val="auto"/>
              </w:rPr>
            </w:pPr>
            <w:r>
              <w:rPr>
                <w:rFonts w:ascii="Arial" w:cs="Arial" w:eastAsia="Arial" w:hAnsi="Arial"/>
                <w:sz w:val="13"/>
                <w:szCs w:val="13"/>
                <w:color w:val="auto"/>
              </w:rPr>
              <w:t>GSC Partners CDO GP III, LP</w:t>
            </w:r>
          </w:p>
        </w:tc>
        <w:tc>
          <w:tcPr>
            <w:tcW w:w="1260" w:type="dxa"/>
            <w:vAlign w:val="bottom"/>
            <w:shd w:val="clear" w:color="auto" w:fill="CCEEFF"/>
          </w:tcPr>
          <w:p>
            <w:pPr>
              <w:spacing w:after="0" w:line="121" w:lineRule="exact"/>
              <w:rPr>
                <w:sz w:val="20"/>
                <w:szCs w:val="20"/>
                <w:color w:val="auto"/>
              </w:rPr>
            </w:pPr>
            <w:r>
              <w:rPr>
                <w:rFonts w:ascii="Arial" w:cs="Arial" w:eastAsia="Arial" w:hAnsi="Arial"/>
                <w:sz w:val="13"/>
                <w:szCs w:val="13"/>
                <w:color w:val="auto"/>
              </w:rPr>
              <w:t>Financial Services</w:t>
            </w:r>
          </w:p>
        </w:tc>
        <w:tc>
          <w:tcPr>
            <w:tcW w:w="3660" w:type="dxa"/>
            <w:vAlign w:val="bottom"/>
            <w:gridSpan w:val="3"/>
            <w:shd w:val="clear" w:color="auto" w:fill="CCEEFF"/>
          </w:tcPr>
          <w:p>
            <w:pPr>
              <w:ind w:left="180"/>
              <w:spacing w:after="0" w:line="121" w:lineRule="exact"/>
              <w:rPr>
                <w:sz w:val="20"/>
                <w:szCs w:val="20"/>
                <w:color w:val="auto"/>
              </w:rPr>
            </w:pPr>
            <w:r>
              <w:rPr>
                <w:rFonts w:ascii="Arial" w:cs="Arial" w:eastAsia="Arial" w:hAnsi="Arial"/>
                <w:sz w:val="13"/>
                <w:szCs w:val="13"/>
                <w:color w:val="auto"/>
              </w:rPr>
              <w:t>6.24% Limited Partnership Interest</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tcBorders>
              <w:left w:val="single" w:sz="8" w:color="CCEEFF"/>
            </w:tcBorders>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20" w:type="dxa"/>
            <w:vAlign w:val="bottom"/>
            <w:gridSpan w:val="3"/>
            <w:shd w:val="clear" w:color="auto" w:fill="CCEEFF"/>
          </w:tcPr>
          <w:p>
            <w:pPr>
              <w:ind w:left="180"/>
              <w:spacing w:after="0"/>
              <w:rPr>
                <w:sz w:val="20"/>
                <w:szCs w:val="20"/>
                <w:color w:val="auto"/>
              </w:rPr>
            </w:pPr>
            <w:r>
              <w:rPr>
                <w:rFonts w:ascii="Arial" w:cs="Arial" w:eastAsia="Arial" w:hAnsi="Arial"/>
                <w:sz w:val="13"/>
                <w:szCs w:val="13"/>
                <w:color w:val="auto"/>
              </w:rPr>
              <w:t>(f), (h)</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2"/>
                <w:szCs w:val="12"/>
                <w:color w:val="auto"/>
              </w:rPr>
            </w:pPr>
          </w:p>
        </w:tc>
        <w:tc>
          <w:tcPr>
            <w:tcW w:w="140" w:type="dxa"/>
            <w:vAlign w:val="bottom"/>
            <w:tcBorders>
              <w:left w:val="single" w:sz="8" w:color="CCEEFF"/>
            </w:tcBorders>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4"/>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0.0%</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2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Sub Total Affiliate investments</w:t>
            </w:r>
          </w:p>
        </w:tc>
        <w:tc>
          <w:tcPr>
            <w:tcW w:w="1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gridSpan w:val="2"/>
            <w:vMerge w:val="restart"/>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20" w:type="dxa"/>
            <w:vAlign w:val="bottom"/>
            <w:gridSpan w:val="3"/>
            <w:vMerge w:val="continue"/>
          </w:tcPr>
          <w:p>
            <w:pPr>
              <w:spacing w:after="0"/>
              <w:rPr>
                <w:sz w:val="11"/>
                <w:szCs w:val="11"/>
                <w:color w:val="auto"/>
              </w:rPr>
            </w:pPr>
          </w:p>
        </w:tc>
        <w:tc>
          <w:tcPr>
            <w:tcW w:w="1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gridSpan w:val="2"/>
          </w:tcPr>
          <w:p>
            <w:pPr>
              <w:jc w:val="right"/>
              <w:spacing w:after="0" w:line="129" w:lineRule="exact"/>
              <w:rPr>
                <w:sz w:val="20"/>
                <w:szCs w:val="20"/>
                <w:color w:val="auto"/>
              </w:rPr>
            </w:pPr>
            <w:r>
              <w:rPr>
                <w:rFonts w:ascii="Arial" w:cs="Arial" w:eastAsia="Arial" w:hAnsi="Arial"/>
                <w:sz w:val="13"/>
                <w:szCs w:val="13"/>
                <w:color w:val="auto"/>
              </w:rPr>
              <w:t>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20" w:type="dxa"/>
            <w:vAlign w:val="bottom"/>
            <w:gridSpan w:val="3"/>
            <w:vMerge w:val="restart"/>
            <w:shd w:val="clear" w:color="auto" w:fill="CCEEFF"/>
          </w:tcPr>
          <w:p>
            <w:pPr>
              <w:spacing w:after="0" w:line="117" w:lineRule="exact"/>
              <w:rPr>
                <w:sz w:val="20"/>
                <w:szCs w:val="20"/>
                <w:color w:val="auto"/>
              </w:rPr>
            </w:pPr>
            <w:r>
              <w:rPr>
                <w:rFonts w:ascii="Arial" w:cs="Arial" w:eastAsia="Arial" w:hAnsi="Arial"/>
                <w:sz w:val="13"/>
                <w:szCs w:val="13"/>
                <w:b w:val="1"/>
                <w:bCs w:val="1"/>
                <w:color w:val="auto"/>
              </w:rPr>
              <w:t>TOTAL INVESTMENTS -</w:t>
            </w:r>
          </w:p>
        </w:tc>
        <w:tc>
          <w:tcPr>
            <w:tcW w:w="126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33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Borders>
              <w:left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7"/>
        </w:trPr>
        <w:tc>
          <w:tcPr>
            <w:tcW w:w="2020" w:type="dxa"/>
            <w:vAlign w:val="bottom"/>
            <w:gridSpan w:val="3"/>
            <w:vMerge w:val="continue"/>
            <w:shd w:val="clear" w:color="auto" w:fill="CCEEFF"/>
          </w:tcPr>
          <w:p>
            <w:pPr>
              <w:spacing w:after="0"/>
              <w:rPr>
                <w:sz w:val="8"/>
                <w:szCs w:val="8"/>
                <w:color w:val="auto"/>
              </w:rPr>
            </w:pPr>
          </w:p>
        </w:tc>
        <w:tc>
          <w:tcPr>
            <w:tcW w:w="126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3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11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80" w:type="dxa"/>
            <w:vAlign w:val="bottom"/>
            <w:vMerge w:val="restart"/>
            <w:shd w:val="clear" w:color="auto" w:fill="CCEEFF"/>
          </w:tcPr>
          <w:p>
            <w:pPr>
              <w:spacing w:after="0"/>
              <w:rPr>
                <w:sz w:val="8"/>
                <w:szCs w:val="8"/>
                <w:color w:val="auto"/>
              </w:rPr>
            </w:pPr>
          </w:p>
        </w:tc>
        <w:tc>
          <w:tcPr>
            <w:tcW w:w="160" w:type="dxa"/>
            <w:vAlign w:val="bottom"/>
            <w:vMerge w:val="restart"/>
            <w:shd w:val="clear" w:color="auto" w:fill="CCEEFF"/>
          </w:tcPr>
          <w:p>
            <w:pPr>
              <w:jc w:val="right"/>
              <w:ind w:right="53"/>
              <w:spacing w:after="0"/>
              <w:rPr>
                <w:sz w:val="20"/>
                <w:szCs w:val="20"/>
                <w:color w:val="auto"/>
              </w:rPr>
            </w:pPr>
            <w:r>
              <w:rPr>
                <w:rFonts w:ascii="Arial" w:cs="Arial" w:eastAsia="Arial" w:hAnsi="Arial"/>
                <w:sz w:val="9"/>
                <w:szCs w:val="9"/>
                <w:b w:val="1"/>
                <w:bCs w:val="1"/>
                <w:color w:val="auto"/>
                <w:w w:val="78"/>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w w:val="99"/>
              </w:rPr>
              <w:t>149,410,052</w:t>
            </w:r>
          </w:p>
        </w:tc>
        <w:tc>
          <w:tcPr>
            <w:tcW w:w="20" w:type="dxa"/>
            <w:vAlign w:val="bottom"/>
            <w:shd w:val="clear" w:color="auto" w:fill="CCEEFF"/>
          </w:tcPr>
          <w:p>
            <w:pPr>
              <w:spacing w:after="0"/>
              <w:rPr>
                <w:sz w:val="8"/>
                <w:szCs w:val="8"/>
                <w:color w:val="auto"/>
              </w:rPr>
            </w:pPr>
          </w:p>
        </w:tc>
        <w:tc>
          <w:tcPr>
            <w:tcW w:w="240" w:type="dxa"/>
            <w:vAlign w:val="bottom"/>
            <w:tcBorders>
              <w:lef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w:t>
            </w:r>
          </w:p>
        </w:tc>
        <w:tc>
          <w:tcPr>
            <w:tcW w:w="940" w:type="dxa"/>
            <w:vAlign w:val="bottom"/>
            <w:gridSpan w:val="2"/>
            <w:vMerge w:val="restart"/>
            <w:shd w:val="clear" w:color="auto" w:fill="CCEEFF"/>
          </w:tcPr>
          <w:p>
            <w:pPr>
              <w:jc w:val="right"/>
              <w:ind w:right="40"/>
              <w:spacing w:after="0"/>
              <w:rPr>
                <w:sz w:val="20"/>
                <w:szCs w:val="20"/>
                <w:color w:val="auto"/>
              </w:rPr>
            </w:pPr>
            <w:r>
              <w:rPr>
                <w:rFonts w:ascii="Arial" w:cs="Arial" w:eastAsia="Arial" w:hAnsi="Arial"/>
                <w:sz w:val="13"/>
                <w:szCs w:val="13"/>
                <w:b w:val="1"/>
                <w:bCs w:val="1"/>
                <w:color w:val="auto"/>
              </w:rPr>
              <w:t>155,080,387</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80" w:type="dxa"/>
            <w:vAlign w:val="bottom"/>
            <w:gridSpan w:val="2"/>
            <w:vMerge w:val="restart"/>
            <w:shd w:val="clear" w:color="auto" w:fill="CCEEFF"/>
          </w:tcPr>
          <w:p>
            <w:pPr>
              <w:jc w:val="right"/>
              <w:spacing w:after="0"/>
              <w:rPr>
                <w:sz w:val="20"/>
                <w:szCs w:val="20"/>
                <w:color w:val="auto"/>
              </w:rPr>
            </w:pPr>
            <w:r>
              <w:rPr>
                <w:rFonts w:ascii="Arial" w:cs="Arial" w:eastAsia="Arial" w:hAnsi="Arial"/>
                <w:sz w:val="13"/>
                <w:szCs w:val="13"/>
                <w:b w:val="1"/>
                <w:bCs w:val="1"/>
                <w:color w:val="auto"/>
              </w:rPr>
              <w:t>142.7%</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2020" w:type="dxa"/>
            <w:vAlign w:val="bottom"/>
            <w:gridSpan w:val="3"/>
            <w:shd w:val="clear" w:color="auto" w:fill="CCEEFF"/>
          </w:tcPr>
          <w:p>
            <w:pPr>
              <w:ind w:left="180"/>
              <w:spacing w:after="0" w:line="140" w:lineRule="exact"/>
              <w:rPr>
                <w:sz w:val="20"/>
                <w:szCs w:val="20"/>
                <w:color w:val="auto"/>
              </w:rPr>
            </w:pPr>
            <w:r>
              <w:rPr>
                <w:rFonts w:ascii="Arial" w:cs="Arial" w:eastAsia="Arial" w:hAnsi="Arial"/>
                <w:sz w:val="13"/>
                <w:szCs w:val="13"/>
                <w:b w:val="1"/>
                <w:bCs w:val="1"/>
                <w:color w:val="auto"/>
              </w:rPr>
              <w:t>142.7% (b)</w:t>
            </w:r>
          </w:p>
        </w:tc>
        <w:tc>
          <w:tcPr>
            <w:tcW w:w="12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vMerge w:val="continue"/>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40" w:type="dxa"/>
            <w:vAlign w:val="bottom"/>
            <w:tcBorders>
              <w:left w:val="single" w:sz="8" w:color="CCEEFF"/>
            </w:tcBorders>
            <w:gridSpan w:val="2"/>
            <w:vMerge w:val="continue"/>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80" w:type="dxa"/>
            <w:vAlign w:val="bottom"/>
            <w:gridSpan w:val="2"/>
            <w:vMerge w:val="continue"/>
            <w:shd w:val="clear" w:color="auto" w:fill="CCEEFF"/>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-1939290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-1939290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720" w:right="40" w:hanging="712"/>
        <w:spacing w:after="0" w:line="224" w:lineRule="auto"/>
        <w:tabs>
          <w:tab w:leader="none" w:pos="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All of our equity and debt investments are issued by eligible portfolio companies, as defined in the Investment Company Act of 1940, except GSC Investment Corp. CLO 2007 Ltd. and GSC Partners CDO GP III, LP.</w:t>
      </w:r>
    </w:p>
    <w:p>
      <w:pPr>
        <w:spacing w:after="0" w:line="1" w:lineRule="exact"/>
        <w:rPr>
          <w:rFonts w:ascii="Arial" w:cs="Arial" w:eastAsia="Arial" w:hAnsi="Arial"/>
          <w:sz w:val="13"/>
          <w:szCs w:val="13"/>
          <w:color w:val="auto"/>
        </w:rPr>
      </w:pPr>
    </w:p>
    <w:p>
      <w:pPr>
        <w:ind w:left="720" w:hanging="712"/>
        <w:spacing w:after="0" w:line="216" w:lineRule="auto"/>
        <w:tabs>
          <w:tab w:leader="none" w:pos="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Percentages are based on net assets of $108,686,761 as of February 28, 2013.</w:t>
      </w:r>
    </w:p>
    <w:p>
      <w:pPr>
        <w:ind w:left="720" w:right="660" w:hanging="712"/>
        <w:spacing w:after="0" w:line="216" w:lineRule="auto"/>
        <w:tabs>
          <w:tab w:leader="none" w:pos="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Because there is no readily available market value for these investments, the fair value of these investments is approved in good faith by our board of directors. (see Note 3 to the consolidated financial statements).</w:t>
      </w:r>
    </w:p>
    <w:p>
      <w:pPr>
        <w:spacing w:after="0" w:line="1" w:lineRule="exact"/>
        <w:rPr>
          <w:rFonts w:ascii="Arial" w:cs="Arial" w:eastAsia="Arial" w:hAnsi="Arial"/>
          <w:sz w:val="13"/>
          <w:szCs w:val="13"/>
          <w:color w:val="auto"/>
        </w:rPr>
      </w:pPr>
    </w:p>
    <w:p>
      <w:pPr>
        <w:ind w:left="720" w:hanging="712"/>
        <w:spacing w:after="0" w:line="216" w:lineRule="auto"/>
        <w:tabs>
          <w:tab w:leader="none" w:pos="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These securities are pledged as collateral under a senior secured revolving credit facility (see Note 6 to the consolidated financial statements).</w:t>
      </w:r>
    </w:p>
    <w:p>
      <w:pPr>
        <w:ind w:left="720" w:hanging="712"/>
        <w:spacing w:after="0" w:line="216" w:lineRule="auto"/>
        <w:tabs>
          <w:tab w:leader="none" w:pos="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23.06% represents the modeled effective interest rate that is expected to be earned over the life of the investment.</w:t>
      </w:r>
    </w:p>
    <w:p>
      <w:pPr>
        <w:ind w:left="720" w:right="60" w:hanging="712"/>
        <w:spacing w:after="0" w:line="229" w:lineRule="auto"/>
        <w:tabs>
          <w:tab w:leader="none" w:pos="720" w:val="left"/>
        </w:tabs>
        <w:numPr>
          <w:ilvl w:val="0"/>
          <w:numId w:val="4"/>
        </w:numPr>
        <w:rPr>
          <w:rFonts w:ascii="Arial" w:cs="Arial" w:eastAsia="Arial" w:hAnsi="Arial"/>
          <w:sz w:val="13"/>
          <w:szCs w:val="13"/>
          <w:color w:val="auto"/>
        </w:rPr>
      </w:pPr>
      <w:r>
        <w:rPr>
          <w:rFonts w:ascii="Arial" w:cs="Arial" w:eastAsia="Arial" w:hAnsi="Arial"/>
          <w:sz w:val="13"/>
          <w:szCs w:val="13"/>
          <w:color w:val="auto"/>
        </w:rPr>
        <w:t>As defined in the Investment Company Act, we are an “Affiliate” of this portfolio company because we own 5% or more of the portfolio company’s outstanding voting securities. Transactions during the period in which the issuer was an Affiliate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3"/>
          </w:tcPr>
          <w:p>
            <w:pPr>
              <w:ind w:left="100"/>
              <w:spacing w:after="0"/>
              <w:rPr>
                <w:sz w:val="20"/>
                <w:szCs w:val="20"/>
                <w:color w:val="auto"/>
              </w:rPr>
            </w:pPr>
            <w:r>
              <w:rPr>
                <w:rFonts w:ascii="Arial" w:cs="Arial" w:eastAsia="Arial" w:hAnsi="Arial"/>
                <w:sz w:val="13"/>
                <w:szCs w:val="13"/>
                <w:b w:val="1"/>
                <w:bCs w:val="1"/>
                <w:color w:val="auto"/>
              </w:rPr>
              <w:t>Interest</w:t>
            </w:r>
          </w:p>
        </w:tc>
        <w:tc>
          <w:tcPr>
            <w:tcW w:w="1300" w:type="dxa"/>
            <w:vAlign w:val="bottom"/>
            <w:gridSpan w:val="3"/>
          </w:tcPr>
          <w:p>
            <w:pPr>
              <w:jc w:val="center"/>
              <w:ind w:right="377"/>
              <w:spacing w:after="0"/>
              <w:rPr>
                <w:sz w:val="20"/>
                <w:szCs w:val="20"/>
                <w:color w:val="auto"/>
              </w:rPr>
            </w:pPr>
            <w:r>
              <w:rPr>
                <w:rFonts w:ascii="Arial" w:cs="Arial" w:eastAsia="Arial" w:hAnsi="Arial"/>
                <w:sz w:val="13"/>
                <w:szCs w:val="13"/>
                <w:b w:val="1"/>
                <w:bCs w:val="1"/>
                <w:color w:val="auto"/>
                <w:w w:val="88"/>
              </w:rPr>
              <w:t>Management</w:t>
            </w:r>
          </w:p>
        </w:tc>
        <w:tc>
          <w:tcPr>
            <w:tcW w:w="1260" w:type="dxa"/>
            <w:vAlign w:val="bottom"/>
            <w:gridSpan w:val="3"/>
          </w:tcPr>
          <w:p>
            <w:pPr>
              <w:ind w:left="80"/>
              <w:spacing w:after="0"/>
              <w:rPr>
                <w:sz w:val="20"/>
                <w:szCs w:val="20"/>
                <w:color w:val="auto"/>
              </w:rPr>
            </w:pPr>
            <w:r>
              <w:rPr>
                <w:rFonts w:ascii="Arial" w:cs="Arial" w:eastAsia="Arial" w:hAnsi="Arial"/>
                <w:sz w:val="13"/>
                <w:szCs w:val="13"/>
                <w:b w:val="1"/>
                <w:bCs w:val="1"/>
                <w:color w:val="auto"/>
              </w:rPr>
              <w:t>Net Realized</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Net Unrealized</w:t>
            </w:r>
          </w:p>
        </w:tc>
      </w:tr>
      <w:tr>
        <w:trPr>
          <w:trHeight w:val="153"/>
        </w:trPr>
        <w:tc>
          <w:tcPr>
            <w:tcW w:w="28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00" w:type="dxa"/>
            <w:vAlign w:val="bottom"/>
            <w:gridSpan w:val="3"/>
          </w:tcPr>
          <w:p>
            <w:pPr>
              <w:jc w:val="right"/>
              <w:ind w:right="453"/>
              <w:spacing w:after="0"/>
              <w:rPr>
                <w:sz w:val="20"/>
                <w:szCs w:val="20"/>
                <w:color w:val="auto"/>
              </w:rPr>
            </w:pPr>
            <w:r>
              <w:rPr>
                <w:rFonts w:ascii="Arial" w:cs="Arial" w:eastAsia="Arial" w:hAnsi="Arial"/>
                <w:sz w:val="13"/>
                <w:szCs w:val="13"/>
                <w:b w:val="1"/>
                <w:bCs w:val="1"/>
                <w:color w:val="auto"/>
                <w:w w:val="88"/>
              </w:rPr>
              <w:t>Purchases</w:t>
            </w:r>
          </w:p>
        </w:tc>
        <w:tc>
          <w:tcPr>
            <w:tcW w:w="1300" w:type="dxa"/>
            <w:vAlign w:val="bottom"/>
            <w:gridSpan w:val="3"/>
          </w:tcPr>
          <w:p>
            <w:pPr>
              <w:jc w:val="right"/>
              <w:ind w:right="453"/>
              <w:spacing w:after="0"/>
              <w:rPr>
                <w:sz w:val="20"/>
                <w:szCs w:val="20"/>
                <w:color w:val="auto"/>
              </w:rPr>
            </w:pPr>
            <w:r>
              <w:rPr>
                <w:rFonts w:ascii="Arial" w:cs="Arial" w:eastAsia="Arial" w:hAnsi="Arial"/>
                <w:sz w:val="13"/>
                <w:szCs w:val="13"/>
                <w:b w:val="1"/>
                <w:bCs w:val="1"/>
                <w:color w:val="auto"/>
                <w:w w:val="94"/>
              </w:rPr>
              <w:t>Redemptions</w:t>
            </w:r>
          </w:p>
        </w:tc>
        <w:tc>
          <w:tcPr>
            <w:tcW w:w="1140" w:type="dxa"/>
            <w:vAlign w:val="bottom"/>
            <w:gridSpan w:val="3"/>
          </w:tcPr>
          <w:p>
            <w:pPr>
              <w:jc w:val="right"/>
              <w:ind w:right="453"/>
              <w:spacing w:after="0"/>
              <w:rPr>
                <w:sz w:val="20"/>
                <w:szCs w:val="20"/>
                <w:color w:val="auto"/>
              </w:rPr>
            </w:pPr>
            <w:r>
              <w:rPr>
                <w:rFonts w:ascii="Arial" w:cs="Arial" w:eastAsia="Arial" w:hAnsi="Arial"/>
                <w:sz w:val="13"/>
                <w:szCs w:val="13"/>
                <w:b w:val="1"/>
                <w:bCs w:val="1"/>
                <w:color w:val="auto"/>
                <w:w w:val="84"/>
              </w:rPr>
              <w:t>Sales (cost)</w:t>
            </w:r>
          </w:p>
        </w:tc>
        <w:tc>
          <w:tcPr>
            <w:tcW w:w="1080" w:type="dxa"/>
            <w:vAlign w:val="bottom"/>
            <w:gridSpan w:val="3"/>
          </w:tcPr>
          <w:p>
            <w:pPr>
              <w:ind w:left="100"/>
              <w:spacing w:after="0"/>
              <w:rPr>
                <w:sz w:val="20"/>
                <w:szCs w:val="20"/>
                <w:color w:val="auto"/>
              </w:rPr>
            </w:pPr>
            <w:r>
              <w:rPr>
                <w:rFonts w:ascii="Arial" w:cs="Arial" w:eastAsia="Arial" w:hAnsi="Arial"/>
                <w:sz w:val="13"/>
                <w:szCs w:val="13"/>
                <w:b w:val="1"/>
                <w:bCs w:val="1"/>
                <w:color w:val="auto"/>
              </w:rPr>
              <w:t>Income</w:t>
            </w:r>
          </w:p>
        </w:tc>
        <w:tc>
          <w:tcPr>
            <w:tcW w:w="1300" w:type="dxa"/>
            <w:vAlign w:val="bottom"/>
            <w:gridSpan w:val="3"/>
          </w:tcPr>
          <w:p>
            <w:pPr>
              <w:jc w:val="center"/>
              <w:ind w:right="377"/>
              <w:spacing w:after="0"/>
              <w:rPr>
                <w:sz w:val="20"/>
                <w:szCs w:val="20"/>
                <w:color w:val="auto"/>
              </w:rPr>
            </w:pPr>
            <w:r>
              <w:rPr>
                <w:rFonts w:ascii="Arial" w:cs="Arial" w:eastAsia="Arial" w:hAnsi="Arial"/>
                <w:sz w:val="13"/>
                <w:szCs w:val="13"/>
                <w:b w:val="1"/>
                <w:bCs w:val="1"/>
                <w:color w:val="auto"/>
                <w:w w:val="85"/>
              </w:rPr>
              <w:t>fee income</w:t>
            </w:r>
          </w:p>
        </w:tc>
        <w:tc>
          <w:tcPr>
            <w:tcW w:w="1260" w:type="dxa"/>
            <w:vAlign w:val="bottom"/>
            <w:gridSpan w:val="3"/>
          </w:tcPr>
          <w:p>
            <w:pPr>
              <w:ind w:left="80"/>
              <w:spacing w:after="0"/>
              <w:rPr>
                <w:sz w:val="20"/>
                <w:szCs w:val="20"/>
                <w:color w:val="auto"/>
              </w:rPr>
            </w:pPr>
            <w:r>
              <w:rPr>
                <w:rFonts w:ascii="Arial" w:cs="Arial" w:eastAsia="Arial" w:hAnsi="Arial"/>
                <w:sz w:val="13"/>
                <w:szCs w:val="13"/>
                <w:b w:val="1"/>
                <w:bCs w:val="1"/>
                <w:color w:val="auto"/>
              </w:rPr>
              <w:t>gains/(losses)</w:t>
            </w: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0"/>
              </w:rPr>
              <w:t>gains/(losses)</w:t>
            </w:r>
          </w:p>
        </w:tc>
      </w:tr>
      <w:tr>
        <w:trPr>
          <w:trHeight w:val="129"/>
        </w:trPr>
        <w:tc>
          <w:tcPr>
            <w:tcW w:w="2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GSC Partners CDO GP III, LP</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w:t>
            </w:r>
          </w:p>
        </w:tc>
        <w:tc>
          <w:tcPr>
            <w:tcW w:w="1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ind w:left="640"/>
              <w:spacing w:after="0" w:line="129" w:lineRule="exact"/>
              <w:rPr>
                <w:sz w:val="20"/>
                <w:szCs w:val="20"/>
                <w:color w:val="auto"/>
              </w:rPr>
            </w:pPr>
            <w:r>
              <w:rPr>
                <w:rFonts w:ascii="Arial" w:cs="Arial" w:eastAsia="Arial" w:hAnsi="Arial"/>
                <w:sz w:val="13"/>
                <w:szCs w:val="13"/>
                <w:color w:val="auto"/>
                <w:w w:val="76"/>
              </w:rPr>
              <w:t>—</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00" w:type="dxa"/>
            <w:vAlign w:val="bottom"/>
            <w:tcBorders>
              <w:top w:val="single" w:sz="8" w:color="auto"/>
            </w:tcBorders>
            <w:shd w:val="clear" w:color="auto" w:fill="CCEEFF"/>
          </w:tcPr>
          <w:p>
            <w:pPr>
              <w:ind w:left="880"/>
              <w:spacing w:after="0" w:line="129" w:lineRule="exact"/>
              <w:rPr>
                <w:sz w:val="20"/>
                <w:szCs w:val="20"/>
                <w:color w:val="auto"/>
              </w:rPr>
            </w:pPr>
            <w:r>
              <w:rPr>
                <w:rFonts w:ascii="Arial" w:cs="Arial" w:eastAsia="Arial" w:hAnsi="Arial"/>
                <w:sz w:val="13"/>
                <w:szCs w:val="13"/>
                <w:color w:val="auto"/>
                <w:w w:val="76"/>
              </w:rPr>
              <w:t>—</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ind w:left="860"/>
              <w:spacing w:after="0" w:line="129" w:lineRule="exact"/>
              <w:rPr>
                <w:sz w:val="20"/>
                <w:szCs w:val="20"/>
                <w:color w:val="auto"/>
              </w:rPr>
            </w:pPr>
            <w:r>
              <w:rPr>
                <w:rFonts w:ascii="Arial" w:cs="Arial" w:eastAsia="Arial" w:hAnsi="Arial"/>
                <w:sz w:val="13"/>
                <w:szCs w:val="13"/>
                <w:color w:val="auto"/>
                <w:w w:val="76"/>
              </w:rPr>
              <w:t>—</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ind w:left="880"/>
              <w:spacing w:after="0" w:line="129" w:lineRule="exact"/>
              <w:rPr>
                <w:sz w:val="20"/>
                <w:szCs w:val="20"/>
                <w:color w:val="auto"/>
              </w:rPr>
            </w:pPr>
            <w:r>
              <w:rPr>
                <w:rFonts w:ascii="Arial" w:cs="Arial" w:eastAsia="Arial" w:hAnsi="Arial"/>
                <w:sz w:val="13"/>
                <w:szCs w:val="13"/>
                <w:color w:val="auto"/>
                <w:w w:val="91"/>
              </w:rPr>
              <w:t>—</w:t>
            </w:r>
          </w:p>
        </w:tc>
        <w:tc>
          <w:tcPr>
            <w:tcW w:w="100" w:type="dxa"/>
            <w:vAlign w:val="bottom"/>
            <w:tcBorders>
              <w:top w:val="single" w:sz="8" w:color="CCEEFF"/>
            </w:tcBorders>
            <w:shd w:val="clear" w:color="auto" w:fill="CCEEFF"/>
          </w:tcPr>
          <w:p>
            <w:pPr>
              <w:spacing w:after="0"/>
              <w:rPr>
                <w:sz w:val="11"/>
                <w:szCs w:val="11"/>
                <w:color w:val="auto"/>
              </w:rPr>
            </w:pPr>
          </w:p>
        </w:tc>
      </w:tr>
    </w:tbl>
    <w:p>
      <w:pPr>
        <w:spacing w:after="0" w:line="202" w:lineRule="exact"/>
        <w:rPr>
          <w:sz w:val="20"/>
          <w:szCs w:val="20"/>
          <w:color w:val="auto"/>
        </w:rPr>
      </w:pPr>
    </w:p>
    <w:p>
      <w:pPr>
        <w:ind w:left="720" w:right="60" w:hanging="712"/>
        <w:spacing w:after="0" w:line="237" w:lineRule="auto"/>
        <w:tabs>
          <w:tab w:leader="none" w:pos="720" w:val="left"/>
        </w:tabs>
        <w:numPr>
          <w:ilvl w:val="0"/>
          <w:numId w:val="5"/>
        </w:numPr>
        <w:rPr>
          <w:rFonts w:ascii="Arial" w:cs="Arial" w:eastAsia="Arial" w:hAnsi="Arial"/>
          <w:sz w:val="13"/>
          <w:szCs w:val="13"/>
          <w:color w:val="auto"/>
        </w:rPr>
      </w:pPr>
      <w:r>
        <w:rPr>
          <w:rFonts w:ascii="Arial" w:cs="Arial" w:eastAsia="Arial" w:hAnsi="Arial"/>
          <w:sz w:val="13"/>
          <w:szCs w:val="13"/>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3"/>
                <w:szCs w:val="13"/>
                <w:b w:val="1"/>
                <w:bCs w:val="1"/>
                <w:color w:val="auto"/>
              </w:rPr>
              <w:t>Interest</w:t>
            </w:r>
          </w:p>
        </w:tc>
        <w:tc>
          <w:tcPr>
            <w:tcW w:w="140" w:type="dxa"/>
            <w:vAlign w:val="bottom"/>
          </w:tcPr>
          <w:p>
            <w:pPr>
              <w:spacing w:after="0"/>
              <w:rPr>
                <w:sz w:val="12"/>
                <w:szCs w:val="12"/>
                <w:color w:val="auto"/>
              </w:rPr>
            </w:pPr>
          </w:p>
        </w:tc>
        <w:tc>
          <w:tcPr>
            <w:tcW w:w="11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w w:val="95"/>
              </w:rPr>
              <w:t>Management</w:t>
            </w:r>
          </w:p>
        </w:tc>
        <w:tc>
          <w:tcPr>
            <w:tcW w:w="140" w:type="dxa"/>
            <w:vAlign w:val="bottom"/>
          </w:tcPr>
          <w:p>
            <w:pPr>
              <w:spacing w:after="0"/>
              <w:rPr>
                <w:sz w:val="12"/>
                <w:szCs w:val="12"/>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Net Realized</w:t>
            </w:r>
          </w:p>
        </w:tc>
        <w:tc>
          <w:tcPr>
            <w:tcW w:w="100" w:type="dxa"/>
            <w:vAlign w:val="bottom"/>
          </w:tcPr>
          <w:p>
            <w:pPr>
              <w:spacing w:after="0"/>
              <w:rPr>
                <w:sz w:val="12"/>
                <w:szCs w:val="12"/>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0"/>
              </w:rPr>
              <w:t>Net Unrealized</w:t>
            </w:r>
          </w:p>
        </w:tc>
      </w:tr>
      <w:tr>
        <w:trPr>
          <w:trHeight w:val="153"/>
        </w:trPr>
        <w:tc>
          <w:tcPr>
            <w:tcW w:w="2820" w:type="dxa"/>
            <w:vAlign w:val="bottom"/>
          </w:tcPr>
          <w:p>
            <w:pPr>
              <w:spacing w:after="0"/>
              <w:rPr>
                <w:sz w:val="20"/>
                <w:szCs w:val="20"/>
                <w:color w:val="auto"/>
              </w:rPr>
            </w:pPr>
            <w:r>
              <w:rPr>
                <w:rFonts w:ascii="Arial" w:cs="Arial" w:eastAsia="Arial" w:hAnsi="Arial"/>
                <w:sz w:val="13"/>
                <w:szCs w:val="13"/>
                <w:b w:val="1"/>
                <w:bCs w:val="1"/>
                <w:color w:val="auto"/>
              </w:rPr>
              <w:t>Company</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3"/>
                <w:szCs w:val="13"/>
                <w:b w:val="1"/>
                <w:bCs w:val="1"/>
                <w:color w:val="auto"/>
              </w:rPr>
              <w:t>Purchases</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3"/>
                <w:szCs w:val="13"/>
                <w:b w:val="1"/>
                <w:bCs w:val="1"/>
                <w:color w:val="auto"/>
              </w:rPr>
              <w:t>Redemptions</w:t>
            </w:r>
          </w:p>
        </w:tc>
        <w:tc>
          <w:tcPr>
            <w:tcW w:w="100" w:type="dxa"/>
            <w:vAlign w:val="bottom"/>
          </w:tcPr>
          <w:p>
            <w:pPr>
              <w:spacing w:after="0"/>
              <w:rPr>
                <w:sz w:val="13"/>
                <w:szCs w:val="13"/>
                <w:color w:val="auto"/>
              </w:rPr>
            </w:pPr>
          </w:p>
        </w:tc>
        <w:tc>
          <w:tcPr>
            <w:tcW w:w="900" w:type="dxa"/>
            <w:vAlign w:val="bottom"/>
            <w:gridSpan w:val="2"/>
          </w:tcPr>
          <w:p>
            <w:pPr>
              <w:ind w:left="60"/>
              <w:spacing w:after="0"/>
              <w:rPr>
                <w:sz w:val="20"/>
                <w:szCs w:val="20"/>
                <w:color w:val="auto"/>
              </w:rPr>
            </w:pPr>
            <w:r>
              <w:rPr>
                <w:rFonts w:ascii="Arial" w:cs="Arial" w:eastAsia="Arial" w:hAnsi="Arial"/>
                <w:sz w:val="13"/>
                <w:szCs w:val="13"/>
                <w:b w:val="1"/>
                <w:bCs w:val="1"/>
                <w:color w:val="auto"/>
              </w:rPr>
              <w:t>Sales (cost)</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Income</w:t>
            </w:r>
          </w:p>
        </w:tc>
        <w:tc>
          <w:tcPr>
            <w:tcW w:w="140" w:type="dxa"/>
            <w:vAlign w:val="bottom"/>
          </w:tcPr>
          <w:p>
            <w:pPr>
              <w:spacing w:after="0"/>
              <w:rPr>
                <w:sz w:val="13"/>
                <w:szCs w:val="13"/>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3"/>
                <w:szCs w:val="13"/>
                <w:b w:val="1"/>
                <w:bCs w:val="1"/>
                <w:color w:val="auto"/>
              </w:rPr>
              <w:t>fee income</w:t>
            </w:r>
          </w:p>
        </w:tc>
        <w:tc>
          <w:tcPr>
            <w:tcW w:w="140" w:type="dxa"/>
            <w:vAlign w:val="bottom"/>
          </w:tcPr>
          <w:p>
            <w:pPr>
              <w:spacing w:after="0"/>
              <w:rPr>
                <w:sz w:val="13"/>
                <w:szCs w:val="13"/>
                <w:color w:val="auto"/>
              </w:rPr>
            </w:pPr>
          </w:p>
        </w:tc>
        <w:tc>
          <w:tcPr>
            <w:tcW w:w="1160" w:type="dxa"/>
            <w:vAlign w:val="bottom"/>
            <w:gridSpan w:val="2"/>
          </w:tcPr>
          <w:p>
            <w:pPr>
              <w:ind w:left="80"/>
              <w:spacing w:after="0"/>
              <w:rPr>
                <w:sz w:val="20"/>
                <w:szCs w:val="20"/>
                <w:color w:val="auto"/>
              </w:rPr>
            </w:pPr>
            <w:r>
              <w:rPr>
                <w:rFonts w:ascii="Arial" w:cs="Arial" w:eastAsia="Arial" w:hAnsi="Arial"/>
                <w:sz w:val="13"/>
                <w:szCs w:val="13"/>
                <w:b w:val="1"/>
                <w:bCs w:val="1"/>
                <w:color w:val="auto"/>
              </w:rPr>
              <w:t>gains/(losses)</w:t>
            </w:r>
          </w:p>
        </w:tc>
        <w:tc>
          <w:tcPr>
            <w:tcW w:w="100" w:type="dxa"/>
            <w:vAlign w:val="bottom"/>
          </w:tcPr>
          <w:p>
            <w:pPr>
              <w:spacing w:after="0"/>
              <w:rPr>
                <w:sz w:val="13"/>
                <w:szCs w:val="13"/>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80"/>
              </w:rPr>
              <w:t>gains/(losses)</w:t>
            </w:r>
          </w:p>
        </w:tc>
      </w:tr>
      <w:tr>
        <w:trPr>
          <w:trHeight w:val="129"/>
        </w:trPr>
        <w:tc>
          <w:tcPr>
            <w:tcW w:w="2820" w:type="dxa"/>
            <w:vAlign w:val="bottom"/>
            <w:tcBorders>
              <w:top w:val="single" w:sz="8" w:color="auto"/>
            </w:tcBorders>
            <w:shd w:val="clear" w:color="auto" w:fill="CCEEFF"/>
          </w:tcPr>
          <w:p>
            <w:pPr>
              <w:spacing w:after="0" w:line="129" w:lineRule="exact"/>
              <w:rPr>
                <w:sz w:val="20"/>
                <w:szCs w:val="20"/>
                <w:color w:val="auto"/>
              </w:rPr>
            </w:pPr>
            <w:r>
              <w:rPr>
                <w:rFonts w:ascii="Arial" w:cs="Arial" w:eastAsia="Arial" w:hAnsi="Arial"/>
                <w:sz w:val="13"/>
                <w:szCs w:val="13"/>
                <w:color w:val="auto"/>
              </w:rPr>
              <w:t>GSC Investment Corp. CLO 2007 LTD.</w:t>
            </w: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shd w:val="clear" w:color="auto" w:fill="CCEEFF"/>
          </w:tcPr>
          <w:p>
            <w:pPr>
              <w:ind w:left="660"/>
              <w:spacing w:after="0" w:line="129" w:lineRule="exact"/>
              <w:rPr>
                <w:sz w:val="20"/>
                <w:szCs w:val="20"/>
                <w:color w:val="auto"/>
              </w:rPr>
            </w:pPr>
            <w:r>
              <w:rPr>
                <w:rFonts w:ascii="Arial" w:cs="Arial" w:eastAsia="Arial" w:hAnsi="Arial"/>
                <w:sz w:val="13"/>
                <w:szCs w:val="13"/>
                <w:color w:val="auto"/>
                <w:w w:val="91"/>
              </w:rPr>
              <w:t>—</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ind w:left="880"/>
              <w:spacing w:after="0" w:line="129" w:lineRule="exact"/>
              <w:rPr>
                <w:sz w:val="20"/>
                <w:szCs w:val="20"/>
                <w:color w:val="auto"/>
              </w:rPr>
            </w:pPr>
            <w:r>
              <w:rPr>
                <w:rFonts w:ascii="Arial" w:cs="Arial" w:eastAsia="Arial" w:hAnsi="Arial"/>
                <w:sz w:val="13"/>
                <w:szCs w:val="13"/>
                <w:color w:val="auto"/>
                <w:w w:val="91"/>
              </w:rPr>
              <w:t>—</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800" w:type="dxa"/>
            <w:vAlign w:val="bottom"/>
            <w:tcBorders>
              <w:top w:val="single" w:sz="8" w:color="auto"/>
            </w:tcBorders>
            <w:shd w:val="clear" w:color="auto" w:fill="CCEEFF"/>
          </w:tcPr>
          <w:p>
            <w:pPr>
              <w:ind w:left="680"/>
              <w:spacing w:after="0" w:line="129" w:lineRule="exact"/>
              <w:rPr>
                <w:sz w:val="20"/>
                <w:szCs w:val="20"/>
                <w:color w:val="auto"/>
              </w:rPr>
            </w:pPr>
            <w:r>
              <w:rPr>
                <w:rFonts w:ascii="Arial" w:cs="Arial" w:eastAsia="Arial" w:hAnsi="Arial"/>
                <w:sz w:val="13"/>
                <w:szCs w:val="13"/>
                <w:color w:val="auto"/>
                <w:w w:val="76"/>
              </w:rPr>
              <w:t>—</w:t>
            </w: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9"/>
                <w:szCs w:val="9"/>
                <w:color w:val="auto"/>
                <w:w w:val="78"/>
              </w:rPr>
              <w:t>$</w:t>
            </w: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4,205,509</w:t>
            </w:r>
          </w:p>
        </w:tc>
        <w:tc>
          <w:tcPr>
            <w:tcW w:w="1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9"/>
                <w:szCs w:val="9"/>
                <w:color w:val="auto"/>
                <w:w w:val="78"/>
              </w:rPr>
              <w:t>$</w:t>
            </w:r>
          </w:p>
        </w:tc>
        <w:tc>
          <w:tcPr>
            <w:tcW w:w="100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2,000,072</w:t>
            </w:r>
          </w:p>
        </w:tc>
        <w:tc>
          <w:tcPr>
            <w:tcW w:w="16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ind w:left="860"/>
              <w:spacing w:after="0" w:line="129" w:lineRule="exact"/>
              <w:rPr>
                <w:sz w:val="20"/>
                <w:szCs w:val="20"/>
                <w:color w:val="auto"/>
              </w:rPr>
            </w:pPr>
            <w:r>
              <w:rPr>
                <w:rFonts w:ascii="Arial" w:cs="Arial" w:eastAsia="Arial" w:hAnsi="Arial"/>
                <w:sz w:val="13"/>
                <w:szCs w:val="13"/>
                <w:color w:val="auto"/>
                <w:w w:val="76"/>
              </w:rPr>
              <w:t>—</w:t>
            </w:r>
          </w:p>
        </w:tc>
        <w:tc>
          <w:tcPr>
            <w:tcW w:w="1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color w:val="auto"/>
                <w:w w:val="78"/>
              </w:rPr>
              <w:t>$</w:t>
            </w:r>
          </w:p>
        </w:tc>
        <w:tc>
          <w:tcPr>
            <w:tcW w:w="10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6,571,992</w:t>
            </w:r>
          </w:p>
        </w:tc>
        <w:tc>
          <w:tcPr>
            <w:tcW w:w="100" w:type="dxa"/>
            <w:vAlign w:val="bottom"/>
            <w:tcBorders>
              <w:top w:val="single" w:sz="8" w:color="CCEEFF"/>
            </w:tcBorders>
            <w:shd w:val="clear" w:color="auto" w:fill="CCEEFF"/>
          </w:tcPr>
          <w:p>
            <w:pPr>
              <w:spacing w:after="0"/>
              <w:rPr>
                <w:sz w:val="11"/>
                <w:szCs w:val="11"/>
                <w:color w:val="auto"/>
              </w:rPr>
            </w:pPr>
          </w:p>
        </w:tc>
      </w:tr>
      <w:tr>
        <w:trPr>
          <w:trHeight w:val="160"/>
        </w:trPr>
        <w:tc>
          <w:tcPr>
            <w:tcW w:w="2820" w:type="dxa"/>
            <w:vAlign w:val="bottom"/>
          </w:tcPr>
          <w:p>
            <w:pPr>
              <w:spacing w:after="0"/>
              <w:rPr>
                <w:sz w:val="20"/>
                <w:szCs w:val="20"/>
                <w:color w:val="auto"/>
              </w:rPr>
            </w:pPr>
            <w:r>
              <w:rPr>
                <w:rFonts w:ascii="Arial" w:cs="Arial" w:eastAsia="Arial" w:hAnsi="Arial"/>
                <w:sz w:val="13"/>
                <w:szCs w:val="13"/>
                <w:color w:val="auto"/>
              </w:rPr>
              <w:t>GSC Partners CDO GP III, LP</w:t>
            </w:r>
          </w:p>
        </w:tc>
        <w:tc>
          <w:tcPr>
            <w:tcW w:w="300" w:type="dxa"/>
            <w:vAlign w:val="bottom"/>
            <w:gridSpan w:val="2"/>
          </w:tcPr>
          <w:p>
            <w:pPr>
              <w:jc w:val="right"/>
              <w:ind w:right="13"/>
              <w:spacing w:after="0"/>
              <w:rPr>
                <w:sz w:val="20"/>
                <w:szCs w:val="20"/>
                <w:color w:val="auto"/>
              </w:rPr>
            </w:pPr>
            <w:r>
              <w:rPr>
                <w:rFonts w:ascii="Arial" w:cs="Arial" w:eastAsia="Arial" w:hAnsi="Arial"/>
                <w:sz w:val="13"/>
                <w:szCs w:val="13"/>
                <w:color w:val="auto"/>
              </w:rPr>
              <w:t>$</w:t>
            </w:r>
          </w:p>
        </w:tc>
        <w:tc>
          <w:tcPr>
            <w:tcW w:w="800" w:type="dxa"/>
            <w:vAlign w:val="bottom"/>
          </w:tcPr>
          <w:p>
            <w:pPr>
              <w:ind w:left="660"/>
              <w:spacing w:after="0"/>
              <w:rPr>
                <w:sz w:val="20"/>
                <w:szCs w:val="20"/>
                <w:color w:val="auto"/>
              </w:rPr>
            </w:pPr>
            <w:r>
              <w:rPr>
                <w:rFonts w:ascii="Arial" w:cs="Arial" w:eastAsia="Arial" w:hAnsi="Arial"/>
                <w:sz w:val="13"/>
                <w:szCs w:val="13"/>
                <w:color w:val="auto"/>
                <w:w w:val="91"/>
              </w:rPr>
              <w:t>—</w:t>
            </w:r>
          </w:p>
        </w:tc>
        <w:tc>
          <w:tcPr>
            <w:tcW w:w="300" w:type="dxa"/>
            <w:vAlign w:val="bottom"/>
            <w:gridSpan w:val="2"/>
          </w:tcPr>
          <w:p>
            <w:pPr>
              <w:jc w:val="right"/>
              <w:ind w:right="33"/>
              <w:spacing w:after="0"/>
              <w:rPr>
                <w:sz w:val="20"/>
                <w:szCs w:val="20"/>
                <w:color w:val="auto"/>
              </w:rPr>
            </w:pPr>
            <w:r>
              <w:rPr>
                <w:rFonts w:ascii="Arial" w:cs="Arial" w:eastAsia="Arial" w:hAnsi="Arial"/>
                <w:sz w:val="13"/>
                <w:szCs w:val="13"/>
                <w:color w:val="auto"/>
              </w:rPr>
              <w:t>$</w:t>
            </w:r>
          </w:p>
        </w:tc>
        <w:tc>
          <w:tcPr>
            <w:tcW w:w="1200" w:type="dxa"/>
            <w:vAlign w:val="bottom"/>
            <w:gridSpan w:val="2"/>
          </w:tcPr>
          <w:p>
            <w:pPr>
              <w:ind w:left="88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900" w:type="dxa"/>
            <w:vAlign w:val="bottom"/>
            <w:gridSpan w:val="2"/>
          </w:tcPr>
          <w:p>
            <w:pPr>
              <w:ind w:left="680"/>
              <w:spacing w:after="0"/>
              <w:rPr>
                <w:sz w:val="20"/>
                <w:szCs w:val="20"/>
                <w:color w:val="auto"/>
              </w:rPr>
            </w:pPr>
            <w:r>
              <w:rPr>
                <w:rFonts w:ascii="Arial" w:cs="Arial" w:eastAsia="Arial" w:hAnsi="Arial"/>
                <w:sz w:val="13"/>
                <w:szCs w:val="13"/>
                <w:color w:val="auto"/>
              </w:rPr>
              <w:t>—</w:t>
            </w:r>
          </w:p>
        </w:tc>
        <w:tc>
          <w:tcPr>
            <w:tcW w:w="240" w:type="dxa"/>
            <w:vAlign w:val="bottom"/>
            <w:gridSpan w:val="2"/>
          </w:tcPr>
          <w:p>
            <w:pPr>
              <w:jc w:val="right"/>
              <w:ind w:right="53"/>
              <w:spacing w:after="0"/>
              <w:rPr>
                <w:sz w:val="20"/>
                <w:szCs w:val="20"/>
                <w:color w:val="auto"/>
              </w:rPr>
            </w:pPr>
            <w:r>
              <w:rPr>
                <w:rFonts w:ascii="Arial" w:cs="Arial" w:eastAsia="Arial" w:hAnsi="Arial"/>
                <w:sz w:val="13"/>
                <w:szCs w:val="13"/>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40" w:type="dxa"/>
            <w:vAlign w:val="bottom"/>
          </w:tcPr>
          <w:p>
            <w:pPr>
              <w:jc w:val="right"/>
              <w:ind w:right="33"/>
              <w:spacing w:after="0"/>
              <w:rPr>
                <w:sz w:val="20"/>
                <w:szCs w:val="20"/>
                <w:color w:val="auto"/>
              </w:rPr>
            </w:pPr>
            <w:r>
              <w:rPr>
                <w:rFonts w:ascii="Arial" w:cs="Arial" w:eastAsia="Arial" w:hAnsi="Arial"/>
                <w:sz w:val="9"/>
                <w:szCs w:val="9"/>
                <w:color w:val="auto"/>
                <w:w w:val="78"/>
              </w:rPr>
              <w:t>$</w:t>
            </w:r>
          </w:p>
        </w:tc>
        <w:tc>
          <w:tcPr>
            <w:tcW w:w="11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60" w:type="dxa"/>
            <w:vAlign w:val="bottom"/>
            <w:gridSpan w:val="2"/>
          </w:tcPr>
          <w:p>
            <w:pPr>
              <w:ind w:left="860"/>
              <w:spacing w:after="0"/>
              <w:rPr>
                <w:sz w:val="20"/>
                <w:szCs w:val="20"/>
                <w:color w:val="auto"/>
              </w:rPr>
            </w:pPr>
            <w:r>
              <w:rPr>
                <w:rFonts w:ascii="Arial" w:cs="Arial" w:eastAsia="Arial" w:hAnsi="Arial"/>
                <w:sz w:val="13"/>
                <w:szCs w:val="13"/>
                <w:color w:val="auto"/>
              </w:rPr>
              <w:t>—</w:t>
            </w:r>
          </w:p>
        </w:tc>
        <w:tc>
          <w:tcPr>
            <w:tcW w:w="100" w:type="dxa"/>
            <w:vAlign w:val="bottom"/>
          </w:tcPr>
          <w:p>
            <w:pPr>
              <w:jc w:val="right"/>
              <w:spacing w:after="0"/>
              <w:rPr>
                <w:sz w:val="20"/>
                <w:szCs w:val="20"/>
                <w:color w:val="auto"/>
              </w:rPr>
            </w:pPr>
            <w:r>
              <w:rPr>
                <w:rFonts w:ascii="Arial" w:cs="Arial" w:eastAsia="Arial" w:hAnsi="Arial"/>
                <w:sz w:val="9"/>
                <w:szCs w:val="9"/>
                <w:color w:val="auto"/>
                <w:w w:val="78"/>
              </w:rPr>
              <w:t>$</w:t>
            </w:r>
          </w:p>
        </w:tc>
        <w:tc>
          <w:tcPr>
            <w:tcW w:w="11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bl>
    <w:p>
      <w:pPr>
        <w:spacing w:after="0" w:line="177" w:lineRule="exact"/>
        <w:rPr>
          <w:sz w:val="20"/>
          <w:szCs w:val="20"/>
          <w:color w:val="auto"/>
        </w:rPr>
      </w:pPr>
    </w:p>
    <w:p>
      <w:pPr>
        <w:ind w:left="720" w:hanging="712"/>
        <w:spacing w:after="0"/>
        <w:tabs>
          <w:tab w:leader="none" w:pos="720" w:val="left"/>
        </w:tabs>
        <w:numPr>
          <w:ilvl w:val="0"/>
          <w:numId w:val="6"/>
        </w:numPr>
        <w:rPr>
          <w:rFonts w:ascii="Arial" w:cs="Arial" w:eastAsia="Arial" w:hAnsi="Arial"/>
          <w:sz w:val="13"/>
          <w:szCs w:val="13"/>
          <w:color w:val="auto"/>
        </w:rPr>
      </w:pPr>
      <w:r>
        <w:rPr>
          <w:rFonts w:ascii="Arial" w:cs="Arial" w:eastAsia="Arial" w:hAnsi="Arial"/>
          <w:sz w:val="13"/>
          <w:szCs w:val="13"/>
          <w:color w:val="auto"/>
        </w:rPr>
        <w:t>Non-income producing at February 28, 2013.</w:t>
      </w:r>
    </w:p>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ectPr>
          <w:pgSz w:w="11900" w:h="16900" w:orient="portrait"/>
          <w:cols w:equalWidth="0" w:num="1">
            <w:col w:w="11460"/>
          </w:cols>
          <w:pgMar w:left="240" w:top="368" w:right="199" w:bottom="0" w:gutter="0" w:footer="0" w:header="0"/>
        </w:sect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4"/>
                <w:szCs w:val="14"/>
                <w:color w:val="auto"/>
              </w:rPr>
            </w:pPr>
          </w:p>
        </w:tc>
        <w:tc>
          <w:tcPr>
            <w:tcW w:w="25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For the nine months ended</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221"/>
        </w:trPr>
        <w:tc>
          <w:tcPr>
            <w:tcW w:w="648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November 30, 2013</w:t>
            </w:r>
          </w:p>
        </w:tc>
        <w:tc>
          <w:tcPr>
            <w:tcW w:w="280" w:type="dxa"/>
            <w:vAlign w:val="bottom"/>
            <w:tcBorders>
              <w:bottom w:val="single" w:sz="8" w:color="CCEEFF"/>
            </w:tcBorders>
          </w:tcPr>
          <w:p>
            <w:pPr>
              <w:spacing w:after="0"/>
              <w:rPr>
                <w:sz w:val="19"/>
                <w:szCs w:val="19"/>
                <w:color w:val="auto"/>
              </w:rPr>
            </w:pP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November 30, 2012</w:t>
            </w:r>
          </w:p>
        </w:tc>
        <w:tc>
          <w:tcPr>
            <w:tcW w:w="100" w:type="dxa"/>
            <w:vAlign w:val="bottom"/>
            <w:tcBorders>
              <w:bottom w:val="single" w:sz="8" w:color="CCEEFF"/>
            </w:tcBorders>
          </w:tcPr>
          <w:p>
            <w:pPr>
              <w:spacing w:after="0"/>
              <w:rPr>
                <w:sz w:val="19"/>
                <w:szCs w:val="19"/>
                <w:color w:val="auto"/>
              </w:rPr>
            </w:pPr>
          </w:p>
        </w:tc>
      </w:tr>
    </w:tbl>
    <w:p>
      <w:pPr>
        <w:sectPr>
          <w:pgSz w:w="11900" w:h="16900" w:orient="portrait"/>
          <w:cols w:equalWidth="0" w:num="1">
            <w:col w:w="11460"/>
          </w:cols>
          <w:pgMar w:left="240" w:top="368" w:right="199" w:bottom="0" w:gutter="0" w:footer="0" w:header="0"/>
          <w:type w:val="continuous"/>
        </w:sectPr>
      </w:pPr>
    </w:p>
    <w:bookmarkStart w:id="6" w:name="page7"/>
    <w:bookmarkEnd w:id="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INCREASE FROM OPERATIONS: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Net investment income</w:t>
            </w:r>
          </w:p>
        </w:tc>
        <w:tc>
          <w:tcPr>
            <w:tcW w:w="176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7,639,588</w:t>
            </w:r>
          </w:p>
        </w:tc>
        <w:tc>
          <w:tcPr>
            <w:tcW w:w="180" w:type="dxa"/>
            <w:vAlign w:val="bottom"/>
          </w:tcPr>
          <w:p>
            <w:pPr>
              <w:spacing w:after="0"/>
              <w:rPr>
                <w:sz w:val="18"/>
                <w:szCs w:val="18"/>
                <w:color w:val="auto"/>
              </w:rPr>
            </w:pP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5,076,189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realized gain from investments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1,157,824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Net realized loss from derivatives</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unrealized appreciation (depreciation) on investments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(3,770,968)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Net unrealized appreciation on derivatives</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130,925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in net assets from operations</w:t>
            </w:r>
          </w:p>
        </w:tc>
        <w:tc>
          <w:tcPr>
            <w:tcW w:w="10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5,026,444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8,807,377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tcPr>
          <w:p>
            <w:pPr>
              <w:spacing w:after="0" w:line="196" w:lineRule="exact"/>
              <w:rPr>
                <w:sz w:val="20"/>
                <w:szCs w:val="20"/>
                <w:color w:val="auto"/>
              </w:rPr>
            </w:pPr>
            <w:r>
              <w:rPr>
                <w:rFonts w:ascii="Arial" w:cs="Arial" w:eastAsia="Arial" w:hAnsi="Arial"/>
                <w:sz w:val="18"/>
                <w:szCs w:val="18"/>
                <w:color w:val="auto"/>
              </w:rPr>
              <w:t>DECREASE FROM SHAREHOLDER DISTRIBUTIONS:</w:t>
            </w: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declared</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(12,534,807)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(16,475,809)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Net decrease in net assets from shareholder distributions</w:t>
            </w:r>
          </w:p>
        </w:tc>
        <w:tc>
          <w:tcPr>
            <w:tcW w:w="102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(12,534,807)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4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(16,475,809)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CAPITAL SHARE TRANSACTIONS:</w:t>
            </w:r>
          </w:p>
        </w:tc>
        <w:tc>
          <w:tcPr>
            <w:tcW w:w="10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ind w:left="160"/>
              <w:spacing w:after="0"/>
              <w:rPr>
                <w:sz w:val="20"/>
                <w:szCs w:val="20"/>
                <w:color w:val="auto"/>
              </w:rPr>
            </w:pPr>
            <w:r>
              <w:rPr>
                <w:rFonts w:ascii="Arial" w:cs="Arial" w:eastAsia="Arial" w:hAnsi="Arial"/>
                <w:sz w:val="18"/>
                <w:szCs w:val="18"/>
                <w:color w:val="auto"/>
              </w:rPr>
              <w:t>Stock dividend distribution</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8"/>
                <w:szCs w:val="18"/>
                <w:color w:val="auto"/>
              </w:rPr>
              <w:t>10,027,695</w:t>
            </w: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13,180,503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Net increase in net assets from capital share transactions</w:t>
            </w:r>
          </w:p>
        </w:tc>
        <w:tc>
          <w:tcPr>
            <w:tcW w:w="10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10,027,695</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13,180,503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increase in net assets</w:t>
            </w: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5,512,071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Net assets at beginning of period</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108,686,761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97,380,150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10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85"/>
              <w:spacing w:after="0"/>
              <w:rPr>
                <w:sz w:val="20"/>
                <w:szCs w:val="20"/>
                <w:color w:val="auto"/>
              </w:rPr>
            </w:pPr>
            <w:r>
              <w:rPr>
                <w:rFonts w:ascii="Arial" w:cs="Arial" w:eastAsia="Arial" w:hAnsi="Arial"/>
                <w:sz w:val="15"/>
                <w:szCs w:val="15"/>
                <w:color w:val="auto"/>
                <w:w w:val="71"/>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111,206,093</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102,892,221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4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760" w:type="dxa"/>
            <w:vAlign w:val="bottom"/>
            <w:gridSpan w:val="2"/>
            <w:shd w:val="clear" w:color="auto" w:fill="CCEEFF"/>
          </w:tcPr>
          <w:p>
            <w:pPr>
              <w:jc w:val="right"/>
              <w:ind w:right="585"/>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10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5,379,616</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4,730,116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4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40" w:type="dxa"/>
            <w:vAlign w:val="bottom"/>
          </w:tcPr>
          <w:p>
            <w:pPr>
              <w:spacing w:after="0"/>
              <w:rPr>
                <w:sz w:val="20"/>
                <w:szCs w:val="20"/>
                <w:color w:val="auto"/>
              </w:rPr>
            </w:pPr>
            <w:r>
              <w:rPr>
                <w:rFonts w:ascii="Arial" w:cs="Arial" w:eastAsia="Arial" w:hAnsi="Arial"/>
                <w:sz w:val="18"/>
                <w:szCs w:val="18"/>
                <w:color w:val="auto"/>
              </w:rPr>
              <w:t>Distribution in excess of net investment income</w:t>
            </w:r>
          </w:p>
        </w:tc>
        <w:tc>
          <w:tcPr>
            <w:tcW w:w="1760" w:type="dxa"/>
            <w:vAlign w:val="bottom"/>
            <w:gridSpan w:val="2"/>
          </w:tcPr>
          <w:p>
            <w:pPr>
              <w:jc w:val="right"/>
              <w:ind w:right="585"/>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120"/>
              <w:spacing w:after="0"/>
              <w:rPr>
                <w:sz w:val="20"/>
                <w:szCs w:val="20"/>
                <w:color w:val="auto"/>
              </w:rPr>
            </w:pPr>
            <w:r>
              <w:rPr>
                <w:rFonts w:ascii="Arial" w:cs="Arial" w:eastAsia="Arial" w:hAnsi="Arial"/>
                <w:sz w:val="18"/>
                <w:szCs w:val="18"/>
                <w:color w:val="auto"/>
              </w:rPr>
              <w:t>(29,418,170)</w:t>
            </w:r>
          </w:p>
        </w:tc>
        <w:tc>
          <w:tcPr>
            <w:tcW w:w="840" w:type="dxa"/>
            <w:vAlign w:val="bottom"/>
            <w:gridSpan w:val="2"/>
          </w:tcPr>
          <w:p>
            <w:pPr>
              <w:jc w:val="right"/>
              <w:ind w:right="55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(25,319,688)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For the nine months</w:t>
            </w:r>
          </w:p>
        </w:tc>
        <w:tc>
          <w:tcPr>
            <w:tcW w:w="160" w:type="dxa"/>
            <w:vAlign w:val="bottom"/>
          </w:tcPr>
          <w:p>
            <w:pPr>
              <w:spacing w:after="0"/>
              <w:rPr>
                <w:sz w:val="14"/>
                <w:szCs w:val="14"/>
                <w:color w:val="auto"/>
              </w:rPr>
            </w:pPr>
          </w:p>
        </w:tc>
        <w:tc>
          <w:tcPr>
            <w:tcW w:w="16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For the 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1"/>
              </w:rPr>
              <w:t>ended November 30,</w:t>
            </w:r>
          </w:p>
        </w:tc>
        <w:tc>
          <w:tcPr>
            <w:tcW w:w="160" w:type="dxa"/>
            <w:vAlign w:val="bottom"/>
          </w:tcPr>
          <w:p>
            <w:pPr>
              <w:spacing w:after="0"/>
              <w:rPr>
                <w:sz w:val="12"/>
                <w:szCs w:val="12"/>
                <w:color w:val="auto"/>
              </w:rPr>
            </w:pPr>
          </w:p>
        </w:tc>
        <w:tc>
          <w:tcPr>
            <w:tcW w:w="16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ended November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2013</w:t>
            </w:r>
          </w:p>
        </w:tc>
        <w:tc>
          <w:tcPr>
            <w:tcW w:w="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tcPr>
          <w:p>
            <w:pPr>
              <w:jc w:val="center"/>
              <w:ind w:right="72"/>
              <w:spacing w:after="0"/>
              <w:rPr>
                <w:sz w:val="20"/>
                <w:szCs w:val="20"/>
                <w:color w:val="auto"/>
              </w:rPr>
            </w:pPr>
            <w:r>
              <w:rPr>
                <w:rFonts w:ascii="Arial" w:cs="Arial" w:eastAsia="Arial" w:hAnsi="Arial"/>
                <w:sz w:val="14"/>
                <w:szCs w:val="14"/>
                <w:b w:val="1"/>
                <w:bCs w:val="1"/>
                <w:color w:val="auto"/>
                <w:w w:val="96"/>
              </w:rPr>
              <w:t>2012</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5,026,444</w:t>
            </w:r>
          </w:p>
        </w:tc>
        <w:tc>
          <w:tcPr>
            <w:tcW w:w="3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8,807,377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4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ADJUSTMENTS TO RECONCILE NET INCREASE IN NET ASSETS FROM OPERATIONS TO</w:t>
            </w: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(USED BY) OPERATING ACTIVITIES:</w:t>
            </w:r>
          </w:p>
        </w:tc>
        <w:tc>
          <w:tcPr>
            <w:tcW w:w="1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Paid-in-kind interest income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(634,408)</w:t>
            </w: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(821,830)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(543,999)</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(710,418)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660,568</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342,505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(1,157,824)</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(542,720)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Net realized loss from derivatives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3,770,968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(3,188,543)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Net unrealized appreciation on derivatives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(130,925)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Proceeds from sale and redemption of investments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64,989,332</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15,990,963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Purchase of investments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(110,122,464)</w:t>
            </w: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(34,658,367)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(Increase) decrease in operating assets: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20"/>
              <w:spacing w:after="0"/>
              <w:rPr>
                <w:sz w:val="20"/>
                <w:szCs w:val="20"/>
                <w:color w:val="auto"/>
              </w:rPr>
            </w:pPr>
            <w:r>
              <w:rPr>
                <w:rFonts w:ascii="Arial" w:cs="Arial" w:eastAsia="Arial" w:hAnsi="Arial"/>
                <w:sz w:val="18"/>
                <w:szCs w:val="18"/>
                <w:color w:val="auto"/>
              </w:rPr>
              <w:t>Cash and cash equivalents, reserve accounts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10,487,010</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21,747,012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Interest receivable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138,220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(216,782)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20"/>
              <w:spacing w:after="0"/>
              <w:rPr>
                <w:sz w:val="20"/>
                <w:szCs w:val="20"/>
                <w:color w:val="auto"/>
              </w:rPr>
            </w:pPr>
            <w:r>
              <w:rPr>
                <w:rFonts w:ascii="Arial" w:cs="Arial" w:eastAsia="Arial" w:hAnsi="Arial"/>
                <w:sz w:val="18"/>
                <w:szCs w:val="18"/>
                <w:color w:val="auto"/>
              </w:rPr>
              <w:t>Due from manager</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(4,929)</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Management fee receivable</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49,171</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2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(16,190)</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75,850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Receivable from unsettled trades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1,817,074</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340"/>
              <w:spacing w:after="0"/>
              <w:rPr>
                <w:sz w:val="20"/>
                <w:szCs w:val="20"/>
                <w:color w:val="auto"/>
              </w:rPr>
            </w:pPr>
            <w:r>
              <w:rPr>
                <w:rFonts w:ascii="Arial" w:cs="Arial" w:eastAsia="Arial" w:hAnsi="Arial"/>
                <w:sz w:val="18"/>
                <w:szCs w:val="18"/>
                <w:color w:val="auto"/>
              </w:rPr>
              <w:t>Increase (decrease) in operating liabilities: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Payable for unsettled trades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(4,072,500)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20"/>
              <w:spacing w:after="0"/>
              <w:rPr>
                <w:sz w:val="20"/>
                <w:szCs w:val="20"/>
                <w:color w:val="auto"/>
              </w:rPr>
            </w:pPr>
            <w:r>
              <w:rPr>
                <w:rFonts w:ascii="Arial" w:cs="Arial" w:eastAsia="Arial" w:hAnsi="Arial"/>
                <w:sz w:val="18"/>
                <w:szCs w:val="18"/>
                <w:color w:val="auto"/>
              </w:rPr>
              <w:t>Management and incentive fees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(922,261)</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479,049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(53,553)</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(196,907)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ind w:left="520"/>
              <w:spacing w:after="0"/>
              <w:rPr>
                <w:sz w:val="20"/>
                <w:szCs w:val="20"/>
                <w:color w:val="auto"/>
              </w:rPr>
            </w:pPr>
            <w:r>
              <w:rPr>
                <w:rFonts w:ascii="Arial" w:cs="Arial" w:eastAsia="Arial" w:hAnsi="Arial"/>
                <w:sz w:val="18"/>
                <w:szCs w:val="18"/>
                <w:color w:val="auto"/>
              </w:rPr>
              <w:t>Interest and debt fees payable</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256,537</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87,162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Due to manager</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50,570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(276,217)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CASH PROVIDED BY (USED BY) OPERATING ACTIVITIES</w:t>
            </w:r>
          </w:p>
        </w:tc>
        <w:tc>
          <w:tcPr>
            <w:tcW w:w="1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(26,209,734)</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2,915,854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8,000,000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7,350,000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Paydowns on debt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(24,300,000)</w:t>
            </w: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(8,500,000)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48,300,000</w:t>
            </w: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Debt financing cost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240"/>
              <w:spacing w:after="0"/>
              <w:rPr>
                <w:sz w:val="20"/>
                <w:szCs w:val="20"/>
                <w:color w:val="auto"/>
              </w:rPr>
            </w:pPr>
            <w:r>
              <w:rPr>
                <w:rFonts w:ascii="Arial" w:cs="Arial" w:eastAsia="Arial" w:hAnsi="Arial"/>
                <w:sz w:val="18"/>
                <w:szCs w:val="18"/>
                <w:color w:val="auto"/>
              </w:rPr>
              <w:t>(2,579,308)</w:t>
            </w:r>
          </w:p>
        </w:tc>
        <w:tc>
          <w:tcPr>
            <w:tcW w:w="160" w:type="dxa"/>
            <w:vAlign w:val="bottom"/>
          </w:tcPr>
          <w:p>
            <w:pPr>
              <w:spacing w:after="0"/>
              <w:rPr>
                <w:sz w:val="18"/>
                <w:szCs w:val="18"/>
                <w:color w:val="auto"/>
              </w:rPr>
            </w:pPr>
          </w:p>
        </w:tc>
        <w:tc>
          <w:tcPr>
            <w:tcW w:w="1640" w:type="dxa"/>
            <w:vAlign w:val="bottom"/>
            <w:gridSpan w:val="2"/>
          </w:tcPr>
          <w:p>
            <w:pPr>
              <w:jc w:val="right"/>
              <w:ind w:right="40"/>
              <w:spacing w:after="0"/>
              <w:rPr>
                <w:sz w:val="20"/>
                <w:szCs w:val="20"/>
                <w:color w:val="auto"/>
              </w:rPr>
            </w:pPr>
            <w:r>
              <w:rPr>
                <w:rFonts w:ascii="Arial" w:cs="Arial" w:eastAsia="Arial" w:hAnsi="Arial"/>
                <w:sz w:val="18"/>
                <w:szCs w:val="18"/>
                <w:color w:val="auto"/>
              </w:rPr>
              <w:t>(597,000)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CASH PROVIDED BY (USED BY) FINANCING ACTIVITIES</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29,420,692</w:t>
            </w:r>
          </w:p>
        </w:tc>
        <w:tc>
          <w:tcPr>
            <w:tcW w:w="3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(1,747,000)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3,210,958</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1,168,854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gridSpan w:val="2"/>
          </w:tcPr>
          <w:p>
            <w:pPr>
              <w:jc w:val="right"/>
              <w:ind w:right="300"/>
              <w:spacing w:after="0"/>
              <w:rPr>
                <w:sz w:val="20"/>
                <w:szCs w:val="20"/>
                <w:color w:val="auto"/>
              </w:rPr>
            </w:pPr>
            <w:r>
              <w:rPr>
                <w:rFonts w:ascii="Arial" w:cs="Arial" w:eastAsia="Arial" w:hAnsi="Arial"/>
                <w:sz w:val="18"/>
                <w:szCs w:val="18"/>
                <w:color w:val="auto"/>
              </w:rPr>
              <w:t>149,025</w:t>
            </w:r>
          </w:p>
        </w:tc>
        <w:tc>
          <w:tcPr>
            <w:tcW w:w="160" w:type="dxa"/>
            <w:vAlign w:val="bottom"/>
          </w:tcPr>
          <w:p>
            <w:pPr>
              <w:spacing w:after="0"/>
              <w:rPr>
                <w:sz w:val="18"/>
                <w:szCs w:val="18"/>
                <w:color w:val="auto"/>
              </w:rPr>
            </w:pPr>
          </w:p>
        </w:tc>
        <w:tc>
          <w:tcPr>
            <w:tcW w:w="1640" w:type="dxa"/>
            <w:vAlign w:val="bottom"/>
            <w:gridSpan w:val="2"/>
          </w:tcPr>
          <w:p>
            <w:pPr>
              <w:jc w:val="right"/>
              <w:ind w:right="100"/>
              <w:spacing w:after="0"/>
              <w:rPr>
                <w:sz w:val="20"/>
                <w:szCs w:val="20"/>
                <w:color w:val="auto"/>
              </w:rPr>
            </w:pPr>
            <w:r>
              <w:rPr>
                <w:rFonts w:ascii="Arial" w:cs="Arial" w:eastAsia="Arial" w:hAnsi="Arial"/>
                <w:sz w:val="18"/>
                <w:szCs w:val="18"/>
                <w:color w:val="auto"/>
              </w:rPr>
              <w:t>1,325,698</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20" w:type="dxa"/>
            <w:vAlign w:val="bottom"/>
            <w:tcBorders>
              <w:top w:val="single" w:sz="8" w:color="CCEEFF"/>
            </w:tcBorders>
            <w:shd w:val="clear" w:color="auto" w:fill="CCEEFF"/>
          </w:tcPr>
          <w:p>
            <w:pPr>
              <w:spacing w:after="0"/>
              <w:rPr>
                <w:sz w:val="7"/>
                <w:szCs w:val="7"/>
                <w:color w:val="auto"/>
              </w:rPr>
            </w:pPr>
          </w:p>
        </w:tc>
        <w:tc>
          <w:tcPr>
            <w:tcW w:w="18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540" w:type="dxa"/>
            <w:vAlign w:val="bottom"/>
            <w:tcBorders>
              <w:top w:val="single" w:sz="8" w:color="auto"/>
            </w:tcBorders>
            <w:shd w:val="clear" w:color="auto" w:fill="CCEEFF"/>
          </w:tcPr>
          <w:p>
            <w:pPr>
              <w:spacing w:after="0"/>
              <w:rPr>
                <w:sz w:val="7"/>
                <w:szCs w:val="7"/>
                <w:color w:val="auto"/>
              </w:rPr>
            </w:pPr>
          </w:p>
        </w:tc>
        <w:tc>
          <w:tcPr>
            <w:tcW w:w="300" w:type="dxa"/>
            <w:vAlign w:val="bottom"/>
            <w:tcBorders>
              <w:top w:val="single" w:sz="8" w:color="CCEEFF"/>
            </w:tcBorders>
            <w:shd w:val="clear" w:color="auto" w:fill="CCEEFF"/>
          </w:tcPr>
          <w:p>
            <w:pPr>
              <w:spacing w:after="0"/>
              <w:rPr>
                <w:sz w:val="7"/>
                <w:szCs w:val="7"/>
                <w:color w:val="auto"/>
              </w:rPr>
            </w:pPr>
          </w:p>
        </w:tc>
        <w:tc>
          <w:tcPr>
            <w:tcW w:w="160" w:type="dxa"/>
            <w:vAlign w:val="bottom"/>
            <w:tcBorders>
              <w:top w:val="single" w:sz="8" w:color="auto"/>
            </w:tcBorders>
            <w:shd w:val="clear" w:color="auto" w:fill="CCEEFF"/>
          </w:tcPr>
          <w:p>
            <w:pPr>
              <w:spacing w:after="0"/>
              <w:rPr>
                <w:sz w:val="7"/>
                <w:szCs w:val="7"/>
                <w:color w:val="auto"/>
              </w:rPr>
            </w:pPr>
          </w:p>
        </w:tc>
        <w:tc>
          <w:tcPr>
            <w:tcW w:w="1540" w:type="dxa"/>
            <w:vAlign w:val="bottom"/>
            <w:tcBorders>
              <w:top w:val="single" w:sz="8" w:color="auto"/>
            </w:tcBorders>
            <w:shd w:val="clear" w:color="auto" w:fill="CCEEFF"/>
          </w:tcPr>
          <w:p>
            <w:pPr>
              <w:spacing w:after="0"/>
              <w:rPr>
                <w:sz w:val="7"/>
                <w:szCs w:val="7"/>
                <w:color w:val="auto"/>
              </w:rPr>
            </w:pPr>
          </w:p>
        </w:tc>
        <w:tc>
          <w:tcPr>
            <w:tcW w:w="10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40"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3,359,983</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2,494,552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Interest paid during the period</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3,425,552</w:t>
            </w:r>
          </w:p>
        </w:tc>
        <w:tc>
          <w:tcPr>
            <w:tcW w:w="300" w:type="dxa"/>
            <w:vAlign w:val="bottom"/>
          </w:tcPr>
          <w:p>
            <w:pPr>
              <w:spacing w:after="0"/>
              <w:rPr>
                <w:sz w:val="18"/>
                <w:szCs w:val="18"/>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1,378,919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6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Supplemental non-cash information:</w:t>
            </w:r>
          </w:p>
        </w:tc>
        <w:tc>
          <w:tcPr>
            <w:tcW w:w="17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Paid-in-kind interest income</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634,408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821,830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Net accretion of discount on investments</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543,999</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710,418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Amortization of deferred debt financing costs</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660,568</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342,505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Stock dividend distribution</w:t>
            </w:r>
          </w:p>
        </w:tc>
        <w:tc>
          <w:tcPr>
            <w:tcW w:w="22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520" w:type="dxa"/>
            <w:vAlign w:val="bottom"/>
            <w:gridSpan w:val="2"/>
          </w:tcPr>
          <w:p>
            <w:pPr>
              <w:jc w:val="right"/>
              <w:ind w:right="300"/>
              <w:spacing w:after="0"/>
              <w:rPr>
                <w:sz w:val="20"/>
                <w:szCs w:val="20"/>
                <w:color w:val="auto"/>
              </w:rPr>
            </w:pPr>
            <w:r>
              <w:rPr>
                <w:rFonts w:ascii="Arial" w:cs="Arial" w:eastAsia="Arial" w:hAnsi="Arial"/>
                <w:sz w:val="18"/>
                <w:szCs w:val="18"/>
                <w:color w:val="auto"/>
              </w:rPr>
              <w:t>10,027,695</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100"/>
              <w:spacing w:after="0"/>
              <w:rPr>
                <w:sz w:val="20"/>
                <w:szCs w:val="20"/>
                <w:color w:val="auto"/>
              </w:rPr>
            </w:pPr>
            <w:r>
              <w:rPr>
                <w:rFonts w:ascii="Arial" w:cs="Arial" w:eastAsia="Arial" w:hAnsi="Arial"/>
                <w:sz w:val="18"/>
                <w:szCs w:val="18"/>
                <w:color w:val="auto"/>
              </w:rPr>
              <w:t>13,180,503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dividend payable</w:t>
            </w:r>
          </w:p>
        </w:tc>
        <w:tc>
          <w:tcPr>
            <w:tcW w:w="22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2,507,112</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3,295,306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November 30,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We commenced operations on March 23, 2007 as GSC Investment Corp. and completed our initial public offering (“IPO”) on March 28, 2007. We have elected to be treated as a regulated investment company (“RIC”) under subchapter M of the Internal Revenue Code (the “Code”). We expect to continue to qualify and to elect to be treated for tax purposes as a RIC. Our investment objective is to generate current income and, to a lesser extent, capital appreciation from our investments.</w:t>
      </w:r>
    </w:p>
    <w:p>
      <w:pPr>
        <w:spacing w:after="0" w:line="193"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jc w:val="both"/>
        <w:ind w:right="80" w:firstLine="648"/>
        <w:spacing w:after="0" w:line="277" w:lineRule="auto"/>
        <w:rPr>
          <w:sz w:val="20"/>
          <w:szCs w:val="20"/>
          <w:color w:val="auto"/>
        </w:rPr>
      </w:pPr>
      <w:r>
        <w:rPr>
          <w:rFonts w:ascii="Arial" w:cs="Arial" w:eastAsia="Arial" w:hAnsi="Arial"/>
          <w:sz w:val="18"/>
          <w:szCs w:val="18"/>
          <w:color w:val="auto"/>
        </w:rPr>
        <w:t>On July 30, 2010, the Company changed its name from “GSC Investment Corp.” to “Saratoga Investment Corp.” in conjunction with the transaction described in “Note 12. Recapitalization Transaction” below.</w:t>
      </w:r>
    </w:p>
    <w:p>
      <w:pPr>
        <w:spacing w:after="0" w:line="170"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We are externally managed and advised by our investment adviser, Saratoga Investment Advisors, LLC (the “Manager”), pursuant to an investment advisory and management agreement. Prior to July 30, 2010, we were managed and advised by GSCP (NJ), L.P.</w:t>
      </w:r>
    </w:p>
    <w:p>
      <w:pPr>
        <w:spacing w:after="0" w:line="170"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(“GAAP”) and include the accounts of the Company, its special purpose financing subsidiary, Saratoga Investment Funding, LLC (previously known as GSC Investment Funding LLC), and SBIC LP. All intercompany accounts and transactions have been eliminated in consolidation. All references made to the “Company,” “we,” and “us” herein include Saratoga Investment Corp. and its consolidated subsidiaries, except as stated otherwise.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229"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181" w:lineRule="exact"/>
        <w:rPr>
          <w:sz w:val="20"/>
          <w:szCs w:val="20"/>
          <w:color w:val="auto"/>
        </w:rPr>
      </w:pPr>
    </w:p>
    <w:p>
      <w:pPr>
        <w:ind w:left="940" w:hanging="284"/>
        <w:spacing w:after="0"/>
        <w:tabs>
          <w:tab w:leader="none" w:pos="94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w:t>
      </w:r>
    </w:p>
    <w:p>
      <w:pPr>
        <w:sectPr>
          <w:pgSz w:w="11900" w:h="16838" w:orient="portrait"/>
          <w:cols w:equalWidth="0" w:num="1">
            <w:col w:w="11420"/>
          </w:cols>
          <w:pgMar w:left="240" w:top="140" w:right="239" w:bottom="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40" w:right="239" w:bottom="0" w:gutter="0" w:footer="0" w:header="0"/>
          <w:type w:val="continuous"/>
        </w:sectPr>
      </w:pPr>
    </w:p>
    <w:bookmarkStart w:id="8" w:name="page9"/>
    <w:bookmarkEnd w:id="8"/>
    <w:p>
      <w:pPr>
        <w:spacing w:after="0" w:line="4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were to hold securities in the money market fund having an aggregate value in excess of 5.0% of the value of our total assets; or</w:t>
      </w:r>
    </w:p>
    <w:p>
      <w:pPr>
        <w:spacing w:after="0" w:line="236" w:lineRule="exact"/>
        <w:rPr>
          <w:rFonts w:ascii="Arial" w:cs="Arial" w:eastAsia="Arial" w:hAnsi="Arial"/>
          <w:sz w:val="17"/>
          <w:szCs w:val="17"/>
          <w:color w:val="auto"/>
        </w:rPr>
      </w:pPr>
    </w:p>
    <w:p>
      <w:pPr>
        <w:ind w:left="980" w:right="120" w:hanging="324"/>
        <w:spacing w:after="0" w:line="277" w:lineRule="auto"/>
        <w:tabs>
          <w:tab w:leader="none" w:pos="944"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229"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229"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229"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170" w:lineRule="exact"/>
        <w:rPr>
          <w:sz w:val="20"/>
          <w:szCs w:val="20"/>
          <w:color w:val="auto"/>
        </w:rPr>
      </w:pPr>
    </w:p>
    <w:p>
      <w:pPr>
        <w:ind w:left="980" w:right="560" w:hanging="324"/>
        <w:spacing w:after="0" w:line="277"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225" w:lineRule="exact"/>
        <w:rPr>
          <w:sz w:val="20"/>
          <w:szCs w:val="20"/>
          <w:color w:val="auto"/>
        </w:rPr>
      </w:pPr>
    </w:p>
    <w:p>
      <w:pPr>
        <w:ind w:left="980" w:right="800" w:hanging="324"/>
        <w:spacing w:after="0" w:line="308" w:lineRule="auto"/>
        <w:tabs>
          <w:tab w:leader="none" w:pos="944"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80" w:hanging="324"/>
        <w:spacing w:after="0" w:line="277" w:lineRule="auto"/>
        <w:tabs>
          <w:tab w:leader="none" w:pos="94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70" w:lineRule="exact"/>
        <w:rPr>
          <w:sz w:val="20"/>
          <w:szCs w:val="20"/>
          <w:color w:val="auto"/>
        </w:rPr>
      </w:pPr>
    </w:p>
    <w:p>
      <w:pPr>
        <w:ind w:right="100" w:firstLine="648"/>
        <w:spacing w:after="0" w:line="290"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66" w:lineRule="exact"/>
        <w:rPr>
          <w:sz w:val="20"/>
          <w:szCs w:val="20"/>
          <w:color w:val="auto"/>
        </w:rPr>
      </w:pPr>
    </w:p>
    <w:p>
      <w:pPr>
        <w:ind w:right="80" w:firstLine="648"/>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ectPr>
          <w:pgSz w:w="11900" w:h="16887" w:orient="portrait"/>
          <w:cols w:equalWidth="0" w:num="1">
            <w:col w:w="11400"/>
          </w:cols>
          <w:pgMar w:left="240" w:top="368" w:right="259" w:bottom="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ind w:right="200" w:firstLine="648"/>
        <w:spacing w:after="0" w:line="259" w:lineRule="auto"/>
        <w:rPr>
          <w:sz w:val="20"/>
          <w:szCs w:val="20"/>
          <w:color w:val="auto"/>
        </w:rPr>
      </w:pPr>
      <w:r>
        <w:rPr>
          <w:rFonts w:ascii="Arial" w:cs="Arial" w:eastAsia="Arial" w:hAnsi="Arial"/>
          <w:sz w:val="18"/>
          <w:szCs w:val="18"/>
          <w:color w:val="auto"/>
        </w:rPr>
        <w:t xml:space="preserve">We account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Paid-in-Kind Interest</w:t>
      </w:r>
    </w:p>
    <w:p>
      <w:pPr>
        <w:spacing w:after="0" w:line="229" w:lineRule="exact"/>
        <w:rPr>
          <w:sz w:val="20"/>
          <w:szCs w:val="20"/>
          <w:color w:val="auto"/>
        </w:rPr>
      </w:pPr>
    </w:p>
    <w:p>
      <w:pPr>
        <w:jc w:val="both"/>
        <w:ind w:right="220" w:firstLine="648"/>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22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Financing costs incurred in connection with our credit facility, SBA debentures and notes offering are deferred and amortized using the straight line method, which approximates the effective interest method, over the life of their respective debt instrument.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9" w:lineRule="exact"/>
        <w:rPr>
          <w:sz w:val="20"/>
          <w:szCs w:val="20"/>
          <w:color w:val="auto"/>
        </w:rPr>
      </w:pPr>
    </w:p>
    <w:p>
      <w:pPr>
        <w:ind w:right="20" w:firstLine="648"/>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81" w:lineRule="exact"/>
        <w:rPr>
          <w:sz w:val="20"/>
          <w:szCs w:val="20"/>
          <w:color w:val="auto"/>
        </w:rPr>
      </w:pPr>
    </w:p>
    <w:p>
      <w:pPr>
        <w:jc w:val="both"/>
        <w:ind w:right="260" w:firstLine="648"/>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7"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w:t>
      </w:r>
    </w:p>
    <w:p>
      <w:pPr>
        <w:sectPr>
          <w:pgSz w:w="11900" w:h="16838" w:orient="portrait"/>
          <w:cols w:equalWidth="0" w:num="1">
            <w:col w:w="11420"/>
          </w:cols>
          <w:pgMar w:left="240" w:top="337" w:right="239" w:bottom="0" w:gutter="0" w:footer="0" w:header="0"/>
        </w:sectPr>
      </w:pPr>
    </w:p>
    <w:bookmarkStart w:id="10" w:name="page11"/>
    <w:bookmarkEnd w:id="10"/>
    <w:p>
      <w:pPr>
        <w:ind w:right="320"/>
        <w:spacing w:after="0" w:line="277" w:lineRule="auto"/>
        <w:rPr>
          <w:sz w:val="20"/>
          <w:szCs w:val="20"/>
          <w:color w:val="auto"/>
        </w:rPr>
      </w:pPr>
      <w:r>
        <w:rPr>
          <w:rFonts w:ascii="Arial" w:cs="Arial" w:eastAsia="Arial" w:hAnsi="Arial"/>
          <w:sz w:val="18"/>
          <w:szCs w:val="18"/>
          <w:color w:val="auto"/>
        </w:rPr>
        <w:t>distribution in cash. If these and certain other requirements are met, for U.S federal income tax purposes, the amount of the dividend paid in stock will be equal to the amount of cash that could have been received instead of stock.</w:t>
      </w:r>
    </w:p>
    <w:p>
      <w:pPr>
        <w:spacing w:after="0" w:line="170"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As of November 30, 2013 and February 28, 2013, there were no uncertain tax positions.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right="200" w:firstLine="648"/>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We have adopted a dividend reinvestment plan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If our common stock is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trading below net asset value at the time of valuation, the plan administrator may receive the dividend or distribution in cash and purchase common stock in the open market, on the New York Stock Exchange or elsewhere, for the account of each participant in our dividend reinvestment plan.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229"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The Company records an expense accrual in the consolidated statements of operations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220" w:firstLine="648"/>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280" w:firstLine="648"/>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firstLine="648"/>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181" w:lineRule="exact"/>
        <w:rPr>
          <w:sz w:val="20"/>
          <w:szCs w:val="20"/>
          <w:color w:val="auto"/>
        </w:rPr>
      </w:pPr>
    </w:p>
    <w:p>
      <w:pPr>
        <w:ind w:left="940" w:hanging="284"/>
        <w:spacing w:after="0"/>
        <w:tabs>
          <w:tab w:leader="none" w:pos="9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236" w:lineRule="exact"/>
        <w:rPr>
          <w:rFonts w:ascii="Arial" w:cs="Arial" w:eastAsia="Arial" w:hAnsi="Arial"/>
          <w:sz w:val="17"/>
          <w:szCs w:val="17"/>
          <w:color w:val="auto"/>
        </w:rPr>
      </w:pPr>
    </w:p>
    <w:p>
      <w:pPr>
        <w:ind w:left="940" w:hanging="284"/>
        <w:spacing w:after="0"/>
        <w:tabs>
          <w:tab w:leader="none" w:pos="9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225" w:lineRule="exact"/>
        <w:rPr>
          <w:rFonts w:ascii="Arial" w:cs="Arial" w:eastAsia="Arial" w:hAnsi="Arial"/>
          <w:sz w:val="18"/>
          <w:szCs w:val="18"/>
          <w:color w:val="auto"/>
        </w:rPr>
      </w:pPr>
    </w:p>
    <w:p>
      <w:pPr>
        <w:ind w:left="980" w:right="40" w:hanging="324"/>
        <w:spacing w:after="0" w:line="257" w:lineRule="auto"/>
        <w:tabs>
          <w:tab w:leader="none" w:pos="944"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 broker would not be held to such a price in an actual transaction. The non-binding nature of consensus pricing and/or quotes accompanied by disclaimer would result in classification as a Level 3 asset, assuming no additional corroborating evidence.</w:t>
      </w:r>
    </w:p>
    <w:p>
      <w:pPr>
        <w:sectPr>
          <w:pgSz w:w="11900" w:h="16838" w:orient="portrait"/>
          <w:cols w:equalWidth="0" w:num="1">
            <w:col w:w="11380"/>
          </w:cols>
          <w:pgMar w:left="240" w:top="125" w:right="279" w:bottom="0" w:gutter="0" w:footer="0" w:header="0"/>
        </w:sectPr>
      </w:pPr>
    </w:p>
    <w:bookmarkStart w:id="11" w:name="page12"/>
    <w:bookmarkEnd w:id="11"/>
    <w:p>
      <w:pPr>
        <w:ind w:right="480" w:firstLine="648"/>
        <w:spacing w:after="0" w:line="277"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valuation policy, we evaluate the source of inputs, including any markets in which our investments are trading, in determining fair value.</w:t>
      </w:r>
    </w:p>
    <w:p>
      <w:pPr>
        <w:spacing w:after="0" w:line="225"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November 30, 2013 (dollars in thousands), according to the fair value hierarchy:</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06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Fair Value Measurements</w:t>
            </w: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98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Level 3</w:t>
            </w: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gridSpan w:val="2"/>
          </w:tcPr>
          <w:p>
            <w:pPr>
              <w:spacing w:after="0"/>
              <w:rPr>
                <w:sz w:val="12"/>
                <w:szCs w:val="12"/>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37,381</w:t>
            </w:r>
          </w:p>
        </w:tc>
        <w:tc>
          <w:tcPr>
            <w:tcW w:w="2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First lien term loans</w:t>
            </w:r>
          </w:p>
        </w:tc>
        <w:tc>
          <w:tcPr>
            <w:tcW w:w="9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70,637</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70,637</w:t>
            </w: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27,724</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27,724</w:t>
            </w:r>
          </w:p>
        </w:tc>
        <w:tc>
          <w:tcPr>
            <w:tcW w:w="8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Senior secured notes</w:t>
            </w:r>
          </w:p>
        </w:tc>
        <w:tc>
          <w:tcPr>
            <w:tcW w:w="9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29,920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29,920</w:t>
            </w: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5,379</w:t>
            </w:r>
          </w:p>
        </w:tc>
        <w:tc>
          <w:tcPr>
            <w:tcW w:w="80" w:type="dxa"/>
            <w:vAlign w:val="bottom"/>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9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19,019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19,019</w:t>
            </w:r>
          </w:p>
        </w:tc>
        <w:tc>
          <w:tcPr>
            <w:tcW w:w="80" w:type="dxa"/>
            <w:vAlign w:val="bottom"/>
          </w:tcPr>
          <w:p>
            <w:pPr>
              <w:spacing w:after="0"/>
              <w:rPr>
                <w:sz w:val="18"/>
                <w:szCs w:val="18"/>
                <w:color w:val="auto"/>
              </w:rPr>
            </w:pP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8,719</w:t>
            </w: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8,719</w:t>
            </w:r>
          </w:p>
        </w:tc>
        <w:tc>
          <w:tcPr>
            <w:tcW w:w="80" w:type="dxa"/>
            <w:vAlign w:val="bottom"/>
            <w:shd w:val="clear" w:color="auto" w:fill="CCEEFF"/>
          </w:tcPr>
          <w:p>
            <w:pPr>
              <w:spacing w:after="0"/>
              <w:rPr>
                <w:sz w:val="18"/>
                <w:szCs w:val="18"/>
                <w:color w:val="auto"/>
              </w:rPr>
            </w:pPr>
          </w:p>
        </w:tc>
      </w:tr>
      <w:tr>
        <w:trPr>
          <w:trHeight w:val="210"/>
        </w:trPr>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tcPr>
          <w:p>
            <w:pPr>
              <w:jc w:val="right"/>
              <w:ind w:right="7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198,779</w:t>
            </w:r>
          </w:p>
        </w:tc>
        <w:tc>
          <w:tcPr>
            <w:tcW w:w="2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198,779</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2013 (dollars in thousands), according to the fair value hierarchy:</w:t>
      </w:r>
    </w:p>
    <w:p>
      <w:pPr>
        <w:spacing w:after="0" w:line="162"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31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920" w:type="dxa"/>
            <w:vAlign w:val="bottom"/>
            <w:tcBorders>
              <w:bottom w:val="single" w:sz="8" w:color="auto"/>
            </w:tcBorders>
            <w:gridSpan w:val="6"/>
          </w:tcPr>
          <w:p>
            <w:pPr>
              <w:ind w:left="580"/>
              <w:spacing w:after="0"/>
              <w:rPr>
                <w:sz w:val="20"/>
                <w:szCs w:val="20"/>
                <w:color w:val="auto"/>
              </w:rPr>
            </w:pPr>
            <w:r>
              <w:rPr>
                <w:rFonts w:ascii="Arial" w:cs="Arial" w:eastAsia="Arial" w:hAnsi="Arial"/>
                <w:sz w:val="14"/>
                <w:szCs w:val="14"/>
                <w:b w:val="1"/>
                <w:bCs w:val="1"/>
                <w:color w:val="auto"/>
              </w:rPr>
              <w:t>Fair Value Measurements</w:t>
            </w:r>
          </w:p>
        </w:tc>
        <w:tc>
          <w:tcPr>
            <w:tcW w:w="14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3160" w:type="dxa"/>
            <w:vAlign w:val="bottom"/>
          </w:tcPr>
          <w:p>
            <w:pPr>
              <w:spacing w:after="0"/>
              <w:rPr>
                <w:sz w:val="12"/>
                <w:szCs w:val="12"/>
                <w:color w:val="auto"/>
              </w:rPr>
            </w:pPr>
          </w:p>
        </w:tc>
        <w:tc>
          <w:tcPr>
            <w:tcW w:w="98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rPr>
              <w:t>Level 1</w:t>
            </w:r>
          </w:p>
        </w:tc>
        <w:tc>
          <w:tcPr>
            <w:tcW w:w="3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2"/>
          </w:tcPr>
          <w:p>
            <w:pPr>
              <w:ind w:left="160"/>
              <w:spacing w:after="0" w:line="142" w:lineRule="exact"/>
              <w:rPr>
                <w:sz w:val="20"/>
                <w:szCs w:val="20"/>
                <w:color w:val="auto"/>
              </w:rPr>
            </w:pPr>
            <w:r>
              <w:rPr>
                <w:rFonts w:ascii="Arial" w:cs="Arial" w:eastAsia="Arial" w:hAnsi="Arial"/>
                <w:sz w:val="14"/>
                <w:szCs w:val="14"/>
                <w:b w:val="1"/>
                <w:bCs w:val="1"/>
                <w:color w:val="auto"/>
              </w:rPr>
              <w:t>Level 3</w:t>
            </w:r>
          </w:p>
        </w:tc>
        <w:tc>
          <w:tcPr>
            <w:tcW w:w="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3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980" w:type="dxa"/>
            <w:vAlign w:val="bottom"/>
            <w:tcBorders>
              <w:top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Second lien term loans</w:t>
            </w:r>
          </w:p>
        </w:tc>
        <w:tc>
          <w:tcPr>
            <w:tcW w:w="9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9,571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9,571</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23,305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23,305</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Unsecured notes</w:t>
            </w:r>
          </w:p>
        </w:tc>
        <w:tc>
          <w:tcPr>
            <w:tcW w:w="9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4,874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4,874</w:t>
            </w:r>
          </w:p>
        </w:tc>
      </w:tr>
      <w:tr>
        <w:trPr>
          <w:trHeight w:val="216"/>
        </w:trPr>
        <w:tc>
          <w:tcPr>
            <w:tcW w:w="316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9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25,517</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25,517</w:t>
            </w:r>
          </w:p>
        </w:tc>
      </w:tr>
      <w:tr>
        <w:trPr>
          <w:trHeight w:val="216"/>
        </w:trPr>
        <w:tc>
          <w:tcPr>
            <w:tcW w:w="3160" w:type="dxa"/>
            <w:vAlign w:val="bottom"/>
          </w:tcPr>
          <w:p>
            <w:pPr>
              <w:spacing w:after="0"/>
              <w:rPr>
                <w:sz w:val="20"/>
                <w:szCs w:val="20"/>
                <w:color w:val="auto"/>
              </w:rPr>
            </w:pPr>
            <w:r>
              <w:rPr>
                <w:rFonts w:ascii="Arial" w:cs="Arial" w:eastAsia="Arial" w:hAnsi="Arial"/>
                <w:sz w:val="18"/>
                <w:szCs w:val="18"/>
                <w:color w:val="auto"/>
              </w:rPr>
              <w:t>Equity interest</w:t>
            </w:r>
          </w:p>
        </w:tc>
        <w:tc>
          <w:tcPr>
            <w:tcW w:w="980" w:type="dxa"/>
            <w:vAlign w:val="bottom"/>
          </w:tcPr>
          <w:p>
            <w:pPr>
              <w:spacing w:after="0"/>
              <w:rPr>
                <w:sz w:val="18"/>
                <w:szCs w:val="18"/>
                <w:color w:val="auto"/>
              </w:rPr>
            </w:pPr>
          </w:p>
        </w:tc>
        <w:tc>
          <w:tcPr>
            <w:tcW w:w="5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960" w:type="dxa"/>
            <w:vAlign w:val="bottom"/>
          </w:tcPr>
          <w:p>
            <w:pPr>
              <w:spacing w:after="0"/>
              <w:rPr>
                <w:sz w:val="18"/>
                <w:szCs w:val="18"/>
                <w:color w:val="auto"/>
              </w:rPr>
            </w:pPr>
          </w:p>
        </w:tc>
        <w:tc>
          <w:tcPr>
            <w:tcW w:w="58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8,021</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8,021</w:t>
            </w:r>
          </w:p>
        </w:tc>
      </w:tr>
      <w:tr>
        <w:trPr>
          <w:trHeight w:val="210"/>
        </w:trPr>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tcBorders>
              <w:top w:val="single" w:sz="8" w:color="auto"/>
              <w:bottom w:val="single" w:sz="8" w:color="auto"/>
            </w:tcBorders>
            <w:shd w:val="clear" w:color="auto" w:fill="CCEEFF"/>
          </w:tcPr>
          <w:p>
            <w:pPr>
              <w:jc w:val="right"/>
              <w:ind w:right="7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w w:val="88"/>
              </w:rPr>
              <w:t>—</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28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3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2013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9"/>
              </w:rPr>
              <w:t>Middle</w:t>
            </w:r>
          </w:p>
        </w:tc>
        <w:tc>
          <w:tcPr>
            <w:tcW w:w="100" w:type="dxa"/>
            <w:vAlign w:val="bottom"/>
          </w:tcPr>
          <w:p>
            <w:pPr>
              <w:spacing w:after="0"/>
              <w:rPr>
                <w:sz w:val="14"/>
                <w:szCs w:val="14"/>
                <w:color w:val="auto"/>
              </w:rPr>
            </w:pPr>
          </w:p>
        </w:tc>
        <w:tc>
          <w:tcPr>
            <w:tcW w:w="9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First lien</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6"/>
              </w:rPr>
              <w:t>Second lien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1"/>
              </w:rPr>
              <w:t>Senior</w:t>
            </w:r>
          </w:p>
        </w:tc>
        <w:tc>
          <w:tcPr>
            <w:tcW w:w="100" w:type="dxa"/>
            <w:vAlign w:val="bottom"/>
          </w:tcPr>
          <w:p>
            <w:pPr>
              <w:spacing w:after="0"/>
              <w:rPr>
                <w:sz w:val="14"/>
                <w:szCs w:val="14"/>
                <w:color w:val="auto"/>
              </w:rPr>
            </w:pPr>
          </w:p>
        </w:tc>
        <w:tc>
          <w:tcPr>
            <w:tcW w:w="10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1"/>
              </w:rPr>
              <w:t>Unsecured</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Structured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market</w:t>
            </w: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5"/>
              </w:rPr>
              <w:t>secured</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finance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term loans</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term loans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notes</w:t>
            </w:r>
          </w:p>
        </w:tc>
        <w:tc>
          <w:tcPr>
            <w:tcW w:w="100" w:type="dxa"/>
            <w:vAlign w:val="bottom"/>
          </w:tcPr>
          <w:p>
            <w:pPr>
              <w:spacing w:after="0"/>
              <w:rPr>
                <w:sz w:val="14"/>
                <w:szCs w:val="14"/>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notes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securities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stock/equities</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Balance as of February 28,</w:t>
            </w: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83,792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14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23,305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4,874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25,517</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8,021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Net unrealized gains</w:t>
            </w: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(losses)</w:t>
            </w:r>
          </w:p>
        </w:tc>
        <w:tc>
          <w:tcPr>
            <w:tcW w:w="16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(452)</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0"/>
                <w:szCs w:val="20"/>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(4,109)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0"/>
                <w:szCs w:val="20"/>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(3,771)</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Purchases and other</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cost</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37,031</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38,305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20,693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14,366</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740</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111,301</w:t>
            </w: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Sales and redemptions</w:t>
            </w: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(51,667)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(3,031)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(7,728)</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(2,389)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(128)</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(64,989)</w:t>
            </w: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realized gains from</w:t>
            </w: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659</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w:t>
            </w: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line="201" w:lineRule="exact"/>
              <w:rPr>
                <w:sz w:val="20"/>
                <w:szCs w:val="20"/>
                <w:color w:val="auto"/>
              </w:rPr>
            </w:pPr>
            <w:r>
              <w:rPr>
                <w:rFonts w:ascii="Arial" w:cs="Arial" w:eastAsia="Arial" w:hAnsi="Arial"/>
                <w:sz w:val="18"/>
                <w:szCs w:val="18"/>
                <w:color w:val="auto"/>
              </w:rPr>
              <w:t>Balance as of</w:t>
            </w: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37,381</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70,637</w:t>
            </w:r>
          </w:p>
        </w:tc>
        <w:tc>
          <w:tcPr>
            <w:tcW w:w="180" w:type="dxa"/>
            <w:vAlign w:val="bottom"/>
            <w:gridSpan w:val="2"/>
            <w:vMerge w:val="restart"/>
          </w:tcPr>
          <w:p>
            <w:pPr>
              <w:jc w:val="right"/>
              <w:ind w:right="20"/>
              <w:spacing w:after="0"/>
              <w:rPr>
                <w:sz w:val="20"/>
                <w:szCs w:val="20"/>
                <w:color w:val="auto"/>
              </w:rPr>
            </w:pPr>
            <w:r>
              <w:rPr>
                <w:rFonts w:ascii="Arial" w:cs="Arial" w:eastAsia="Arial" w:hAnsi="Arial"/>
                <w:sz w:val="18"/>
                <w:szCs w:val="18"/>
                <w:color w:val="auto"/>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27,724</w:t>
            </w:r>
          </w:p>
        </w:tc>
        <w:tc>
          <w:tcPr>
            <w:tcW w:w="24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29,920</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5,379</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19,019</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8,719</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198,779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80" w:type="dxa"/>
            <w:vAlign w:val="bottom"/>
          </w:tcPr>
          <w:p>
            <w:pPr>
              <w:ind w:left="180"/>
              <w:spacing w:after="0"/>
              <w:rPr>
                <w:sz w:val="20"/>
                <w:szCs w:val="20"/>
                <w:color w:val="auto"/>
              </w:rPr>
            </w:pPr>
            <w:r>
              <w:rPr>
                <w:rFonts w:ascii="Arial" w:cs="Arial" w:eastAsia="Arial" w:hAnsi="Arial"/>
                <w:sz w:val="18"/>
                <w:szCs w:val="18"/>
                <w:color w:val="auto"/>
              </w:rPr>
              <w:t>November 30, 2013</w:t>
            </w:r>
          </w:p>
        </w:tc>
        <w:tc>
          <w:tcPr>
            <w:tcW w:w="1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80" w:type="dxa"/>
            <w:vAlign w:val="bottom"/>
            <w:gridSpan w:val="2"/>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November 30, 2012 (dollars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First lien</w:t>
            </w:r>
          </w:p>
        </w:tc>
        <w:tc>
          <w:tcPr>
            <w:tcW w:w="100" w:type="dxa"/>
            <w:vAlign w:val="bottom"/>
          </w:tcPr>
          <w:p>
            <w:pPr>
              <w:spacing w:after="0"/>
              <w:rPr>
                <w:sz w:val="14"/>
                <w:szCs w:val="14"/>
                <w:color w:val="auto"/>
              </w:rPr>
            </w:pPr>
          </w:p>
        </w:tc>
        <w:tc>
          <w:tcPr>
            <w:tcW w:w="96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6"/>
              </w:rPr>
              <w:t>Second lien</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Senior</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Senior</w:t>
            </w:r>
          </w:p>
        </w:tc>
        <w:tc>
          <w:tcPr>
            <w:tcW w:w="100" w:type="dxa"/>
            <w:vAlign w:val="bottom"/>
          </w:tcPr>
          <w:p>
            <w:pPr>
              <w:spacing w:after="0"/>
              <w:rPr>
                <w:sz w:val="14"/>
                <w:szCs w:val="14"/>
                <w:color w:val="auto"/>
              </w:rPr>
            </w:pPr>
          </w:p>
        </w:tc>
        <w:tc>
          <w:tcPr>
            <w:tcW w:w="104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Unsecured</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Structured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9"/>
              </w:rPr>
              <w:t>secured</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unsecured</w:t>
            </w:r>
          </w:p>
        </w:tc>
        <w:tc>
          <w:tcPr>
            <w:tcW w:w="10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finance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Total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0"/>
              </w:rPr>
              <w:t>term loans</w:t>
            </w:r>
          </w:p>
        </w:tc>
        <w:tc>
          <w:tcPr>
            <w:tcW w:w="100" w:type="dxa"/>
            <w:vAlign w:val="bottom"/>
          </w:tcPr>
          <w:p>
            <w:pPr>
              <w:spacing w:after="0"/>
              <w:rPr>
                <w:sz w:val="14"/>
                <w:szCs w:val="14"/>
                <w:color w:val="auto"/>
              </w:rPr>
            </w:pPr>
          </w:p>
        </w:tc>
        <w:tc>
          <w:tcPr>
            <w:tcW w:w="9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3"/>
              </w:rPr>
              <w:t>term loans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notes</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loans</w:t>
            </w:r>
          </w:p>
        </w:tc>
        <w:tc>
          <w:tcPr>
            <w:tcW w:w="100" w:type="dxa"/>
            <w:vAlign w:val="bottom"/>
          </w:tcPr>
          <w:p>
            <w:pPr>
              <w:spacing w:after="0"/>
              <w:rPr>
                <w:sz w:val="14"/>
                <w:szCs w:val="14"/>
                <w:color w:val="auto"/>
              </w:rPr>
            </w:pPr>
          </w:p>
        </w:tc>
        <w:tc>
          <w:tcPr>
            <w:tcW w:w="10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securities</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9"/>
              </w:rPr>
              <w:t>stock/equities</w:t>
            </w:r>
          </w:p>
        </w:tc>
        <w:tc>
          <w:tcPr>
            <w:tcW w:w="18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18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w w:val="99"/>
              </w:rPr>
              <w:t>Balance as of February 29,</w:t>
            </w: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36,196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8,914</w:t>
            </w: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10,706</w:t>
            </w:r>
          </w:p>
        </w:tc>
        <w:tc>
          <w:tcPr>
            <w:tcW w:w="2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6,000</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2,008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25,846</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95,360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80" w:type="dxa"/>
            <w:vAlign w:val="bottom"/>
          </w:tcPr>
          <w:p>
            <w:pPr>
              <w:spacing w:after="0" w:line="201" w:lineRule="exact"/>
              <w:rPr>
                <w:sz w:val="20"/>
                <w:szCs w:val="20"/>
                <w:color w:val="auto"/>
              </w:rPr>
            </w:pPr>
            <w:r>
              <w:rPr>
                <w:rFonts w:ascii="Arial" w:cs="Arial" w:eastAsia="Arial" w:hAnsi="Arial"/>
                <w:sz w:val="18"/>
                <w:szCs w:val="18"/>
                <w:color w:val="auto"/>
              </w:rPr>
              <w:t>Net unrealized gains</w:t>
            </w: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tcPr>
          <w:p>
            <w:pPr>
              <w:ind w:left="180"/>
              <w:spacing w:after="0"/>
              <w:rPr>
                <w:sz w:val="20"/>
                <w:szCs w:val="20"/>
                <w:color w:val="auto"/>
              </w:rPr>
            </w:pPr>
            <w:r>
              <w:rPr>
                <w:rFonts w:ascii="Arial" w:cs="Arial" w:eastAsia="Arial" w:hAnsi="Arial"/>
                <w:sz w:val="18"/>
                <w:szCs w:val="18"/>
                <w:color w:val="auto"/>
              </w:rPr>
              <w:t>(losses)</w:t>
            </w:r>
          </w:p>
        </w:tc>
        <w:tc>
          <w:tcPr>
            <w:tcW w:w="1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1,194</w:t>
            </w:r>
          </w:p>
        </w:tc>
        <w:tc>
          <w:tcPr>
            <w:tcW w:w="100" w:type="dxa"/>
            <w:vAlign w:val="bottom"/>
          </w:tcPr>
          <w:p>
            <w:pPr>
              <w:spacing w:after="0"/>
              <w:rPr>
                <w:sz w:val="20"/>
                <w:szCs w:val="20"/>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Arial" w:cs="Arial" w:eastAsia="Arial" w:hAnsi="Arial"/>
                <w:sz w:val="18"/>
                <w:szCs w:val="18"/>
                <w:color w:val="auto"/>
              </w:rPr>
              <w:t>(679)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1,974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884</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3,189</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Purchases and other</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adjustments to cost</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31,069</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430</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1,212</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36,190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180" w:type="dxa"/>
            <w:vAlign w:val="bottom"/>
          </w:tcPr>
          <w:p>
            <w:pPr>
              <w:spacing w:after="0"/>
              <w:rPr>
                <w:sz w:val="20"/>
                <w:szCs w:val="20"/>
                <w:color w:val="auto"/>
              </w:rPr>
            </w:pPr>
            <w:r>
              <w:rPr>
                <w:rFonts w:ascii="Arial" w:cs="Arial" w:eastAsia="Arial" w:hAnsi="Arial"/>
                <w:sz w:val="18"/>
                <w:szCs w:val="18"/>
                <w:color w:val="auto"/>
              </w:rPr>
              <w:t>Sales and redemptions</w:t>
            </w: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(4,544)</w:t>
            </w:r>
          </w:p>
        </w:tc>
        <w:tc>
          <w:tcPr>
            <w:tcW w:w="10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(2,032)</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(6,090)</w:t>
            </w: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(146)</w:t>
            </w:r>
          </w:p>
        </w:tc>
        <w:tc>
          <w:tcPr>
            <w:tcW w:w="18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(15,991)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realized gain from</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1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investments</w:t>
            </w: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543</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line="201" w:lineRule="exact"/>
              <w:rPr>
                <w:sz w:val="20"/>
                <w:szCs w:val="20"/>
                <w:color w:val="auto"/>
              </w:rPr>
            </w:pPr>
            <w:r>
              <w:rPr>
                <w:rFonts w:ascii="Arial" w:cs="Arial" w:eastAsia="Arial" w:hAnsi="Arial"/>
                <w:sz w:val="18"/>
                <w:szCs w:val="18"/>
                <w:color w:val="auto"/>
              </w:rPr>
              <w:t>Balance as of</w:t>
            </w: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180" w:type="dxa"/>
            <w:vAlign w:val="bottom"/>
            <w:vMerge w:val="continue"/>
          </w:tcPr>
          <w:p>
            <w:pPr>
              <w:spacing w:after="0"/>
              <w:rPr>
                <w:sz w:val="15"/>
                <w:szCs w:val="15"/>
                <w:color w:val="auto"/>
              </w:rPr>
            </w:pP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64,094</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10,038</w:t>
            </w:r>
          </w:p>
        </w:tc>
        <w:tc>
          <w:tcPr>
            <w:tcW w:w="2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9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10,491</w:t>
            </w:r>
          </w:p>
        </w:tc>
        <w:tc>
          <w:tcPr>
            <w:tcW w:w="200" w:type="dxa"/>
            <w:vAlign w:val="bottom"/>
            <w:gridSpan w:val="2"/>
            <w:vMerge w:val="restart"/>
          </w:tcPr>
          <w:p>
            <w:pPr>
              <w:ind w:left="80"/>
              <w:spacing w:after="0"/>
              <w:rPr>
                <w:sz w:val="20"/>
                <w:szCs w:val="20"/>
                <w:color w:val="auto"/>
              </w:rPr>
            </w:pPr>
            <w:r>
              <w:rPr>
                <w:rFonts w:ascii="Arial" w:cs="Arial" w:eastAsia="Arial" w:hAnsi="Arial"/>
                <w:sz w:val="18"/>
                <w:szCs w:val="18"/>
                <w:color w:val="auto"/>
                <w:w w:val="99"/>
              </w:rPr>
              <w:t>$</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2,241</w:t>
            </w:r>
          </w:p>
        </w:tc>
        <w:tc>
          <w:tcPr>
            <w:tcW w:w="10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24,641</w:t>
            </w:r>
          </w:p>
        </w:tc>
        <w:tc>
          <w:tcPr>
            <w:tcW w:w="22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7,786</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119,291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180" w:type="dxa"/>
            <w:vAlign w:val="bottom"/>
          </w:tcPr>
          <w:p>
            <w:pPr>
              <w:ind w:left="180"/>
              <w:spacing w:after="0"/>
              <w:rPr>
                <w:sz w:val="20"/>
                <w:szCs w:val="20"/>
                <w:color w:val="auto"/>
              </w:rPr>
            </w:pPr>
            <w:r>
              <w:rPr>
                <w:rFonts w:ascii="Arial" w:cs="Arial" w:eastAsia="Arial" w:hAnsi="Arial"/>
                <w:sz w:val="18"/>
                <w:szCs w:val="18"/>
                <w:color w:val="auto"/>
              </w:rPr>
              <w:t>November 30, 2012</w:t>
            </w:r>
          </w:p>
        </w:tc>
        <w:tc>
          <w:tcPr>
            <w:tcW w:w="12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40" w:type="dxa"/>
            <w:vAlign w:val="bottom"/>
            <w:gridSpan w:val="2"/>
            <w:vMerge w:val="continue"/>
          </w:tcPr>
          <w:p>
            <w:pPr>
              <w:spacing w:after="0"/>
              <w:rPr>
                <w:sz w:val="18"/>
                <w:szCs w:val="18"/>
                <w:color w:val="auto"/>
              </w:rPr>
            </w:pPr>
          </w:p>
        </w:tc>
        <w:tc>
          <w:tcPr>
            <w:tcW w:w="900" w:type="dxa"/>
            <w:vAlign w:val="bottom"/>
            <w:gridSpan w:val="2"/>
            <w:vMerge w:val="continue"/>
          </w:tcPr>
          <w:p>
            <w:pPr>
              <w:spacing w:after="0"/>
              <w:rPr>
                <w:sz w:val="18"/>
                <w:szCs w:val="18"/>
                <w:color w:val="auto"/>
              </w:rPr>
            </w:pPr>
          </w:p>
        </w:tc>
        <w:tc>
          <w:tcPr>
            <w:tcW w:w="200" w:type="dxa"/>
            <w:vAlign w:val="bottom"/>
            <w:gridSpan w:val="2"/>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220" w:type="dxa"/>
            <w:vAlign w:val="bottom"/>
            <w:gridSpan w:val="2"/>
            <w:vMerge w:val="continue"/>
          </w:tcPr>
          <w:p>
            <w:pPr>
              <w:spacing w:after="0"/>
              <w:rPr>
                <w:sz w:val="18"/>
                <w:szCs w:val="18"/>
                <w:color w:val="auto"/>
              </w:rPr>
            </w:pPr>
          </w:p>
        </w:tc>
        <w:tc>
          <w:tcPr>
            <w:tcW w:w="1220" w:type="dxa"/>
            <w:vAlign w:val="bottom"/>
            <w:gridSpan w:val="2"/>
            <w:vMerge w:val="continue"/>
          </w:tcPr>
          <w:p>
            <w:pPr>
              <w:spacing w:after="0"/>
              <w:rPr>
                <w:sz w:val="18"/>
                <w:szCs w:val="18"/>
                <w:color w:val="auto"/>
              </w:rPr>
            </w:pPr>
          </w:p>
        </w:tc>
        <w:tc>
          <w:tcPr>
            <w:tcW w:w="180" w:type="dxa"/>
            <w:vAlign w:val="bottom"/>
            <w:vMerge w:val="continue"/>
          </w:tcPr>
          <w:p>
            <w:pPr>
              <w:spacing w:after="0"/>
              <w:rPr>
                <w:sz w:val="18"/>
                <w:szCs w:val="18"/>
                <w:color w:val="auto"/>
              </w:rPr>
            </w:pPr>
          </w:p>
        </w:tc>
        <w:tc>
          <w:tcPr>
            <w:tcW w:w="82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gridSpan w:val="3"/>
          </w:tcPr>
          <w:p>
            <w:pPr>
              <w:ind w:left="8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1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10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60"/>
          </w:cols>
          <w:pgMar w:left="240" w:top="125" w:right="199" w:bottom="0" w:gutter="0" w:footer="0" w:header="0"/>
        </w:sectPr>
      </w:pPr>
    </w:p>
    <w:bookmarkStart w:id="12" w:name="page13"/>
    <w:bookmarkEnd w:id="12"/>
    <w:p>
      <w:pPr>
        <w:ind w:right="120" w:firstLine="648"/>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640" w:firstLine="648"/>
        <w:spacing w:after="0" w:line="342" w:lineRule="auto"/>
        <w:rPr>
          <w:sz w:val="20"/>
          <w:szCs w:val="20"/>
          <w:color w:val="auto"/>
        </w:rPr>
      </w:pPr>
      <w:r>
        <w:rPr>
          <w:rFonts w:ascii="Arial" w:cs="Arial" w:eastAsia="Arial" w:hAnsi="Arial"/>
          <w:sz w:val="16"/>
          <w:szCs w:val="16"/>
          <w:color w:val="auto"/>
        </w:rPr>
        <w:t>The net change in unrealized gain/(loss) on investments held for the nine months ended November 30, 2013 and 2012, was $(3,890,205) and $3,318,830, respectively, and is included in net unrealized appreciation (depreciation) on investments in the consolidated statements of operations.</w:t>
      </w:r>
    </w:p>
    <w:p>
      <w:pPr>
        <w:spacing w:after="0" w:line="124"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November 30, 2013 were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80" w:type="dxa"/>
            <w:vAlign w:val="bottom"/>
            <w:vMerge w:val="restart"/>
          </w:tcPr>
          <w:p>
            <w:pPr>
              <w:spacing w:after="0"/>
              <w:rPr>
                <w:sz w:val="14"/>
                <w:szCs w:val="14"/>
                <w:color w:val="auto"/>
              </w:rPr>
            </w:pPr>
          </w:p>
        </w:tc>
        <w:tc>
          <w:tcPr>
            <w:tcW w:w="20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 Technique</w:t>
            </w:r>
          </w:p>
        </w:tc>
        <w:tc>
          <w:tcPr>
            <w:tcW w:w="300" w:type="dxa"/>
            <w:vAlign w:val="bottom"/>
            <w:vMerge w:val="restart"/>
          </w:tcPr>
          <w:p>
            <w:pPr>
              <w:spacing w:after="0"/>
              <w:rPr>
                <w:sz w:val="14"/>
                <w:szCs w:val="14"/>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Unobservable Input</w:t>
            </w:r>
          </w:p>
        </w:tc>
        <w:tc>
          <w:tcPr>
            <w:tcW w:w="280" w:type="dxa"/>
            <w:vAlign w:val="bottom"/>
            <w:vMerge w:val="restart"/>
          </w:tcPr>
          <w:p>
            <w:pPr>
              <w:spacing w:after="0"/>
              <w:rPr>
                <w:sz w:val="14"/>
                <w:szCs w:val="14"/>
                <w:color w:val="auto"/>
              </w:rPr>
            </w:pPr>
          </w:p>
        </w:tc>
        <w:tc>
          <w:tcPr>
            <w:tcW w:w="1540" w:type="dxa"/>
            <w:vAlign w:val="bottom"/>
            <w:gridSpan w:val="2"/>
            <w:vMerge w:val="restart"/>
          </w:tcPr>
          <w:p>
            <w:pPr>
              <w:ind w:left="580"/>
              <w:spacing w:after="0"/>
              <w:rPr>
                <w:sz w:val="20"/>
                <w:szCs w:val="20"/>
                <w:color w:val="auto"/>
              </w:rPr>
            </w:pPr>
            <w:r>
              <w:rPr>
                <w:rFonts w:ascii="Arial" w:cs="Arial" w:eastAsia="Arial" w:hAnsi="Arial"/>
                <w:sz w:val="14"/>
                <w:szCs w:val="14"/>
                <w:b w:val="1"/>
                <w:bCs w:val="1"/>
                <w:color w:val="auto"/>
              </w:rPr>
              <w:t>Range</w:t>
            </w:r>
          </w:p>
        </w:tc>
        <w:tc>
          <w:tcPr>
            <w:tcW w:w="280" w:type="dxa"/>
            <w:vAlign w:val="bottom"/>
            <w:vMerge w:val="restart"/>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540" w:type="dxa"/>
            <w:vAlign w:val="bottom"/>
            <w:tcBorders>
              <w:bottom w:val="single" w:sz="8" w:color="auto"/>
            </w:tcBorders>
            <w:gridSpan w:val="2"/>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Average Yield</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108,018</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Market Yield (%)</w:t>
            </w: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8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0"/>
              </w:rPr>
              <w:t>3.0x – 4.0x</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4.0x</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- 101.1%</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98.8%</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Second lien term loans</w:t>
            </w:r>
          </w:p>
        </w:tc>
        <w:tc>
          <w:tcPr>
            <w:tcW w:w="160" w:type="dxa"/>
            <w:vAlign w:val="bottom"/>
          </w:tcPr>
          <w:p>
            <w:pPr>
              <w:spacing w:after="0"/>
              <w:rPr>
                <w:sz w:val="17"/>
                <w:szCs w:val="17"/>
                <w:color w:val="auto"/>
              </w:rPr>
            </w:pPr>
          </w:p>
        </w:tc>
        <w:tc>
          <w:tcPr>
            <w:tcW w:w="12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27,724</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Market Comparables</w:t>
            </w: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Market Yield (%)</w:t>
            </w:r>
          </w:p>
        </w:tc>
        <w:tc>
          <w:tcPr>
            <w:tcW w:w="680" w:type="dxa"/>
            <w:vAlign w:val="bottom"/>
          </w:tcPr>
          <w:p>
            <w:pPr>
              <w:jc w:val="right"/>
              <w:spacing w:after="0" w:line="201" w:lineRule="exact"/>
              <w:rPr>
                <w:sz w:val="20"/>
                <w:szCs w:val="20"/>
                <w:color w:val="auto"/>
              </w:rPr>
            </w:pPr>
            <w:r>
              <w:rPr>
                <w:rFonts w:ascii="Arial" w:cs="Arial" w:eastAsia="Arial" w:hAnsi="Arial"/>
                <w:sz w:val="18"/>
                <w:szCs w:val="18"/>
                <w:color w:val="auto"/>
              </w:rPr>
              <w:t>9.5%</w:t>
            </w:r>
          </w:p>
        </w:tc>
        <w:tc>
          <w:tcPr>
            <w:tcW w:w="860" w:type="dxa"/>
            <w:vAlign w:val="bottom"/>
          </w:tcPr>
          <w:p>
            <w:pPr>
              <w:ind w:left="20"/>
              <w:spacing w:after="0" w:line="201" w:lineRule="exact"/>
              <w:rPr>
                <w:sz w:val="20"/>
                <w:szCs w:val="20"/>
                <w:color w:val="auto"/>
              </w:rPr>
            </w:pPr>
            <w:r>
              <w:rPr>
                <w:rFonts w:ascii="Arial" w:cs="Arial" w:eastAsia="Arial" w:hAnsi="Arial"/>
                <w:sz w:val="18"/>
                <w:szCs w:val="18"/>
                <w:color w:val="auto"/>
              </w:rPr>
              <w:t>- 12.2%</w:t>
            </w:r>
          </w:p>
        </w:tc>
        <w:tc>
          <w:tcPr>
            <w:tcW w:w="280" w:type="dxa"/>
            <w:vAlign w:val="bottom"/>
          </w:tcPr>
          <w:p>
            <w:pPr>
              <w:spacing w:after="0"/>
              <w:rPr>
                <w:sz w:val="17"/>
                <w:szCs w:val="17"/>
                <w:color w:val="auto"/>
              </w:rPr>
            </w:pPr>
          </w:p>
        </w:tc>
        <w:tc>
          <w:tcPr>
            <w:tcW w:w="13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680" w:type="dxa"/>
            <w:vAlign w:val="bottom"/>
          </w:tcPr>
          <w:p>
            <w:pPr>
              <w:jc w:val="right"/>
              <w:spacing w:after="0"/>
              <w:rPr>
                <w:sz w:val="20"/>
                <w:szCs w:val="20"/>
                <w:color w:val="auto"/>
              </w:rPr>
            </w:pPr>
            <w:r>
              <w:rPr>
                <w:rFonts w:ascii="Arial" w:cs="Arial" w:eastAsia="Arial" w:hAnsi="Arial"/>
                <w:sz w:val="18"/>
                <w:szCs w:val="18"/>
                <w:color w:val="auto"/>
              </w:rPr>
              <w:t>98.9%</w:t>
            </w:r>
          </w:p>
        </w:tc>
        <w:tc>
          <w:tcPr>
            <w:tcW w:w="860" w:type="dxa"/>
            <w:vAlign w:val="bottom"/>
          </w:tcPr>
          <w:p>
            <w:pPr>
              <w:ind w:left="20"/>
              <w:spacing w:after="0"/>
              <w:rPr>
                <w:sz w:val="20"/>
                <w:szCs w:val="20"/>
                <w:color w:val="auto"/>
              </w:rPr>
            </w:pPr>
            <w:r>
              <w:rPr>
                <w:rFonts w:ascii="Arial" w:cs="Arial" w:eastAsia="Arial" w:hAnsi="Arial"/>
                <w:sz w:val="18"/>
                <w:szCs w:val="18"/>
                <w:color w:val="auto"/>
              </w:rPr>
              <w:t>- 100.0%</w:t>
            </w:r>
          </w:p>
        </w:tc>
        <w:tc>
          <w:tcPr>
            <w:tcW w:w="28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99.4%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29,920</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- 42.5%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820" w:type="dxa"/>
            <w:vAlign w:val="bottom"/>
            <w:gridSpan w:val="3"/>
            <w:shd w:val="clear" w:color="auto" w:fill="CCEEFF"/>
          </w:tcPr>
          <w:p>
            <w:pPr>
              <w:jc w:val="center"/>
              <w:ind w:right="260"/>
              <w:spacing w:after="0"/>
              <w:rPr>
                <w:sz w:val="20"/>
                <w:szCs w:val="20"/>
                <w:color w:val="auto"/>
              </w:rPr>
            </w:pPr>
            <w:r>
              <w:rPr>
                <w:rFonts w:ascii="Arial" w:cs="Arial" w:eastAsia="Arial" w:hAnsi="Arial"/>
                <w:sz w:val="18"/>
                <w:szCs w:val="18"/>
                <w:color w:val="auto"/>
                <w:w w:val="93"/>
              </w:rPr>
              <w:t>5.0x</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5.0x</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105.5%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105.5%</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Unsecured notes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5,379</w:t>
            </w:r>
          </w:p>
        </w:tc>
        <w:tc>
          <w:tcPr>
            <w:tcW w:w="2340" w:type="dxa"/>
            <w:vAlign w:val="bottom"/>
            <w:gridSpan w:val="2"/>
          </w:tcPr>
          <w:p>
            <w:pPr>
              <w:spacing w:after="0"/>
              <w:rPr>
                <w:sz w:val="20"/>
                <w:szCs w:val="20"/>
                <w:color w:val="auto"/>
              </w:rPr>
            </w:pPr>
            <w:r>
              <w:rPr>
                <w:rFonts w:ascii="Arial" w:cs="Arial" w:eastAsia="Arial" w:hAnsi="Arial"/>
                <w:sz w:val="18"/>
                <w:szCs w:val="18"/>
                <w:color w:val="auto"/>
              </w:rPr>
              <w:t>Market Comparables</w:t>
            </w:r>
          </w:p>
        </w:tc>
        <w:tc>
          <w:tcPr>
            <w:tcW w:w="220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680" w:type="dxa"/>
            <w:vAlign w:val="bottom"/>
          </w:tcPr>
          <w:p>
            <w:pPr>
              <w:jc w:val="right"/>
              <w:spacing w:after="0"/>
              <w:rPr>
                <w:sz w:val="20"/>
                <w:szCs w:val="20"/>
                <w:color w:val="auto"/>
              </w:rPr>
            </w:pPr>
            <w:r>
              <w:rPr>
                <w:rFonts w:ascii="Arial" w:cs="Arial" w:eastAsia="Arial" w:hAnsi="Arial"/>
                <w:sz w:val="18"/>
                <w:szCs w:val="18"/>
                <w:color w:val="auto"/>
              </w:rPr>
              <w:t>8.0%</w:t>
            </w:r>
          </w:p>
        </w:tc>
        <w:tc>
          <w:tcPr>
            <w:tcW w:w="860" w:type="dxa"/>
            <w:vAlign w:val="bottom"/>
          </w:tcPr>
          <w:p>
            <w:pPr>
              <w:ind w:left="20"/>
              <w:spacing w:after="0"/>
              <w:rPr>
                <w:sz w:val="20"/>
                <w:szCs w:val="20"/>
                <w:color w:val="auto"/>
              </w:rPr>
            </w:pPr>
            <w:r>
              <w:rPr>
                <w:rFonts w:ascii="Arial" w:cs="Arial" w:eastAsia="Arial" w:hAnsi="Arial"/>
                <w:sz w:val="18"/>
                <w:szCs w:val="18"/>
                <w:color w:val="auto"/>
              </w:rPr>
              <w:t>- 23.0%</w:t>
            </w:r>
          </w:p>
        </w:tc>
        <w:tc>
          <w:tcPr>
            <w:tcW w:w="2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Structured finance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19,019</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t>
            </w:r>
          </w:p>
        </w:tc>
        <w:tc>
          <w:tcPr>
            <w:tcW w:w="15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0"/>
              </w:rPr>
              <w:t>10.0%</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Equity interests</w:t>
            </w: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8,719</w:t>
            </w:r>
          </w:p>
        </w:tc>
        <w:tc>
          <w:tcPr>
            <w:tcW w:w="2340" w:type="dxa"/>
            <w:vAlign w:val="bottom"/>
            <w:gridSpan w:val="2"/>
          </w:tcPr>
          <w:p>
            <w:pPr>
              <w:spacing w:after="0"/>
              <w:rPr>
                <w:sz w:val="20"/>
                <w:szCs w:val="20"/>
                <w:color w:val="auto"/>
              </w:rPr>
            </w:pPr>
            <w:r>
              <w:rPr>
                <w:rFonts w:ascii="Arial" w:cs="Arial" w:eastAsia="Arial" w:hAnsi="Arial"/>
                <w:sz w:val="18"/>
                <w:szCs w:val="18"/>
                <w:color w:val="auto"/>
              </w:rPr>
              <w:t>Market Comparables</w:t>
            </w:r>
          </w:p>
        </w:tc>
        <w:tc>
          <w:tcPr>
            <w:tcW w:w="2200" w:type="dxa"/>
            <w:vAlign w:val="bottom"/>
            <w:gridSpan w:val="2"/>
          </w:tcPr>
          <w:p>
            <w:pPr>
              <w:spacing w:after="0"/>
              <w:rPr>
                <w:sz w:val="20"/>
                <w:szCs w:val="20"/>
                <w:color w:val="auto"/>
              </w:rPr>
            </w:pPr>
            <w:r>
              <w:rPr>
                <w:rFonts w:ascii="Arial" w:cs="Arial" w:eastAsia="Arial" w:hAnsi="Arial"/>
                <w:sz w:val="18"/>
                <w:szCs w:val="18"/>
                <w:color w:val="auto"/>
              </w:rPr>
              <w:t>EBITDA Multiples (x)</w:t>
            </w:r>
          </w:p>
        </w:tc>
        <w:tc>
          <w:tcPr>
            <w:tcW w:w="1820" w:type="dxa"/>
            <w:vAlign w:val="bottom"/>
            <w:gridSpan w:val="3"/>
          </w:tcPr>
          <w:p>
            <w:pPr>
              <w:jc w:val="center"/>
              <w:ind w:right="260"/>
              <w:spacing w:after="0"/>
              <w:rPr>
                <w:sz w:val="20"/>
                <w:szCs w:val="20"/>
                <w:color w:val="auto"/>
              </w:rPr>
            </w:pPr>
            <w:r>
              <w:rPr>
                <w:rFonts w:ascii="Arial" w:cs="Arial" w:eastAsia="Arial" w:hAnsi="Arial"/>
                <w:sz w:val="18"/>
                <w:szCs w:val="18"/>
                <w:color w:val="auto"/>
                <w:w w:val="90"/>
              </w:rPr>
              <w:t>4.0x – 8.0x</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7.3x</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2013 were as follows (dollars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vMerge w:val="restart"/>
          </w:tcPr>
          <w:p>
            <w:pPr>
              <w:jc w:val="right"/>
              <w:ind w:right="153"/>
              <w:spacing w:after="0"/>
              <w:rPr>
                <w:sz w:val="20"/>
                <w:szCs w:val="20"/>
                <w:color w:val="auto"/>
              </w:rPr>
            </w:pPr>
            <w:r>
              <w:rPr>
                <w:rFonts w:ascii="Arial" w:cs="Arial" w:eastAsia="Arial" w:hAnsi="Arial"/>
                <w:sz w:val="14"/>
                <w:szCs w:val="14"/>
                <w:b w:val="1"/>
                <w:bCs w:val="1"/>
                <w:color w:val="auto"/>
              </w:rPr>
              <w:t>Fair Value</w:t>
            </w:r>
          </w:p>
        </w:tc>
        <w:tc>
          <w:tcPr>
            <w:tcW w:w="280" w:type="dxa"/>
            <w:vAlign w:val="bottom"/>
            <w:vMerge w:val="restart"/>
          </w:tcPr>
          <w:p>
            <w:pPr>
              <w:spacing w:after="0"/>
              <w:rPr>
                <w:sz w:val="14"/>
                <w:szCs w:val="14"/>
                <w:color w:val="auto"/>
              </w:rPr>
            </w:pPr>
          </w:p>
        </w:tc>
        <w:tc>
          <w:tcPr>
            <w:tcW w:w="2040" w:type="dxa"/>
            <w:vAlign w:val="bottom"/>
            <w:vMerge w:val="restart"/>
          </w:tcPr>
          <w:p>
            <w:pPr>
              <w:ind w:left="400"/>
              <w:spacing w:after="0"/>
              <w:rPr>
                <w:sz w:val="20"/>
                <w:szCs w:val="20"/>
                <w:color w:val="auto"/>
              </w:rPr>
            </w:pPr>
            <w:r>
              <w:rPr>
                <w:rFonts w:ascii="Arial" w:cs="Arial" w:eastAsia="Arial" w:hAnsi="Arial"/>
                <w:sz w:val="14"/>
                <w:szCs w:val="14"/>
                <w:b w:val="1"/>
                <w:bCs w:val="1"/>
                <w:color w:val="auto"/>
              </w:rPr>
              <w:t>Valuation Technique</w:t>
            </w:r>
          </w:p>
        </w:tc>
        <w:tc>
          <w:tcPr>
            <w:tcW w:w="300" w:type="dxa"/>
            <w:vAlign w:val="bottom"/>
            <w:vMerge w:val="restart"/>
          </w:tcPr>
          <w:p>
            <w:pPr>
              <w:spacing w:after="0"/>
              <w:rPr>
                <w:sz w:val="14"/>
                <w:szCs w:val="14"/>
                <w:color w:val="auto"/>
              </w:rPr>
            </w:pPr>
          </w:p>
        </w:tc>
        <w:tc>
          <w:tcPr>
            <w:tcW w:w="1920" w:type="dxa"/>
            <w:vAlign w:val="bottom"/>
            <w:vMerge w:val="restart"/>
          </w:tcPr>
          <w:p>
            <w:pPr>
              <w:ind w:left="340"/>
              <w:spacing w:after="0"/>
              <w:rPr>
                <w:sz w:val="20"/>
                <w:szCs w:val="20"/>
                <w:color w:val="auto"/>
              </w:rPr>
            </w:pPr>
            <w:r>
              <w:rPr>
                <w:rFonts w:ascii="Arial" w:cs="Arial" w:eastAsia="Arial" w:hAnsi="Arial"/>
                <w:sz w:val="14"/>
                <w:szCs w:val="14"/>
                <w:b w:val="1"/>
                <w:bCs w:val="1"/>
                <w:color w:val="auto"/>
              </w:rPr>
              <w:t>Unobservable Input</w:t>
            </w:r>
          </w:p>
        </w:tc>
        <w:tc>
          <w:tcPr>
            <w:tcW w:w="280" w:type="dxa"/>
            <w:vAlign w:val="bottom"/>
            <w:vMerge w:val="restart"/>
          </w:tcPr>
          <w:p>
            <w:pPr>
              <w:spacing w:after="0"/>
              <w:rPr>
                <w:sz w:val="14"/>
                <w:szCs w:val="14"/>
                <w:color w:val="auto"/>
              </w:rPr>
            </w:pPr>
          </w:p>
        </w:tc>
        <w:tc>
          <w:tcPr>
            <w:tcW w:w="1540" w:type="dxa"/>
            <w:vAlign w:val="bottom"/>
            <w:vMerge w:val="restart"/>
          </w:tcPr>
          <w:p>
            <w:pPr>
              <w:ind w:left="580"/>
              <w:spacing w:after="0"/>
              <w:rPr>
                <w:sz w:val="20"/>
                <w:szCs w:val="20"/>
                <w:color w:val="auto"/>
              </w:rPr>
            </w:pPr>
            <w:r>
              <w:rPr>
                <w:rFonts w:ascii="Arial" w:cs="Arial" w:eastAsia="Arial" w:hAnsi="Arial"/>
                <w:sz w:val="14"/>
                <w:szCs w:val="14"/>
                <w:b w:val="1"/>
                <w:bCs w:val="1"/>
                <w:color w:val="auto"/>
              </w:rPr>
              <w:t>Range</w:t>
            </w:r>
          </w:p>
        </w:tc>
        <w:tc>
          <w:tcPr>
            <w:tcW w:w="280" w:type="dxa"/>
            <w:vAlign w:val="bottom"/>
            <w:vMerge w:val="restart"/>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23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2040" w:type="dxa"/>
            <w:vAlign w:val="bottom"/>
            <w:tcBorders>
              <w:bottom w:val="single" w:sz="8" w:color="auto"/>
            </w:tcBorders>
            <w:vMerge w:val="continue"/>
          </w:tcPr>
          <w:p>
            <w:pPr>
              <w:spacing w:after="0"/>
              <w:rPr>
                <w:sz w:val="14"/>
                <w:szCs w:val="14"/>
                <w:color w:val="auto"/>
              </w:rPr>
            </w:pPr>
          </w:p>
        </w:tc>
        <w:tc>
          <w:tcPr>
            <w:tcW w:w="300" w:type="dxa"/>
            <w:vAlign w:val="bottom"/>
            <w:tcBorders>
              <w:bottom w:val="single" w:sz="8" w:color="CCEEFF"/>
            </w:tcBorders>
            <w:vMerge w:val="continue"/>
          </w:tcPr>
          <w:p>
            <w:pPr>
              <w:spacing w:after="0"/>
              <w:rPr>
                <w:sz w:val="14"/>
                <w:szCs w:val="14"/>
                <w:color w:val="auto"/>
              </w:rPr>
            </w:pPr>
          </w:p>
        </w:tc>
        <w:tc>
          <w:tcPr>
            <w:tcW w:w="192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540" w:type="dxa"/>
            <w:vAlign w:val="bottom"/>
            <w:tcBorders>
              <w:bottom w:val="single" w:sz="8" w:color="auto"/>
            </w:tcBorders>
            <w:vMerge w:val="continue"/>
          </w:tcPr>
          <w:p>
            <w:pPr>
              <w:spacing w:after="0"/>
              <w:rPr>
                <w:sz w:val="14"/>
                <w:szCs w:val="14"/>
                <w:color w:val="auto"/>
              </w:rPr>
            </w:pPr>
          </w:p>
        </w:tc>
        <w:tc>
          <w:tcPr>
            <w:tcW w:w="280" w:type="dxa"/>
            <w:vAlign w:val="bottom"/>
            <w:tcBorders>
              <w:bottom w:val="single" w:sz="8" w:color="CCEEFF"/>
            </w:tcBorders>
            <w:vMerge w:val="continue"/>
          </w:tcPr>
          <w:p>
            <w:pPr>
              <w:spacing w:after="0"/>
              <w:rPr>
                <w:sz w:val="14"/>
                <w:szCs w:val="14"/>
                <w:color w:val="auto"/>
              </w:rPr>
            </w:pPr>
          </w:p>
        </w:tc>
        <w:tc>
          <w:tcPr>
            <w:tcW w:w="120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Average Yield</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30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20"/>
                <w:szCs w:val="20"/>
                <w:color w:val="auto"/>
              </w:rPr>
            </w:pPr>
            <w:r>
              <w:rPr>
                <w:rFonts w:ascii="Arial" w:cs="Arial" w:eastAsia="Arial" w:hAnsi="Arial"/>
                <w:sz w:val="18"/>
                <w:szCs w:val="18"/>
                <w:color w:val="auto"/>
              </w:rPr>
              <w:t>Market Yield (%)</w:t>
            </w:r>
          </w:p>
        </w:tc>
        <w:tc>
          <w:tcPr>
            <w:tcW w:w="2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5.8% - 26.9%</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3.0x</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3.0x</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96.5 - 102.0</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02"/>
        </w:trPr>
        <w:tc>
          <w:tcPr>
            <w:tcW w:w="2300" w:type="dxa"/>
            <w:vAlign w:val="bottom"/>
          </w:tcPr>
          <w:p>
            <w:pPr>
              <w:spacing w:after="0" w:line="201" w:lineRule="exact"/>
              <w:rPr>
                <w:sz w:val="20"/>
                <w:szCs w:val="20"/>
                <w:color w:val="auto"/>
              </w:rPr>
            </w:pPr>
            <w:r>
              <w:rPr>
                <w:rFonts w:ascii="Arial" w:cs="Arial" w:eastAsia="Arial" w:hAnsi="Arial"/>
                <w:sz w:val="18"/>
                <w:szCs w:val="18"/>
                <w:color w:val="auto"/>
              </w:rPr>
              <w:t>Second lien term loans</w:t>
            </w:r>
          </w:p>
        </w:tc>
        <w:tc>
          <w:tcPr>
            <w:tcW w:w="160" w:type="dxa"/>
            <w:vAlign w:val="bottom"/>
          </w:tcPr>
          <w:p>
            <w:pPr>
              <w:spacing w:after="0"/>
              <w:rPr>
                <w:sz w:val="17"/>
                <w:szCs w:val="17"/>
                <w:color w:val="auto"/>
              </w:rPr>
            </w:pPr>
          </w:p>
        </w:tc>
        <w:tc>
          <w:tcPr>
            <w:tcW w:w="1240" w:type="dxa"/>
            <w:vAlign w:val="bottom"/>
            <w:gridSpan w:val="2"/>
          </w:tcPr>
          <w:p>
            <w:pPr>
              <w:jc w:val="right"/>
              <w:ind w:right="280"/>
              <w:spacing w:after="0" w:line="201" w:lineRule="exact"/>
              <w:rPr>
                <w:sz w:val="20"/>
                <w:szCs w:val="20"/>
                <w:color w:val="auto"/>
              </w:rPr>
            </w:pPr>
            <w:r>
              <w:rPr>
                <w:rFonts w:ascii="Arial" w:cs="Arial" w:eastAsia="Arial" w:hAnsi="Arial"/>
                <w:sz w:val="18"/>
                <w:szCs w:val="18"/>
                <w:color w:val="auto"/>
              </w:rPr>
              <w:t>9,571</w:t>
            </w:r>
          </w:p>
        </w:tc>
        <w:tc>
          <w:tcPr>
            <w:tcW w:w="2340" w:type="dxa"/>
            <w:vAlign w:val="bottom"/>
            <w:gridSpan w:val="2"/>
          </w:tcPr>
          <w:p>
            <w:pPr>
              <w:spacing w:after="0" w:line="201" w:lineRule="exact"/>
              <w:rPr>
                <w:sz w:val="20"/>
                <w:szCs w:val="20"/>
                <w:color w:val="auto"/>
              </w:rPr>
            </w:pPr>
            <w:r>
              <w:rPr>
                <w:rFonts w:ascii="Arial" w:cs="Arial" w:eastAsia="Arial" w:hAnsi="Arial"/>
                <w:sz w:val="18"/>
                <w:szCs w:val="18"/>
                <w:color w:val="auto"/>
              </w:rPr>
              <w:t>Market Comparables</w:t>
            </w:r>
          </w:p>
        </w:tc>
        <w:tc>
          <w:tcPr>
            <w:tcW w:w="2200" w:type="dxa"/>
            <w:vAlign w:val="bottom"/>
            <w:gridSpan w:val="2"/>
          </w:tcPr>
          <w:p>
            <w:pPr>
              <w:spacing w:after="0" w:line="201" w:lineRule="exact"/>
              <w:rPr>
                <w:sz w:val="20"/>
                <w:szCs w:val="20"/>
                <w:color w:val="auto"/>
              </w:rPr>
            </w:pPr>
            <w:r>
              <w:rPr>
                <w:rFonts w:ascii="Arial" w:cs="Arial" w:eastAsia="Arial" w:hAnsi="Arial"/>
                <w:sz w:val="18"/>
                <w:szCs w:val="18"/>
                <w:color w:val="auto"/>
              </w:rPr>
              <w:t>Market Yield (%)</w:t>
            </w:r>
          </w:p>
        </w:tc>
        <w:tc>
          <w:tcPr>
            <w:tcW w:w="1540" w:type="dxa"/>
            <w:vAlign w:val="bottom"/>
          </w:tcPr>
          <w:p>
            <w:pPr>
              <w:jc w:val="center"/>
              <w:spacing w:after="0" w:line="201" w:lineRule="exact"/>
              <w:rPr>
                <w:sz w:val="20"/>
                <w:szCs w:val="20"/>
                <w:color w:val="auto"/>
              </w:rPr>
            </w:pPr>
            <w:r>
              <w:rPr>
                <w:rFonts w:ascii="Arial" w:cs="Arial" w:eastAsia="Arial" w:hAnsi="Arial"/>
                <w:sz w:val="18"/>
                <w:szCs w:val="18"/>
                <w:color w:val="auto"/>
                <w:w w:val="90"/>
              </w:rPr>
              <w:t>11.5%</w:t>
            </w:r>
          </w:p>
        </w:tc>
        <w:tc>
          <w:tcPr>
            <w:tcW w:w="280" w:type="dxa"/>
            <w:vAlign w:val="bottom"/>
          </w:tcPr>
          <w:p>
            <w:pPr>
              <w:spacing w:after="0"/>
              <w:rPr>
                <w:sz w:val="17"/>
                <w:szCs w:val="17"/>
                <w:color w:val="auto"/>
              </w:rPr>
            </w:pPr>
          </w:p>
        </w:tc>
        <w:tc>
          <w:tcPr>
            <w:tcW w:w="136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90.5</w:t>
            </w:r>
          </w:p>
        </w:tc>
        <w:tc>
          <w:tcPr>
            <w:tcW w:w="280" w:type="dxa"/>
            <w:vAlign w:val="bottom"/>
          </w:tcPr>
          <w:p>
            <w:pPr>
              <w:spacing w:after="0"/>
              <w:rPr>
                <w:sz w:val="20"/>
                <w:szCs w:val="20"/>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90.5</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23,305</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14.0% - 42.5%</w:t>
            </w: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82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color w:val="auto"/>
                <w:w w:val="93"/>
              </w:rPr>
              <w:t>5.5x</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5.5x</w:t>
            </w:r>
          </w:p>
        </w:tc>
        <w:tc>
          <w:tcPr>
            <w:tcW w:w="0" w:type="dxa"/>
            <w:vAlign w:val="bottom"/>
          </w:tcPr>
          <w:p>
            <w:pPr>
              <w:spacing w:after="0"/>
              <w:rPr>
                <w:sz w:val="1"/>
                <w:szCs w:val="1"/>
                <w:color w:val="auto"/>
              </w:rPr>
            </w:pPr>
          </w:p>
        </w:tc>
      </w:tr>
      <w:tr>
        <w:trPr>
          <w:trHeight w:val="216"/>
        </w:trPr>
        <w:tc>
          <w:tcPr>
            <w:tcW w:w="2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8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9"/>
              </w:rPr>
              <w:t>89.0 – 101.0</w:t>
            </w: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20"/>
                <w:szCs w:val="20"/>
                <w:color w:val="auto"/>
              </w:rPr>
            </w:pPr>
            <w:r>
              <w:rPr>
                <w:rFonts w:ascii="Arial" w:cs="Arial" w:eastAsia="Arial" w:hAnsi="Arial"/>
                <w:sz w:val="18"/>
                <w:szCs w:val="18"/>
                <w:color w:val="auto"/>
              </w:rPr>
              <w:t>Unsecured notes</w:t>
            </w:r>
          </w:p>
        </w:tc>
        <w:tc>
          <w:tcPr>
            <w:tcW w:w="160" w:type="dxa"/>
            <w:vAlign w:val="bottom"/>
          </w:tcPr>
          <w:p>
            <w:pPr>
              <w:spacing w:after="0"/>
              <w:rPr>
                <w:sz w:val="18"/>
                <w:szCs w:val="18"/>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4,874</w:t>
            </w:r>
          </w:p>
        </w:tc>
        <w:tc>
          <w:tcPr>
            <w:tcW w:w="2340" w:type="dxa"/>
            <w:vAlign w:val="bottom"/>
            <w:gridSpan w:val="2"/>
          </w:tcPr>
          <w:p>
            <w:pPr>
              <w:spacing w:after="0"/>
              <w:rPr>
                <w:sz w:val="20"/>
                <w:szCs w:val="20"/>
                <w:color w:val="auto"/>
              </w:rPr>
            </w:pPr>
            <w:r>
              <w:rPr>
                <w:rFonts w:ascii="Arial" w:cs="Arial" w:eastAsia="Arial" w:hAnsi="Arial"/>
                <w:sz w:val="18"/>
                <w:szCs w:val="18"/>
                <w:color w:val="auto"/>
              </w:rPr>
              <w:t>Market Comparables</w:t>
            </w:r>
          </w:p>
        </w:tc>
        <w:tc>
          <w:tcPr>
            <w:tcW w:w="220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1540" w:type="dxa"/>
            <w:vAlign w:val="bottom"/>
          </w:tcPr>
          <w:p>
            <w:pPr>
              <w:jc w:val="center"/>
              <w:spacing w:after="0"/>
              <w:rPr>
                <w:sz w:val="20"/>
                <w:szCs w:val="20"/>
                <w:color w:val="auto"/>
              </w:rPr>
            </w:pPr>
            <w:r>
              <w:rPr>
                <w:rFonts w:ascii="Arial" w:cs="Arial" w:eastAsia="Arial" w:hAnsi="Arial"/>
                <w:sz w:val="18"/>
                <w:szCs w:val="18"/>
                <w:color w:val="auto"/>
                <w:w w:val="91"/>
              </w:rPr>
              <w:t>13.6% - 23.8%</w:t>
            </w:r>
          </w:p>
        </w:tc>
        <w:tc>
          <w:tcPr>
            <w:tcW w:w="280" w:type="dxa"/>
            <w:vAlign w:val="bottom"/>
          </w:tcPr>
          <w:p>
            <w:pPr>
              <w:spacing w:after="0"/>
              <w:rPr>
                <w:sz w:val="18"/>
                <w:szCs w:val="18"/>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02"/>
        </w:trPr>
        <w:tc>
          <w:tcPr>
            <w:tcW w:w="23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Structured finance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securities</w:t>
            </w:r>
          </w:p>
        </w:tc>
        <w:tc>
          <w:tcPr>
            <w:tcW w:w="16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25,517</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22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13.0%</w:t>
            </w:r>
          </w:p>
        </w:tc>
        <w:tc>
          <w:tcPr>
            <w:tcW w:w="28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30"/>
        </w:trPr>
        <w:tc>
          <w:tcPr>
            <w:tcW w:w="2300" w:type="dxa"/>
            <w:vAlign w:val="bottom"/>
          </w:tcPr>
          <w:p>
            <w:pPr>
              <w:spacing w:after="0"/>
              <w:rPr>
                <w:sz w:val="20"/>
                <w:szCs w:val="20"/>
                <w:color w:val="auto"/>
              </w:rPr>
            </w:pPr>
            <w:r>
              <w:rPr>
                <w:rFonts w:ascii="Arial" w:cs="Arial" w:eastAsia="Arial" w:hAnsi="Arial"/>
                <w:sz w:val="18"/>
                <w:szCs w:val="18"/>
                <w:color w:val="auto"/>
              </w:rPr>
              <w:t>Equity interests</w:t>
            </w:r>
          </w:p>
        </w:tc>
        <w:tc>
          <w:tcPr>
            <w:tcW w:w="16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8,021</w:t>
            </w:r>
          </w:p>
        </w:tc>
        <w:tc>
          <w:tcPr>
            <w:tcW w:w="2340" w:type="dxa"/>
            <w:vAlign w:val="bottom"/>
            <w:gridSpan w:val="2"/>
          </w:tcPr>
          <w:p>
            <w:pPr>
              <w:spacing w:after="0"/>
              <w:rPr>
                <w:sz w:val="20"/>
                <w:szCs w:val="20"/>
                <w:color w:val="auto"/>
              </w:rPr>
            </w:pPr>
            <w:r>
              <w:rPr>
                <w:rFonts w:ascii="Arial" w:cs="Arial" w:eastAsia="Arial" w:hAnsi="Arial"/>
                <w:sz w:val="18"/>
                <w:szCs w:val="18"/>
                <w:color w:val="auto"/>
              </w:rPr>
              <w:t>Market Comparables</w:t>
            </w:r>
          </w:p>
        </w:tc>
        <w:tc>
          <w:tcPr>
            <w:tcW w:w="2200" w:type="dxa"/>
            <w:vAlign w:val="bottom"/>
            <w:gridSpan w:val="2"/>
          </w:tcPr>
          <w:p>
            <w:pPr>
              <w:spacing w:after="0"/>
              <w:rPr>
                <w:sz w:val="20"/>
                <w:szCs w:val="20"/>
                <w:color w:val="auto"/>
              </w:rPr>
            </w:pPr>
            <w:r>
              <w:rPr>
                <w:rFonts w:ascii="Arial" w:cs="Arial" w:eastAsia="Arial" w:hAnsi="Arial"/>
                <w:sz w:val="18"/>
                <w:szCs w:val="18"/>
                <w:color w:val="auto"/>
              </w:rPr>
              <w:t>EBITDA Multiples (x)</w:t>
            </w:r>
          </w:p>
        </w:tc>
        <w:tc>
          <w:tcPr>
            <w:tcW w:w="1820" w:type="dxa"/>
            <w:vAlign w:val="bottom"/>
            <w:gridSpan w:val="2"/>
          </w:tcPr>
          <w:p>
            <w:pPr>
              <w:jc w:val="center"/>
              <w:ind w:right="260"/>
              <w:spacing w:after="0"/>
              <w:rPr>
                <w:sz w:val="20"/>
                <w:szCs w:val="20"/>
                <w:color w:val="auto"/>
              </w:rPr>
            </w:pPr>
            <w:r>
              <w:rPr>
                <w:rFonts w:ascii="Arial" w:cs="Arial" w:eastAsia="Arial" w:hAnsi="Arial"/>
                <w:sz w:val="18"/>
                <w:szCs w:val="18"/>
                <w:color w:val="auto"/>
                <w:w w:val="90"/>
              </w:rPr>
              <w:t>3.0x – 8.9x</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6.6x</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the Company’s investments as of November 30, 2013, at amortized cost and fair value were as follows (dollars in thousands):</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5"/>
              </w:rPr>
              <w:t>Investments at</w:t>
            </w:r>
          </w:p>
        </w:tc>
        <w:tc>
          <w:tcPr>
            <w:tcW w:w="1600" w:type="dxa"/>
            <w:vAlign w:val="bottom"/>
            <w:gridSpan w:val="2"/>
          </w:tcPr>
          <w:p>
            <w:pPr>
              <w:jc w:val="center"/>
              <w:ind w:right="190"/>
              <w:spacing w:after="0"/>
              <w:rPr>
                <w:sz w:val="20"/>
                <w:szCs w:val="20"/>
                <w:color w:val="auto"/>
              </w:rPr>
            </w:pPr>
            <w:r>
              <w:rPr>
                <w:rFonts w:ascii="Arial" w:cs="Arial" w:eastAsia="Arial" w:hAnsi="Arial"/>
                <w:sz w:val="14"/>
                <w:szCs w:val="14"/>
                <w:b w:val="1"/>
                <w:bCs w:val="1"/>
                <w:color w:val="auto"/>
                <w:w w:val="92"/>
              </w:rPr>
              <w:t>Amortized Cost</w:t>
            </w:r>
          </w:p>
        </w:tc>
        <w:tc>
          <w:tcPr>
            <w:tcW w:w="140" w:type="dxa"/>
            <w:vAlign w:val="bottom"/>
          </w:tcPr>
          <w:p>
            <w:pPr>
              <w:spacing w:after="0"/>
              <w:rPr>
                <w:sz w:val="14"/>
                <w:szCs w:val="14"/>
                <w:color w:val="auto"/>
              </w:rPr>
            </w:pP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Investments at</w:t>
            </w:r>
          </w:p>
        </w:tc>
        <w:tc>
          <w:tcPr>
            <w:tcW w:w="14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0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4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4"/>
              </w:rPr>
              <w:t>Amortized Cost</w:t>
            </w:r>
          </w:p>
        </w:tc>
        <w:tc>
          <w:tcPr>
            <w:tcW w:w="2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1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36,985</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37,381</w:t>
            </w:r>
          </w:p>
        </w:tc>
        <w:tc>
          <w:tcPr>
            <w:tcW w:w="28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First lien term loans</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71,182</w:t>
            </w: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36.1</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70,637</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27,507</w:t>
            </w:r>
          </w:p>
        </w:tc>
        <w:tc>
          <w:tcPr>
            <w:tcW w:w="1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14.0</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27,724</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Senior secured notes</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31,257</w:t>
            </w: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15.9</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29,920</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15.1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6,924</w:t>
            </w:r>
          </w:p>
        </w:tc>
        <w:tc>
          <w:tcPr>
            <w:tcW w:w="1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5,379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16,556</w:t>
            </w: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8.4</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19,019</w:t>
            </w: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9.6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6,468</w:t>
            </w:r>
          </w:p>
        </w:tc>
        <w:tc>
          <w:tcPr>
            <w:tcW w:w="16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3.3</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8,719</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900" w:type="dxa"/>
            <w:vAlign w:val="bottom"/>
          </w:tcPr>
          <w:p>
            <w:pPr>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196,879</w:t>
            </w:r>
          </w:p>
        </w:tc>
        <w:tc>
          <w:tcPr>
            <w:tcW w:w="280" w:type="dxa"/>
            <w:vAlign w:val="bottom"/>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198,779</w:t>
            </w:r>
          </w:p>
        </w:tc>
        <w:tc>
          <w:tcPr>
            <w:tcW w:w="280" w:type="dxa"/>
            <w:vAlign w:val="bottom"/>
          </w:tcPr>
          <w:p>
            <w:pPr>
              <w:spacing w:after="0"/>
              <w:rPr>
                <w:sz w:val="19"/>
                <w:szCs w:val="19"/>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composition of the Company’s investments as of February 28, 2013, at amortized cost and fair value were as follows (dollars in thousands):</w:t>
      </w:r>
    </w:p>
    <w:p>
      <w:pPr>
        <w:spacing w:after="0" w:line="227" w:lineRule="exact"/>
        <w:rPr>
          <w:sz w:val="20"/>
          <w:szCs w:val="20"/>
          <w:color w:val="auto"/>
        </w:rPr>
      </w:pPr>
    </w:p>
    <w:tbl>
      <w:tblPr>
        <w:tblLayout w:type="fixed"/>
        <w:tblInd w:w="980" w:type="dxa"/>
        <w:tblCellMar>
          <w:top w:w="0" w:type="dxa"/>
          <w:left w:w="0" w:type="dxa"/>
          <w:bottom w:w="0" w:type="dxa"/>
          <w:right w:w="0" w:type="dxa"/>
        </w:tblCellMar>
      </w:tblPr>
      <w:tr>
        <w:trPr>
          <w:trHeight w:val="161"/>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w w:val="95"/>
              </w:rPr>
              <w:t>Investments at</w:t>
            </w:r>
          </w:p>
        </w:tc>
        <w:tc>
          <w:tcPr>
            <w:tcW w:w="1740" w:type="dxa"/>
            <w:vAlign w:val="bottom"/>
            <w:gridSpan w:val="3"/>
          </w:tcPr>
          <w:p>
            <w:pPr>
              <w:jc w:val="center"/>
              <w:ind w:right="345"/>
              <w:spacing w:after="0"/>
              <w:rPr>
                <w:sz w:val="20"/>
                <w:szCs w:val="20"/>
                <w:color w:val="auto"/>
              </w:rPr>
            </w:pPr>
            <w:r>
              <w:rPr>
                <w:rFonts w:ascii="Arial" w:cs="Arial" w:eastAsia="Arial" w:hAnsi="Arial"/>
                <w:sz w:val="14"/>
                <w:szCs w:val="14"/>
                <w:b w:val="1"/>
                <w:bCs w:val="1"/>
                <w:color w:val="auto"/>
                <w:w w:val="92"/>
              </w:rPr>
              <w:t>Amortized Cost</w:t>
            </w:r>
          </w:p>
        </w:tc>
        <w:tc>
          <w:tcPr>
            <w:tcW w:w="14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Investments at</w:t>
            </w:r>
          </w:p>
        </w:tc>
        <w:tc>
          <w:tcPr>
            <w:tcW w:w="14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40" w:type="dxa"/>
            <w:vAlign w:val="bottom"/>
            <w:gridSpan w:val="3"/>
          </w:tcPr>
          <w:p>
            <w:pPr>
              <w:jc w:val="center"/>
              <w:ind w:right="345"/>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1440" w:type="dxa"/>
            <w:vAlign w:val="bottom"/>
            <w:gridSpan w:val="2"/>
            <w:vMerge w:val="continue"/>
          </w:tcPr>
          <w:p>
            <w:pPr>
              <w:spacing w:after="0"/>
              <w:rPr>
                <w:sz w:val="12"/>
                <w:szCs w:val="12"/>
                <w:color w:val="auto"/>
              </w:rPr>
            </w:pPr>
          </w:p>
        </w:tc>
        <w:tc>
          <w:tcPr>
            <w:tcW w:w="14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71"/>
        </w:trPr>
        <w:tc>
          <w:tcPr>
            <w:tcW w:w="29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4"/>
              </w:rPr>
              <w:t>Amortized Cost</w:t>
            </w:r>
          </w:p>
        </w:tc>
        <w:tc>
          <w:tcPr>
            <w:tcW w:w="280" w:type="dxa"/>
            <w:vAlign w:val="bottom"/>
            <w:tcBorders>
              <w:bottom w:val="single" w:sz="8" w:color="CCEEFF"/>
            </w:tcBorders>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Total Portfolio</w:t>
            </w:r>
          </w:p>
        </w:tc>
        <w:tc>
          <w:tcPr>
            <w:tcW w:w="2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Fair Value</w:t>
            </w:r>
          </w:p>
        </w:tc>
        <w:tc>
          <w:tcPr>
            <w:tcW w:w="280" w:type="dxa"/>
            <w:vAlign w:val="bottom"/>
            <w:tcBorders>
              <w:bottom w:val="single" w:sz="8" w:color="CCEEFF"/>
            </w:tcBorders>
          </w:tcPr>
          <w:p>
            <w:pPr>
              <w:spacing w:after="0"/>
              <w:rPr>
                <w:sz w:val="14"/>
                <w:szCs w:val="14"/>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1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First lien term loans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83,886</w:t>
            </w:r>
          </w:p>
        </w:tc>
        <w:tc>
          <w:tcPr>
            <w:tcW w:w="2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56.2%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83,792</w:t>
            </w:r>
          </w:p>
        </w:tc>
        <w:tc>
          <w:tcPr>
            <w:tcW w:w="2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Second lien term loans</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9,473</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6.3</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9,571</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notes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24,619</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23,305</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16"/>
        </w:trPr>
        <w:tc>
          <w:tcPr>
            <w:tcW w:w="2900" w:type="dxa"/>
            <w:vAlign w:val="bottom"/>
          </w:tcPr>
          <w:p>
            <w:pPr>
              <w:spacing w:after="0"/>
              <w:rPr>
                <w:sz w:val="20"/>
                <w:szCs w:val="20"/>
                <w:color w:val="auto"/>
              </w:rPr>
            </w:pPr>
            <w:r>
              <w:rPr>
                <w:rFonts w:ascii="Arial" w:cs="Arial" w:eastAsia="Arial" w:hAnsi="Arial"/>
                <w:sz w:val="18"/>
                <w:szCs w:val="18"/>
                <w:color w:val="auto"/>
              </w:rPr>
              <w:t>Unsecured notes</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6,758</w:t>
            </w:r>
          </w:p>
        </w:tc>
        <w:tc>
          <w:tcPr>
            <w:tcW w:w="1600" w:type="dxa"/>
            <w:vAlign w:val="bottom"/>
            <w:gridSpan w:val="2"/>
          </w:tcPr>
          <w:p>
            <w:pPr>
              <w:jc w:val="right"/>
              <w:ind w:right="280"/>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4,874</w:t>
            </w:r>
          </w:p>
        </w:tc>
        <w:tc>
          <w:tcPr>
            <w:tcW w:w="1460" w:type="dxa"/>
            <w:vAlign w:val="bottom"/>
            <w:gridSpan w:val="2"/>
          </w:tcPr>
          <w:p>
            <w:pPr>
              <w:jc w:val="right"/>
              <w:ind w:right="16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18,945</w:t>
            </w:r>
          </w:p>
        </w:tc>
        <w:tc>
          <w:tcPr>
            <w:tcW w:w="1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25,517</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ectPr>
          <w:pgSz w:w="11900" w:h="16838" w:orient="portrait"/>
          <w:cols w:equalWidth="0" w:num="1">
            <w:col w:w="11420"/>
          </w:cols>
          <w:pgMar w:left="240" w:top="125" w:right="239" w:bottom="0" w:gutter="0" w:footer="0" w:header="0"/>
        </w:sectPr>
      </w:pPr>
    </w:p>
    <w:bookmarkStart w:id="13" w:name="page14"/>
    <w:bookmarkEnd w:id="13"/>
    <w:p>
      <w:pPr>
        <w:spacing w:after="0" w:line="1" w:lineRule="exact"/>
        <w:rPr>
          <w:sz w:val="20"/>
          <w:szCs w:val="20"/>
          <w:color w:val="auto"/>
        </w:rPr>
      </w:pPr>
    </w:p>
    <w:tbl>
      <w:tblPr>
        <w:tblLayout w:type="fixed"/>
        <w:tblInd w:w="980" w:type="dxa"/>
        <w:tblCellMar>
          <w:top w:w="0" w:type="dxa"/>
          <w:left w:w="0" w:type="dxa"/>
          <w:bottom w:w="0" w:type="dxa"/>
          <w:right w:w="0" w:type="dxa"/>
        </w:tblCellMar>
      </w:tblPr>
      <w:tr>
        <w:trPr>
          <w:trHeight w:val="230"/>
        </w:trPr>
        <w:tc>
          <w:tcPr>
            <w:tcW w:w="2900" w:type="dxa"/>
            <w:vAlign w:val="bottom"/>
          </w:tcPr>
          <w:p>
            <w:pPr>
              <w:spacing w:after="0"/>
              <w:rPr>
                <w:sz w:val="20"/>
                <w:szCs w:val="20"/>
                <w:color w:val="auto"/>
              </w:rPr>
            </w:pPr>
            <w:r>
              <w:rPr>
                <w:rFonts w:ascii="Arial" w:cs="Arial" w:eastAsia="Arial" w:hAnsi="Arial"/>
                <w:sz w:val="18"/>
                <w:szCs w:val="18"/>
                <w:color w:val="auto"/>
              </w:rPr>
              <w:t>Equity interest</w:t>
            </w:r>
          </w:p>
        </w:tc>
        <w:tc>
          <w:tcPr>
            <w:tcW w:w="4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5,729</w:t>
            </w:r>
          </w:p>
        </w:tc>
        <w:tc>
          <w:tcPr>
            <w:tcW w:w="1600" w:type="dxa"/>
            <w:vAlign w:val="bottom"/>
            <w:gridSpan w:val="2"/>
          </w:tcPr>
          <w:p>
            <w:pPr>
              <w:jc w:val="right"/>
              <w:ind w:right="190"/>
              <w:spacing w:after="0"/>
              <w:rPr>
                <w:sz w:val="20"/>
                <w:szCs w:val="20"/>
                <w:color w:val="auto"/>
              </w:rPr>
            </w:pPr>
            <w:r>
              <w:rPr>
                <w:rFonts w:ascii="Arial" w:cs="Arial" w:eastAsia="Arial" w:hAnsi="Arial"/>
                <w:sz w:val="18"/>
                <w:szCs w:val="18"/>
                <w:color w:val="auto"/>
              </w:rPr>
              <w:t>3.8</w:t>
            </w:r>
          </w:p>
        </w:tc>
        <w:tc>
          <w:tcPr>
            <w:tcW w:w="400" w:type="dxa"/>
            <w:vAlign w:val="bottom"/>
          </w:tcPr>
          <w:p>
            <w:pPr>
              <w:spacing w:after="0"/>
              <w:rPr>
                <w:sz w:val="20"/>
                <w:szCs w:val="20"/>
                <w:color w:val="auto"/>
              </w:rPr>
            </w:pPr>
          </w:p>
        </w:tc>
        <w:tc>
          <w:tcPr>
            <w:tcW w:w="1180" w:type="dxa"/>
            <w:vAlign w:val="bottom"/>
            <w:gridSpan w:val="2"/>
          </w:tcPr>
          <w:p>
            <w:pPr>
              <w:jc w:val="right"/>
              <w:ind w:right="280"/>
              <w:spacing w:after="0"/>
              <w:rPr>
                <w:sz w:val="20"/>
                <w:szCs w:val="20"/>
                <w:color w:val="auto"/>
              </w:rPr>
            </w:pPr>
            <w:r>
              <w:rPr>
                <w:rFonts w:ascii="Arial" w:cs="Arial" w:eastAsia="Arial" w:hAnsi="Arial"/>
                <w:sz w:val="18"/>
                <w:szCs w:val="18"/>
                <w:color w:val="auto"/>
              </w:rPr>
              <w:t>8,021</w:t>
            </w:r>
          </w:p>
        </w:tc>
        <w:tc>
          <w:tcPr>
            <w:tcW w:w="1460" w:type="dxa"/>
            <w:vAlign w:val="bottom"/>
            <w:gridSpan w:val="2"/>
          </w:tcPr>
          <w:p>
            <w:pPr>
              <w:jc w:val="right"/>
              <w:ind w:right="70"/>
              <w:spacing w:after="0"/>
              <w:rPr>
                <w:sz w:val="20"/>
                <w:szCs w:val="20"/>
                <w:color w:val="auto"/>
              </w:rPr>
            </w:pPr>
            <w:r>
              <w:rPr>
                <w:rFonts w:ascii="Arial" w:cs="Arial" w:eastAsia="Arial" w:hAnsi="Arial"/>
                <w:sz w:val="18"/>
                <w:szCs w:val="18"/>
                <w:color w:val="auto"/>
              </w:rPr>
              <w:t>5.2</w:t>
            </w:r>
          </w:p>
        </w:tc>
      </w:tr>
      <w:tr>
        <w:trPr>
          <w:trHeight w:val="223"/>
        </w:trPr>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149,410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4"/>
              </w:rPr>
              <w:t>%</w:t>
            </w:r>
          </w:p>
        </w:tc>
        <w:tc>
          <w:tcPr>
            <w:tcW w:w="400" w:type="dxa"/>
            <w:vAlign w:val="bottom"/>
            <w:tcBorders>
              <w:top w:val="single" w:sz="8" w:color="auto"/>
              <w:bottom w:val="single" w:sz="8" w:color="auto"/>
            </w:tcBorders>
            <w:shd w:val="clear" w:color="auto" w:fill="CCEEFF"/>
          </w:tcPr>
          <w:p>
            <w:pPr>
              <w:jc w:val="right"/>
              <w:ind w:right="245"/>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0"/>
        </w:trPr>
        <w:tc>
          <w:tcPr>
            <w:tcW w:w="2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right="80" w:firstLine="648"/>
        <w:spacing w:after="0" w:line="270" w:lineRule="auto"/>
        <w:rPr>
          <w:sz w:val="20"/>
          <w:szCs w:val="20"/>
          <w:color w:val="auto"/>
        </w:rPr>
      </w:pPr>
      <w:r>
        <w:rPr>
          <w:rFonts w:ascii="Arial" w:cs="Arial" w:eastAsia="Arial" w:hAnsi="Arial"/>
          <w:sz w:val="17"/>
          <w:szCs w:val="17"/>
          <w:color w:val="auto"/>
        </w:rPr>
        <w:t>For equity securities of portfolio companies,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78"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For the quarter ended November 30, 2013, in connection with the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flows analysis on expected future cash flows to determine a valuation for our investment in Saratoga CLO at November 30, 2013. The significant inputs for the valuation model include: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Recovery rates: 35-75%</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Prepayment rate: 25.0%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Reinvestment rate / price: L+375bps / $99.75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229" w:lineRule="exact"/>
        <w:rPr>
          <w:sz w:val="20"/>
          <w:szCs w:val="20"/>
          <w:color w:val="auto"/>
        </w:rPr>
      </w:pPr>
    </w:p>
    <w:p>
      <w:pPr>
        <w:ind w:firstLine="648"/>
        <w:spacing w:after="0" w:line="289" w:lineRule="auto"/>
        <w:rPr>
          <w:sz w:val="20"/>
          <w:szCs w:val="20"/>
          <w:color w:val="auto"/>
        </w:rPr>
      </w:pPr>
      <w:r>
        <w:rPr>
          <w:rFonts w:ascii="Arial" w:cs="Arial" w:eastAsia="Arial" w:hAnsi="Arial"/>
          <w:sz w:val="16"/>
          <w:szCs w:val="16"/>
          <w:color w:val="auto"/>
        </w:rPr>
        <w:t>On January 22, 2008, we invested $30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refinanced in October 2013 and its reinvestment period ends in October 2016. The Saratoga CLO remains 100% owned and managed by Saratoga Investment Corp. We receive a senior collateral management fee of 0.25% and a subordinate collateral management fee of 0.25% of the outstanding principal amount of Saratoga CLO’s assets, paid quarterly to the extent of available proceeds. We are also entitled to an incentive management fee equal to 20.0% of excess cash flow to the extent the Saratoga CLO subordinated notes receive an internal rate of return equal to or greater than 12.0%. For the nine months ended November 30, 2013 and November 30, 2012, we accrued $1.4 million and $1.5 million in management fee income, respectively, and $2.8 million and $3.2 million in interest income, respectively, from Saratoga CLO. We did not accrue any amounts related to the incentive management fee as the 12.0% hurdle rate has not yet been achieved.</w:t>
      </w:r>
    </w:p>
    <w:p>
      <w:pPr>
        <w:spacing w:after="0" w:line="167" w:lineRule="exact"/>
        <w:rPr>
          <w:sz w:val="20"/>
          <w:szCs w:val="20"/>
          <w:color w:val="auto"/>
        </w:rPr>
      </w:pPr>
    </w:p>
    <w:p>
      <w:pPr>
        <w:ind w:right="120" w:firstLine="648"/>
        <w:spacing w:after="0" w:line="288" w:lineRule="auto"/>
        <w:rPr>
          <w:sz w:val="20"/>
          <w:szCs w:val="20"/>
          <w:color w:val="auto"/>
        </w:rPr>
      </w:pPr>
      <w:r>
        <w:rPr>
          <w:rFonts w:ascii="Arial" w:cs="Arial" w:eastAsia="Arial" w:hAnsi="Arial"/>
          <w:sz w:val="16"/>
          <w:szCs w:val="16"/>
          <w:color w:val="auto"/>
        </w:rPr>
        <w:t>At November 30, 2013, the Company determined that the fair value of its investment in the subordinated notes of Saratoga CLO was $19.0 million. The Company determines the fair value of its investment in the subordinated notes of Saratoga CLO based on the present value of the projected future cash flows of the subordinated notes over the life of Saratoga CLO. At November 30, 2013, Saratoga CLO had investments with a principal balance of</w:t>
      </w:r>
    </w:p>
    <w:p>
      <w:pPr>
        <w:ind w:right="120"/>
        <w:spacing w:after="0" w:line="253" w:lineRule="auto"/>
        <w:rPr>
          <w:sz w:val="20"/>
          <w:szCs w:val="20"/>
          <w:color w:val="auto"/>
        </w:rPr>
      </w:pPr>
      <w:r>
        <w:rPr>
          <w:rFonts w:ascii="Arial" w:cs="Arial" w:eastAsia="Arial" w:hAnsi="Arial"/>
          <w:sz w:val="18"/>
          <w:szCs w:val="18"/>
          <w:color w:val="auto"/>
        </w:rPr>
        <w:t>$300.6 million and a weighted average spread over LIBOR of 4.2%, and had debt with a principal balance of $284.9 million with a weighted average spread over LIBOR of 1.8%. As a result, Saratoga CLO earns a “spread” between the interest income it receives on its investments and the interest expense it pays on its debt and other operating expenses, which is distributed quarterly to the Company as the holder of its subordinated notes. At November 30, 2013, the total “spread”, or projected future cash flows of the subordinated notes, over the life of Saratoga CLO was $24.8 million, which had a present value of approximately $19.3 million, using a 10.0% discount rate.</w:t>
      </w:r>
    </w:p>
    <w:p>
      <w:pPr>
        <w:spacing w:after="0" w:line="19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Below is certain financial information from the separate unaudited financial statements of Saratoga CLO as of November 30, 2013 and February 28, 2013 and for the three and nine months ended November 30, 2013 and November 30, 2012.</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ectPr>
          <w:pgSz w:w="11900" w:h="16838" w:orient="portrait"/>
          <w:cols w:equalWidth="0" w:num="1">
            <w:col w:w="11400"/>
          </w:cols>
          <w:pgMar w:left="240" w:top="125" w:right="259" w:bottom="0" w:gutter="0" w:footer="0" w:header="0"/>
        </w:sectPr>
      </w:pPr>
    </w:p>
    <w:bookmarkStart w:id="14" w:name="page15"/>
    <w:bookmarkEnd w:id="14"/>
    <w:p>
      <w:pPr>
        <w:spacing w:after="0" w:line="1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As of</w:t>
            </w:r>
          </w:p>
        </w:tc>
        <w:tc>
          <w:tcPr>
            <w:tcW w:w="20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20" w:type="dxa"/>
            <w:vAlign w:val="bottom"/>
            <w:gridSpan w:val="2"/>
          </w:tcPr>
          <w:p>
            <w:pPr>
              <w:jc w:val="right"/>
              <w:ind w:right="560"/>
              <w:spacing w:after="0" w:line="142" w:lineRule="exact"/>
              <w:rPr>
                <w:sz w:val="20"/>
                <w:szCs w:val="20"/>
                <w:color w:val="auto"/>
              </w:rPr>
            </w:pPr>
            <w:r>
              <w:rPr>
                <w:rFonts w:ascii="Arial" w:cs="Arial" w:eastAsia="Arial" w:hAnsi="Arial"/>
                <w:sz w:val="14"/>
                <w:szCs w:val="14"/>
                <w:b w:val="1"/>
                <w:bCs w:val="1"/>
                <w:color w:val="auto"/>
                <w:w w:val="97"/>
              </w:rPr>
              <w:t>November 30, 2013</w:t>
            </w:r>
          </w:p>
        </w:tc>
        <w:tc>
          <w:tcPr>
            <w:tcW w:w="200" w:type="dxa"/>
            <w:vAlign w:val="bottom"/>
          </w:tcPr>
          <w:p>
            <w:pPr>
              <w:spacing w:after="0"/>
              <w:rPr>
                <w:sz w:val="12"/>
                <w:szCs w:val="12"/>
                <w:color w:val="auto"/>
              </w:rPr>
            </w:pPr>
          </w:p>
        </w:tc>
        <w:tc>
          <w:tcPr>
            <w:tcW w:w="1500" w:type="dxa"/>
            <w:vAlign w:val="bottom"/>
          </w:tcPr>
          <w:p>
            <w:pPr>
              <w:jc w:val="right"/>
              <w:ind w:right="210"/>
              <w:spacing w:after="0" w:line="142" w:lineRule="exact"/>
              <w:rPr>
                <w:sz w:val="20"/>
                <w:szCs w:val="20"/>
                <w:color w:val="auto"/>
              </w:rPr>
            </w:pPr>
            <w:r>
              <w:rPr>
                <w:rFonts w:ascii="Arial" w:cs="Arial" w:eastAsia="Arial" w:hAnsi="Arial"/>
                <w:sz w:val="14"/>
                <w:szCs w:val="14"/>
                <w:b w:val="1"/>
                <w:bCs w:val="1"/>
                <w:color w:val="auto"/>
                <w:w w:val="99"/>
              </w:rPr>
              <w:t>February 28, 2013</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520" w:type="dxa"/>
            <w:vAlign w:val="bottom"/>
            <w:tcBorders>
              <w:top w:val="single" w:sz="8" w:color="auto"/>
            </w:tcBorders>
          </w:tcPr>
          <w:p>
            <w:pPr>
              <w:jc w:val="right"/>
              <w:ind w:right="411"/>
              <w:spacing w:after="0" w:line="142" w:lineRule="exact"/>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5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Fair Value Loans</w:t>
            </w:r>
          </w:p>
        </w:tc>
        <w:tc>
          <w:tcPr>
            <w:tcW w:w="7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299,763,643</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362,494,006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Fair Value Other/Structured finance securities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11,925,973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Total investments at fair value</w:t>
            </w:r>
          </w:p>
        </w:tc>
        <w:tc>
          <w:tcPr>
            <w:tcW w:w="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299,763,643</w:t>
            </w:r>
          </w:p>
        </w:tc>
        <w:tc>
          <w:tcPr>
            <w:tcW w:w="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374,419,979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15,744,170</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28,804,871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Receivable from open trades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503,125</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5,131,538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1,635,813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1,584,985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Other assets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84,909</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Deferred bond issuance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2,222,893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2,092,787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assets</w:t>
            </w:r>
          </w:p>
        </w:tc>
        <w:tc>
          <w:tcPr>
            <w:tcW w:w="6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319,954,553</w:t>
            </w:r>
          </w:p>
        </w:tc>
        <w:tc>
          <w:tcPr>
            <w:tcW w:w="3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412,034,160</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LIABILITIES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Interest payable</w:t>
            </w:r>
          </w:p>
        </w:tc>
        <w:tc>
          <w:tcPr>
            <w:tcW w:w="7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728,357</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666,121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Payable from open trades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15,430,312</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16,346,250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72,927</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Accrued senior collateral monitoring fee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83,341</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43,171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Accrued subordinate collateral monitoring fee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83,341</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172,682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Class A notes - GSCIC CLO 2007,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296,000,000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Class B notes - GSCIC CLO 2007,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22,000,000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B notes - GSCIC CLO 2007,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(417,011)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Class C notes - GSCIC CLO 2007,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14,000,000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Class D notes - GSCIC CLO 2007,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Discount on class D notes - GSCIC CLO 2007,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(441,136)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Class E notes - GSCIC CLO 2007,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17,960,044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Discount on class E notes - GSCIC CLO 2007,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(1,134,778)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Class X Notes - SIC CLO 2013-1,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Class A-1 Notes - SIC CLO 2013-1,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170,000,000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A-1 Notes - SIC CLO 2013-1,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(1,715,276)</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Class A-2 Notes - SIC CLO 2013-1,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20,000,000</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A-2 Notes - SIC CLO 2013-1,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(177,800)</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Class B Notes - SIC CLO 2013-1,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44,800,000</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B Notes - SIC CLO 2013-1,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(1,154,989)</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Class C Notes - SIC CLO 2013-1,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16,000,000</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C Notes - SIC CLO 2013-1,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(719,102)</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Class D Notes - SIC CLO 2013-1,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14,000,000</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D Notes - SIC CLO 2013-1,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(933,450)</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Class E Notes - SIC CLO 2013-1,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13,100,000</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E Notes - SIC CLO 2013-1,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(1,759,825)</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Class F Notes - SIC CLO 2013-1, Ltd.</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4,500,000</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Discount on Class F Notes - SIC CLO 2013-1, Ltd.</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(640,080)</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Subordinated Notes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30,000,000</w:t>
            </w:r>
          </w:p>
        </w:tc>
        <w:tc>
          <w:tcPr>
            <w:tcW w:w="20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30,000,000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liabilities</w:t>
            </w:r>
          </w:p>
        </w:tc>
        <w:tc>
          <w:tcPr>
            <w:tcW w:w="6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324,197,756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411,195,343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0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0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7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Ordinary equity, par value $1.00, 250 ordinary shares authorized, 250 and 250 issued and</w:t>
            </w:r>
          </w:p>
        </w:tc>
        <w:tc>
          <w:tcPr>
            <w:tcW w:w="6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outstanding, respectively</w:t>
            </w:r>
          </w:p>
        </w:tc>
        <w:tc>
          <w:tcPr>
            <w:tcW w:w="78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250</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Accumulated gain (loss)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300"/>
              <w:spacing w:after="0"/>
              <w:rPr>
                <w:sz w:val="20"/>
                <w:szCs w:val="20"/>
                <w:color w:val="auto"/>
              </w:rPr>
            </w:pPr>
            <w:r>
              <w:rPr>
                <w:rFonts w:ascii="Arial" w:cs="Arial" w:eastAsia="Arial" w:hAnsi="Arial"/>
                <w:sz w:val="18"/>
                <w:szCs w:val="18"/>
                <w:color w:val="auto"/>
              </w:rPr>
              <w:t>838,567</w:t>
            </w:r>
          </w:p>
        </w:tc>
        <w:tc>
          <w:tcPr>
            <w:tcW w:w="200" w:type="dxa"/>
            <w:vAlign w:val="bottom"/>
          </w:tcPr>
          <w:p>
            <w:pPr>
              <w:spacing w:after="0"/>
              <w:rPr>
                <w:sz w:val="18"/>
                <w:szCs w:val="18"/>
                <w:color w:val="auto"/>
              </w:rPr>
            </w:pPr>
          </w:p>
        </w:tc>
        <w:tc>
          <w:tcPr>
            <w:tcW w:w="1600" w:type="dxa"/>
            <w:vAlign w:val="bottom"/>
            <w:gridSpan w:val="2"/>
          </w:tcPr>
          <w:p>
            <w:pPr>
              <w:jc w:val="right"/>
              <w:ind w:right="40"/>
              <w:spacing w:after="0"/>
              <w:rPr>
                <w:sz w:val="20"/>
                <w:szCs w:val="20"/>
                <w:color w:val="auto"/>
              </w:rPr>
            </w:pPr>
            <w:r>
              <w:rPr>
                <w:rFonts w:ascii="Arial" w:cs="Arial" w:eastAsia="Arial" w:hAnsi="Arial"/>
                <w:sz w:val="18"/>
                <w:szCs w:val="18"/>
                <w:color w:val="auto"/>
              </w:rPr>
              <w:t>(5,963,092)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(5,082,020)</w:t>
            </w:r>
          </w:p>
        </w:tc>
        <w:tc>
          <w:tcPr>
            <w:tcW w:w="20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6,801,659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0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Total Net Assets</w:t>
            </w:r>
          </w:p>
        </w:tc>
        <w:tc>
          <w:tcPr>
            <w:tcW w:w="6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(4,243,203)</w:t>
            </w:r>
          </w:p>
        </w:tc>
        <w:tc>
          <w:tcPr>
            <w:tcW w:w="3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838,817</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0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78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319,954,553</w:t>
            </w:r>
          </w:p>
        </w:tc>
        <w:tc>
          <w:tcPr>
            <w:tcW w:w="3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600" w:type="dxa"/>
            <w:vAlign w:val="bottom"/>
            <w:gridSpan w:val="2"/>
          </w:tcPr>
          <w:p>
            <w:pPr>
              <w:jc w:val="right"/>
              <w:ind w:right="100"/>
              <w:spacing w:after="0"/>
              <w:rPr>
                <w:sz w:val="20"/>
                <w:szCs w:val="20"/>
                <w:color w:val="auto"/>
              </w:rPr>
            </w:pPr>
            <w:r>
              <w:rPr>
                <w:rFonts w:ascii="Arial" w:cs="Arial" w:eastAsia="Arial" w:hAnsi="Arial"/>
                <w:sz w:val="18"/>
                <w:szCs w:val="18"/>
                <w:color w:val="auto"/>
              </w:rPr>
              <w:t>412,034,160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jc w:val="right"/>
              <w:ind w:right="1130"/>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020" w:type="dxa"/>
            <w:vAlign w:val="bottom"/>
            <w:gridSpan w:val="2"/>
            <w:vMerge w:val="continue"/>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700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80" w:type="dxa"/>
            <w:vAlign w:val="bottom"/>
            <w:tcBorders>
              <w:bottom w:val="single" w:sz="8" w:color="010101"/>
            </w:tcBorders>
          </w:tcPr>
          <w:p>
            <w:pPr>
              <w:spacing w:after="0"/>
              <w:rPr>
                <w:sz w:val="11"/>
                <w:szCs w:val="11"/>
                <w:color w:val="auto"/>
              </w:rPr>
            </w:pPr>
          </w:p>
        </w:tc>
        <w:tc>
          <w:tcPr>
            <w:tcW w:w="152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1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5000" w:type="dxa"/>
        <w:tblCellMar>
          <w:top w:w="0" w:type="dxa"/>
          <w:left w:w="0" w:type="dxa"/>
          <w:bottom w:w="0" w:type="dxa"/>
          <w:right w:w="0" w:type="dxa"/>
        </w:tblCellMar>
      </w:tblPr>
      <w:tr>
        <w:trPr>
          <w:trHeight w:val="161"/>
        </w:trPr>
        <w:tc>
          <w:tcPr>
            <w:tcW w:w="332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w:t>
            </w:r>
          </w:p>
        </w:tc>
        <w:tc>
          <w:tcPr>
            <w:tcW w:w="3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71"/>
        </w:trPr>
        <w:tc>
          <w:tcPr>
            <w:tcW w:w="960" w:type="dxa"/>
            <w:vAlign w:val="bottom"/>
          </w:tcPr>
          <w:p>
            <w:pPr>
              <w:spacing w:after="0"/>
              <w:rPr>
                <w:sz w:val="14"/>
                <w:szCs w:val="14"/>
                <w:color w:val="auto"/>
              </w:rPr>
            </w:pPr>
          </w:p>
        </w:tc>
        <w:tc>
          <w:tcPr>
            <w:tcW w:w="2360" w:type="dxa"/>
            <w:vAlign w:val="bottom"/>
            <w:gridSpan w:val="2"/>
          </w:tcPr>
          <w:p>
            <w:pPr>
              <w:jc w:val="center"/>
              <w:ind w:right="1260"/>
              <w:spacing w:after="0"/>
              <w:rPr>
                <w:sz w:val="20"/>
                <w:szCs w:val="20"/>
                <w:color w:val="auto"/>
              </w:rPr>
            </w:pPr>
            <w:r>
              <w:rPr>
                <w:rFonts w:ascii="Arial" w:cs="Arial" w:eastAsia="Arial" w:hAnsi="Arial"/>
                <w:sz w:val="14"/>
                <w:szCs w:val="14"/>
                <w:b w:val="1"/>
                <w:bCs w:val="1"/>
                <w:color w:val="auto"/>
                <w:w w:val="93"/>
              </w:rPr>
              <w:t>November 30</w:t>
            </w:r>
          </w:p>
        </w:tc>
        <w:tc>
          <w:tcPr>
            <w:tcW w:w="960" w:type="dxa"/>
            <w:vAlign w:val="bottom"/>
          </w:tcPr>
          <w:p>
            <w:pPr>
              <w:spacing w:after="0"/>
              <w:rPr>
                <w:sz w:val="14"/>
                <w:szCs w:val="14"/>
                <w:color w:val="auto"/>
              </w:rPr>
            </w:pPr>
          </w:p>
        </w:tc>
        <w:tc>
          <w:tcPr>
            <w:tcW w:w="2040" w:type="dxa"/>
            <w:vAlign w:val="bottom"/>
          </w:tcPr>
          <w:p>
            <w:pPr>
              <w:jc w:val="center"/>
              <w:ind w:right="888"/>
              <w:spacing w:after="0"/>
              <w:rPr>
                <w:sz w:val="20"/>
                <w:szCs w:val="20"/>
                <w:color w:val="auto"/>
              </w:rPr>
            </w:pPr>
            <w:r>
              <w:rPr>
                <w:rFonts w:ascii="Arial" w:cs="Arial" w:eastAsia="Arial" w:hAnsi="Arial"/>
                <w:sz w:val="14"/>
                <w:szCs w:val="14"/>
                <w:b w:val="1"/>
                <w:bCs w:val="1"/>
                <w:color w:val="auto"/>
                <w:w w:val="90"/>
              </w:rPr>
              <w:t>November 30</w:t>
            </w:r>
          </w:p>
        </w:tc>
      </w:tr>
      <w:tr>
        <w:trPr>
          <w:trHeight w:val="144"/>
        </w:trPr>
        <w:tc>
          <w:tcPr>
            <w:tcW w:w="960" w:type="dxa"/>
            <w:vAlign w:val="bottom"/>
            <w:tcBorders>
              <w:top w:val="single" w:sz="8" w:color="auto"/>
            </w:tcBorders>
          </w:tcPr>
          <w:p>
            <w:pPr>
              <w:jc w:val="right"/>
              <w:ind w:right="68"/>
              <w:spacing w:after="0" w:line="144" w:lineRule="exact"/>
              <w:rPr>
                <w:sz w:val="20"/>
                <w:szCs w:val="20"/>
                <w:color w:val="auto"/>
              </w:rPr>
            </w:pPr>
            <w:r>
              <w:rPr>
                <w:rFonts w:ascii="Arial" w:cs="Arial" w:eastAsia="Arial" w:hAnsi="Arial"/>
                <w:sz w:val="14"/>
                <w:szCs w:val="14"/>
                <w:b w:val="1"/>
                <w:bCs w:val="1"/>
                <w:color w:val="auto"/>
              </w:rPr>
              <w:t>2013</w:t>
            </w:r>
          </w:p>
        </w:tc>
        <w:tc>
          <w:tcPr>
            <w:tcW w:w="2080" w:type="dxa"/>
            <w:vAlign w:val="bottom"/>
            <w:tcBorders>
              <w:top w:val="single" w:sz="8" w:color="auto"/>
            </w:tcBorders>
          </w:tcPr>
          <w:p>
            <w:pPr>
              <w:jc w:val="right"/>
              <w:ind w:right="468"/>
              <w:spacing w:after="0" w:line="144" w:lineRule="exact"/>
              <w:rPr>
                <w:sz w:val="20"/>
                <w:szCs w:val="20"/>
                <w:color w:val="auto"/>
              </w:rPr>
            </w:pPr>
            <w:r>
              <w:rPr>
                <w:rFonts w:ascii="Arial" w:cs="Arial" w:eastAsia="Arial" w:hAnsi="Arial"/>
                <w:sz w:val="14"/>
                <w:szCs w:val="14"/>
                <w:b w:val="1"/>
                <w:bCs w:val="1"/>
                <w:color w:val="auto"/>
              </w:rPr>
              <w:t>2012</w:t>
            </w:r>
          </w:p>
        </w:tc>
        <w:tc>
          <w:tcPr>
            <w:tcW w:w="280" w:type="dxa"/>
            <w:vAlign w:val="bottom"/>
          </w:tcPr>
          <w:p>
            <w:pPr>
              <w:spacing w:after="0"/>
              <w:rPr>
                <w:sz w:val="12"/>
                <w:szCs w:val="12"/>
                <w:color w:val="auto"/>
              </w:rPr>
            </w:pPr>
          </w:p>
        </w:tc>
        <w:tc>
          <w:tcPr>
            <w:tcW w:w="960" w:type="dxa"/>
            <w:vAlign w:val="bottom"/>
            <w:tcBorders>
              <w:top w:val="single" w:sz="8" w:color="auto"/>
            </w:tcBorders>
          </w:tcPr>
          <w:p>
            <w:pPr>
              <w:jc w:val="right"/>
              <w:ind w:right="68"/>
              <w:spacing w:after="0" w:line="144" w:lineRule="exact"/>
              <w:rPr>
                <w:sz w:val="20"/>
                <w:szCs w:val="20"/>
                <w:color w:val="auto"/>
              </w:rPr>
            </w:pPr>
            <w:r>
              <w:rPr>
                <w:rFonts w:ascii="Arial" w:cs="Arial" w:eastAsia="Arial" w:hAnsi="Arial"/>
                <w:sz w:val="14"/>
                <w:szCs w:val="14"/>
                <w:b w:val="1"/>
                <w:bCs w:val="1"/>
                <w:color w:val="auto"/>
              </w:rPr>
              <w:t>2013</w:t>
            </w:r>
          </w:p>
        </w:tc>
        <w:tc>
          <w:tcPr>
            <w:tcW w:w="2040" w:type="dxa"/>
            <w:vAlign w:val="bottom"/>
            <w:tcBorders>
              <w:top w:val="single" w:sz="8" w:color="auto"/>
            </w:tcBorders>
          </w:tcPr>
          <w:p>
            <w:pPr>
              <w:jc w:val="right"/>
              <w:ind w:right="468"/>
              <w:spacing w:after="0" w:line="144" w:lineRule="exact"/>
              <w:rPr>
                <w:sz w:val="20"/>
                <w:szCs w:val="20"/>
                <w:color w:val="auto"/>
              </w:rPr>
            </w:pPr>
            <w:r>
              <w:rPr>
                <w:rFonts w:ascii="Arial" w:cs="Arial" w:eastAsia="Arial" w:hAnsi="Arial"/>
                <w:sz w:val="14"/>
                <w:szCs w:val="14"/>
                <w:b w:val="1"/>
                <w:bCs w:val="1"/>
                <w:color w:val="auto"/>
              </w:rPr>
              <w:t>2012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2466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51" w:orient="portrait"/>
          <w:cols w:equalWidth="0" w:num="1">
            <w:col w:w="11460"/>
          </w:cols>
          <w:pgMar w:left="240" w:top="121" w:right="199" w:bottom="0" w:gutter="0" w:footer="0" w:header="0"/>
        </w:sectPr>
      </w:pPr>
    </w:p>
    <w:p>
      <w:pPr>
        <w:spacing w:after="0"/>
        <w:rPr>
          <w:sz w:val="20"/>
          <w:szCs w:val="20"/>
          <w:color w:val="auto"/>
        </w:rPr>
      </w:pPr>
      <w:r>
        <w:rPr>
          <w:rFonts w:ascii="Arial" w:cs="Arial" w:eastAsia="Arial" w:hAnsi="Arial"/>
          <w:sz w:val="17"/>
          <w:szCs w:val="17"/>
          <w:color w:val="auto"/>
        </w:rPr>
        <w:t>INVESTMENT INCOME</w:t>
      </w:r>
    </w:p>
    <w:p>
      <w:pPr>
        <w:sectPr>
          <w:pgSz w:w="11900" w:h="16851" w:orient="portrait"/>
          <w:cols w:equalWidth="0" w:num="1">
            <w:col w:w="11460"/>
          </w:cols>
          <w:pgMar w:left="240" w:top="121" w:right="199" w:bottom="0" w:gutter="0" w:footer="0" w:header="0"/>
          <w:type w:val="continuous"/>
        </w:sectPr>
      </w:pPr>
    </w:p>
    <w:bookmarkStart w:id="15" w:name="page16"/>
    <w:bookmarkEnd w:id="15"/>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00" w:type="dxa"/>
            <w:vAlign w:val="bottom"/>
            <w:gridSpan w:val="3"/>
          </w:tcPr>
          <w:p>
            <w:pPr>
              <w:spacing w:after="0"/>
              <w:rPr>
                <w:sz w:val="20"/>
                <w:szCs w:val="20"/>
                <w:color w:val="auto"/>
              </w:rPr>
            </w:pPr>
            <w:r>
              <w:rPr>
                <w:rFonts w:ascii="Arial" w:cs="Arial" w:eastAsia="Arial" w:hAnsi="Arial"/>
                <w:sz w:val="18"/>
                <w:szCs w:val="18"/>
                <w:color w:val="auto"/>
                <w:w w:val="97"/>
              </w:rPr>
              <w:t>Interest from investments</w:t>
            </w: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0" w:type="dxa"/>
            <w:vAlign w:val="bottom"/>
            <w:gridSpan w:val="2"/>
          </w:tcPr>
          <w:p>
            <w:pPr>
              <w:ind w:left="1100"/>
              <w:spacing w:after="0"/>
              <w:rPr>
                <w:sz w:val="20"/>
                <w:szCs w:val="20"/>
                <w:color w:val="auto"/>
              </w:rPr>
            </w:pPr>
            <w:r>
              <w:rPr>
                <w:rFonts w:ascii="Arial" w:cs="Arial" w:eastAsia="Arial" w:hAnsi="Arial"/>
                <w:sz w:val="18"/>
                <w:szCs w:val="18"/>
                <w:color w:val="auto"/>
              </w:rPr>
              <w:t>$</w:t>
            </w: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3,552,429</w:t>
            </w:r>
          </w:p>
        </w:tc>
        <w:tc>
          <w:tcPr>
            <w:tcW w:w="140" w:type="dxa"/>
            <w:vAlign w:val="bottom"/>
          </w:tcPr>
          <w:p>
            <w:pPr>
              <w:spacing w:after="0"/>
              <w:rPr>
                <w:sz w:val="20"/>
                <w:szCs w:val="20"/>
                <w:color w:val="auto"/>
              </w:rPr>
            </w:pPr>
          </w:p>
        </w:tc>
        <w:tc>
          <w:tcPr>
            <w:tcW w:w="4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4,843,433</w:t>
            </w:r>
          </w:p>
        </w:tc>
        <w:tc>
          <w:tcPr>
            <w:tcW w:w="28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8"/>
                <w:szCs w:val="18"/>
                <w:color w:val="auto"/>
                <w:w w:val="79"/>
              </w:rPr>
              <w:t>$</w:t>
            </w: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12,160,257</w:t>
            </w:r>
          </w:p>
        </w:tc>
        <w:tc>
          <w:tcPr>
            <w:tcW w:w="620" w:type="dxa"/>
            <w:vAlign w:val="bottom"/>
            <w:gridSpan w:val="2"/>
          </w:tcPr>
          <w:p>
            <w:pPr>
              <w:jc w:val="right"/>
              <w:ind w:right="346"/>
              <w:spacing w:after="0"/>
              <w:rPr>
                <w:sz w:val="20"/>
                <w:szCs w:val="20"/>
                <w:color w:val="auto"/>
              </w:rPr>
            </w:pPr>
            <w:r>
              <w:rPr>
                <w:rFonts w:ascii="Arial" w:cs="Arial" w:eastAsia="Arial" w:hAnsi="Arial"/>
                <w:sz w:val="18"/>
                <w:szCs w:val="18"/>
                <w:color w:val="auto"/>
              </w:rPr>
              <w:t>$</w:t>
            </w: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14,699,180</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2,718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6,481</w:t>
            </w: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13,550</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214,092</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292,475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891,358</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607,648</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w w:val="92"/>
              </w:rPr>
              <w:t>Total investment income</w:t>
            </w:r>
          </w:p>
        </w:tc>
        <w:tc>
          <w:tcPr>
            <w:tcW w:w="1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3,768,551</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5,138,626</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13,058,096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15,320,378</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EXPENSES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6,906,431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w w:val="87"/>
              </w:rPr>
              <w:t>8,076,898</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9,944,427</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w w:val="93"/>
              </w:rPr>
              <w:t>11,652,383</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62,452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46,134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387,380</w:t>
            </w: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293,392</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Misc. Fee Expense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4,198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15,494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164,989</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83,081</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Senior collateral monitoring fee</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134,244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100,091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330,012</w:t>
            </w: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300,104</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spacing w:after="0"/>
              <w:rPr>
                <w:sz w:val="20"/>
                <w:szCs w:val="20"/>
                <w:color w:val="auto"/>
              </w:rPr>
            </w:pPr>
            <w:r>
              <w:rPr>
                <w:rFonts w:ascii="Arial" w:cs="Arial" w:eastAsia="Arial" w:hAnsi="Arial"/>
                <w:sz w:val="18"/>
                <w:szCs w:val="18"/>
                <w:color w:val="auto"/>
              </w:rPr>
              <w:t>Subordinate collateral monitoring fee</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286,953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400,363</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1,070,026</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1,200,415</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Trustee expenses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21,012</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25,778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69,383</w:t>
            </w: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75,646</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gridSpan w:val="2"/>
          </w:tcPr>
          <w:p>
            <w:pPr>
              <w:spacing w:after="0"/>
              <w:rPr>
                <w:sz w:val="20"/>
                <w:szCs w:val="20"/>
                <w:color w:val="auto"/>
              </w:rPr>
            </w:pPr>
            <w:r>
              <w:rPr>
                <w:rFonts w:ascii="Arial" w:cs="Arial" w:eastAsia="Arial" w:hAnsi="Arial"/>
                <w:sz w:val="18"/>
                <w:szCs w:val="18"/>
                <w:color w:val="auto"/>
              </w:rPr>
              <w:t>Amortization expense</w:t>
            </w: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Arial" w:cs="Arial" w:eastAsia="Arial" w:hAnsi="Arial"/>
                <w:sz w:val="18"/>
                <w:szCs w:val="18"/>
                <w:color w:val="auto"/>
              </w:rPr>
              <w:t>3,692,220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253,635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right"/>
              <w:ind w:right="160"/>
              <w:spacing w:after="0"/>
              <w:rPr>
                <w:sz w:val="20"/>
                <w:szCs w:val="20"/>
                <w:color w:val="auto"/>
              </w:rPr>
            </w:pPr>
            <w:r>
              <w:rPr>
                <w:rFonts w:ascii="Arial" w:cs="Arial" w:eastAsia="Arial" w:hAnsi="Arial"/>
                <w:sz w:val="18"/>
                <w:szCs w:val="18"/>
                <w:color w:val="auto"/>
              </w:rPr>
              <w:t>4,201,074</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762,489</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Total expenses</w:t>
            </w:r>
          </w:p>
        </w:tc>
        <w:tc>
          <w:tcPr>
            <w:tcW w:w="140" w:type="dxa"/>
            <w:vAlign w:val="bottom"/>
            <w:tcBorders>
              <w:top w:val="single" w:sz="8" w:color="CCEEFF"/>
            </w:tcBorders>
            <w:shd w:val="clear" w:color="auto" w:fill="CCEEFF"/>
          </w:tcPr>
          <w:p>
            <w:pPr>
              <w:spacing w:after="0"/>
              <w:rPr>
                <w:sz w:val="18"/>
                <w:szCs w:val="18"/>
                <w:color w:val="auto"/>
              </w:rPr>
            </w:pPr>
          </w:p>
        </w:tc>
        <w:tc>
          <w:tcPr>
            <w:tcW w:w="1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11,107,510</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7"/>
              </w:rPr>
              <w:t>8,918,393</w:t>
            </w:r>
          </w:p>
        </w:tc>
        <w:tc>
          <w:tcPr>
            <w:tcW w:w="280" w:type="dxa"/>
            <w:vAlign w:val="bottom"/>
            <w:tcBorders>
              <w:top w:val="single" w:sz="8" w:color="CCEEFF"/>
              <w:right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16,167,291</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w w:val="93"/>
              </w:rPr>
              <w:t>14,367,510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NET INVESTMENT INCOME</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w w:val="97"/>
              </w:rPr>
              <w:t>(7,338,959)</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tcBorders>
              <w:right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(3,779,767)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(3,109,195)</w:t>
            </w: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952,868</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480" w:type="dxa"/>
            <w:vAlign w:val="bottom"/>
            <w:gridSpan w:val="7"/>
            <w:shd w:val="clear" w:color="auto" w:fill="CCEEFF"/>
          </w:tcPr>
          <w:p>
            <w:pPr>
              <w:spacing w:after="0" w:line="201" w:lineRule="exact"/>
              <w:rPr>
                <w:sz w:val="20"/>
                <w:szCs w:val="20"/>
                <w:color w:val="auto"/>
              </w:rPr>
            </w:pPr>
            <w:r>
              <w:rPr>
                <w:rFonts w:ascii="Arial" w:cs="Arial" w:eastAsia="Arial" w:hAnsi="Arial"/>
                <w:sz w:val="18"/>
                <w:szCs w:val="18"/>
                <w:color w:val="auto"/>
              </w:rPr>
              <w:t>REALIZED AND UNREALIZED GAIN (LOSS) ON</w:t>
            </w: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80" w:type="dxa"/>
            <w:vAlign w:val="bottom"/>
            <w:tcBorders>
              <w:right w:val="single" w:sz="8" w:color="CCEEFF"/>
            </w:tcBorders>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0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INVESTMENTS:</w:t>
            </w:r>
          </w:p>
        </w:tc>
        <w:tc>
          <w:tcPr>
            <w:tcW w:w="140" w:type="dxa"/>
            <w:vAlign w:val="bottom"/>
            <w:shd w:val="clear" w:color="auto" w:fill="CCEEFF"/>
          </w:tcPr>
          <w:p>
            <w:pPr>
              <w:spacing w:after="0"/>
              <w:rPr>
                <w:sz w:val="20"/>
                <w:szCs w:val="20"/>
                <w:color w:val="auto"/>
              </w:rPr>
            </w:pPr>
          </w:p>
        </w:tc>
        <w:tc>
          <w:tcPr>
            <w:tcW w:w="16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280" w:type="dxa"/>
            <w:vAlign w:val="bottom"/>
            <w:tcBorders>
              <w:right w:val="single" w:sz="8" w:color="CCEEFF"/>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00" w:type="dxa"/>
            <w:vAlign w:val="bottom"/>
            <w:tcBorders>
              <w:righ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tcPr>
          <w:p>
            <w:pPr>
              <w:spacing w:after="0"/>
              <w:rPr>
                <w:sz w:val="20"/>
                <w:szCs w:val="20"/>
                <w:color w:val="auto"/>
              </w:rPr>
            </w:pPr>
            <w:r>
              <w:rPr>
                <w:rFonts w:ascii="Arial" w:cs="Arial" w:eastAsia="Arial" w:hAnsi="Arial"/>
                <w:sz w:val="18"/>
                <w:szCs w:val="18"/>
                <w:color w:val="auto"/>
              </w:rPr>
              <w:t>Net realized gain/(loss) on investments</w:t>
            </w:r>
          </w:p>
        </w:tc>
        <w:tc>
          <w:tcPr>
            <w:tcW w:w="1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gridSpan w:val="4"/>
          </w:tcPr>
          <w:p>
            <w:pPr>
              <w:jc w:val="right"/>
              <w:ind w:right="80"/>
              <w:spacing w:after="0"/>
              <w:rPr>
                <w:sz w:val="20"/>
                <w:szCs w:val="20"/>
                <w:color w:val="auto"/>
              </w:rPr>
            </w:pPr>
            <w:r>
              <w:rPr>
                <w:rFonts w:ascii="Arial" w:cs="Arial" w:eastAsia="Arial" w:hAnsi="Arial"/>
                <w:sz w:val="18"/>
                <w:szCs w:val="18"/>
                <w:color w:val="auto"/>
                <w:w w:val="97"/>
              </w:rPr>
              <w:t>(9,292,595)</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8"/>
                <w:szCs w:val="18"/>
                <w:color w:val="auto"/>
              </w:rPr>
              <w:t>269,472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4"/>
          </w:tcPr>
          <w:p>
            <w:pPr>
              <w:jc w:val="right"/>
              <w:ind w:right="100"/>
              <w:spacing w:after="0"/>
              <w:rPr>
                <w:sz w:val="20"/>
                <w:szCs w:val="20"/>
                <w:color w:val="auto"/>
              </w:rPr>
            </w:pPr>
            <w:r>
              <w:rPr>
                <w:rFonts w:ascii="Arial" w:cs="Arial" w:eastAsia="Arial" w:hAnsi="Arial"/>
                <w:sz w:val="18"/>
                <w:szCs w:val="18"/>
                <w:color w:val="auto"/>
              </w:rPr>
              <w:t>(8,840,995)</w:t>
            </w: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gridSpan w:val="4"/>
          </w:tcPr>
          <w:p>
            <w:pPr>
              <w:jc w:val="right"/>
              <w:ind w:right="20"/>
              <w:spacing w:after="0"/>
              <w:rPr>
                <w:sz w:val="20"/>
                <w:szCs w:val="20"/>
                <w:color w:val="auto"/>
              </w:rPr>
            </w:pPr>
            <w:r>
              <w:rPr>
                <w:rFonts w:ascii="Arial" w:cs="Arial" w:eastAsia="Arial" w:hAnsi="Arial"/>
                <w:sz w:val="18"/>
                <w:szCs w:val="18"/>
                <w:color w:val="auto"/>
              </w:rPr>
              <w:t>1,681,602</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unrealized appreciation on investments</w:t>
            </w: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w w:val="93"/>
              </w:rPr>
              <w:t>10,367,981</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tcBorders>
              <w:right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782,564</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color w:val="auto"/>
              </w:rPr>
              <w:t>6,868,170</w:t>
            </w: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8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2,091,233</w:t>
            </w: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gridSpan w:val="5"/>
          </w:tcPr>
          <w:p>
            <w:pPr>
              <w:ind w:left="160"/>
              <w:spacing w:after="0"/>
              <w:rPr>
                <w:sz w:val="20"/>
                <w:szCs w:val="20"/>
                <w:color w:val="auto"/>
              </w:rPr>
            </w:pPr>
            <w:r>
              <w:rPr>
                <w:rFonts w:ascii="Arial" w:cs="Arial" w:eastAsia="Arial" w:hAnsi="Arial"/>
                <w:sz w:val="18"/>
                <w:szCs w:val="18"/>
                <w:color w:val="auto"/>
              </w:rPr>
              <w:t>Net gain/(loss) on investments</w:t>
            </w:r>
          </w:p>
        </w:tc>
        <w:tc>
          <w:tcPr>
            <w:tcW w:w="110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1,075,386</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7"/>
              </w:rPr>
              <w:t>1,052,036</w:t>
            </w:r>
          </w:p>
        </w:tc>
        <w:tc>
          <w:tcPr>
            <w:tcW w:w="28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(1,972,825)</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3,772,835</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tcBorders>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880" w:type="dxa"/>
            <w:vAlign w:val="bottom"/>
            <w:gridSpan w:val="5"/>
          </w:tcPr>
          <w:p>
            <w:pPr>
              <w:spacing w:after="0" w:line="201" w:lineRule="exact"/>
              <w:rPr>
                <w:sz w:val="20"/>
                <w:szCs w:val="20"/>
                <w:color w:val="auto"/>
              </w:rPr>
            </w:pPr>
            <w:r>
              <w:rPr>
                <w:rFonts w:ascii="Arial" w:cs="Arial" w:eastAsia="Arial" w:hAnsi="Arial"/>
                <w:sz w:val="18"/>
                <w:szCs w:val="18"/>
                <w:color w:val="auto"/>
                <w:w w:val="99"/>
              </w:rPr>
              <w:t>NET INCREASE (DECREASE) IN NET ASSETS</w:t>
            </w:r>
          </w:p>
        </w:tc>
        <w:tc>
          <w:tcPr>
            <w:tcW w:w="1600" w:type="dxa"/>
            <w:vAlign w:val="bottom"/>
            <w:gridSpan w:val="2"/>
            <w:vMerge w:val="restart"/>
          </w:tcPr>
          <w:p>
            <w:pPr>
              <w:ind w:left="1100"/>
              <w:spacing w:after="0"/>
              <w:rPr>
                <w:sz w:val="20"/>
                <w:szCs w:val="20"/>
                <w:color w:val="auto"/>
              </w:rPr>
            </w:pPr>
            <w:r>
              <w:rPr>
                <w:rFonts w:ascii="Arial" w:cs="Arial" w:eastAsia="Arial" w:hAnsi="Arial"/>
                <w:sz w:val="18"/>
                <w:szCs w:val="18"/>
                <w:color w:val="auto"/>
              </w:rPr>
              <w:t>$</w:t>
            </w:r>
          </w:p>
        </w:tc>
        <w:tc>
          <w:tcPr>
            <w:tcW w:w="1000" w:type="dxa"/>
            <w:vAlign w:val="bottom"/>
            <w:gridSpan w:val="4"/>
            <w:vMerge w:val="restart"/>
          </w:tcPr>
          <w:p>
            <w:pPr>
              <w:jc w:val="right"/>
              <w:ind w:right="80"/>
              <w:spacing w:after="0"/>
              <w:rPr>
                <w:sz w:val="20"/>
                <w:szCs w:val="20"/>
                <w:color w:val="auto"/>
              </w:rPr>
            </w:pPr>
            <w:r>
              <w:rPr>
                <w:rFonts w:ascii="Arial" w:cs="Arial" w:eastAsia="Arial" w:hAnsi="Arial"/>
                <w:sz w:val="18"/>
                <w:szCs w:val="18"/>
                <w:color w:val="auto"/>
                <w:w w:val="97"/>
              </w:rPr>
              <w:t>(6,263,573)</w:t>
            </w:r>
          </w:p>
        </w:tc>
        <w:tc>
          <w:tcPr>
            <w:tcW w:w="40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420" w:type="dxa"/>
            <w:vAlign w:val="bottom"/>
            <w:gridSpan w:val="5"/>
            <w:vMerge w:val="restart"/>
          </w:tcPr>
          <w:p>
            <w:pPr>
              <w:jc w:val="right"/>
              <w:ind w:right="220"/>
              <w:spacing w:after="0"/>
              <w:rPr>
                <w:sz w:val="20"/>
                <w:szCs w:val="20"/>
                <w:color w:val="auto"/>
              </w:rPr>
            </w:pPr>
            <w:r>
              <w:rPr>
                <w:rFonts w:ascii="Arial" w:cs="Arial" w:eastAsia="Arial" w:hAnsi="Arial"/>
                <w:sz w:val="18"/>
                <w:szCs w:val="18"/>
                <w:color w:val="auto"/>
              </w:rPr>
              <w:t>(2,727,731)</w:t>
            </w:r>
          </w:p>
        </w:tc>
        <w:tc>
          <w:tcPr>
            <w:tcW w:w="1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w w:val="79"/>
              </w:rPr>
              <w:t>$</w:t>
            </w:r>
          </w:p>
        </w:tc>
        <w:tc>
          <w:tcPr>
            <w:tcW w:w="1360" w:type="dxa"/>
            <w:vAlign w:val="bottom"/>
            <w:gridSpan w:val="4"/>
            <w:vMerge w:val="restart"/>
          </w:tcPr>
          <w:p>
            <w:pPr>
              <w:jc w:val="right"/>
              <w:ind w:right="100"/>
              <w:spacing w:after="0"/>
              <w:rPr>
                <w:sz w:val="20"/>
                <w:szCs w:val="20"/>
                <w:color w:val="auto"/>
              </w:rPr>
            </w:pPr>
            <w:r>
              <w:rPr>
                <w:rFonts w:ascii="Arial" w:cs="Arial" w:eastAsia="Arial" w:hAnsi="Arial"/>
                <w:sz w:val="18"/>
                <w:szCs w:val="18"/>
                <w:color w:val="auto"/>
              </w:rPr>
              <w:t>(5,082,020)</w:t>
            </w:r>
          </w:p>
        </w:tc>
        <w:tc>
          <w:tcPr>
            <w:tcW w:w="620" w:type="dxa"/>
            <w:vAlign w:val="bottom"/>
            <w:gridSpan w:val="2"/>
            <w:vMerge w:val="restart"/>
          </w:tcPr>
          <w:p>
            <w:pPr>
              <w:jc w:val="right"/>
              <w:ind w:right="346"/>
              <w:spacing w:after="0"/>
              <w:rPr>
                <w:sz w:val="20"/>
                <w:szCs w:val="20"/>
                <w:color w:val="auto"/>
              </w:rPr>
            </w:pPr>
            <w:r>
              <w:rPr>
                <w:rFonts w:ascii="Arial" w:cs="Arial" w:eastAsia="Arial" w:hAnsi="Arial"/>
                <w:sz w:val="18"/>
                <w:szCs w:val="18"/>
                <w:color w:val="auto"/>
              </w:rPr>
              <w:t>$</w:t>
            </w:r>
          </w:p>
        </w:tc>
        <w:tc>
          <w:tcPr>
            <w:tcW w:w="880" w:type="dxa"/>
            <w:vAlign w:val="bottom"/>
            <w:gridSpan w:val="4"/>
            <w:vMerge w:val="restart"/>
          </w:tcPr>
          <w:p>
            <w:pPr>
              <w:jc w:val="right"/>
              <w:ind w:right="20"/>
              <w:spacing w:after="0"/>
              <w:rPr>
                <w:sz w:val="20"/>
                <w:szCs w:val="20"/>
                <w:color w:val="auto"/>
              </w:rPr>
            </w:pPr>
            <w:r>
              <w:rPr>
                <w:rFonts w:ascii="Arial" w:cs="Arial" w:eastAsia="Arial" w:hAnsi="Arial"/>
                <w:sz w:val="18"/>
                <w:szCs w:val="18"/>
                <w:color w:val="auto"/>
              </w:rPr>
              <w:t>4,725,703</w:t>
            </w: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3880" w:type="dxa"/>
            <w:vAlign w:val="bottom"/>
            <w:gridSpan w:val="5"/>
          </w:tcPr>
          <w:p>
            <w:pPr>
              <w:ind w:left="160"/>
              <w:spacing w:after="0"/>
              <w:rPr>
                <w:sz w:val="20"/>
                <w:szCs w:val="20"/>
                <w:color w:val="auto"/>
              </w:rPr>
            </w:pPr>
            <w:r>
              <w:rPr>
                <w:rFonts w:ascii="Arial" w:cs="Arial" w:eastAsia="Arial" w:hAnsi="Arial"/>
                <w:sz w:val="18"/>
                <w:szCs w:val="18"/>
                <w:color w:val="auto"/>
              </w:rPr>
              <w:t>RESULTING FROM OPERATIONS</w:t>
            </w:r>
          </w:p>
        </w:tc>
        <w:tc>
          <w:tcPr>
            <w:tcW w:w="1600" w:type="dxa"/>
            <w:vAlign w:val="bottom"/>
            <w:gridSpan w:val="2"/>
            <w:vMerge w:val="continue"/>
          </w:tcPr>
          <w:p>
            <w:pPr>
              <w:spacing w:after="0"/>
              <w:rPr>
                <w:sz w:val="18"/>
                <w:szCs w:val="18"/>
                <w:color w:val="auto"/>
              </w:rPr>
            </w:pPr>
          </w:p>
        </w:tc>
        <w:tc>
          <w:tcPr>
            <w:tcW w:w="1000" w:type="dxa"/>
            <w:vAlign w:val="bottom"/>
            <w:gridSpan w:val="4"/>
            <w:vMerge w:val="continue"/>
          </w:tcPr>
          <w:p>
            <w:pPr>
              <w:spacing w:after="0"/>
              <w:rPr>
                <w:sz w:val="18"/>
                <w:szCs w:val="18"/>
                <w:color w:val="auto"/>
              </w:rPr>
            </w:pPr>
          </w:p>
        </w:tc>
        <w:tc>
          <w:tcPr>
            <w:tcW w:w="400" w:type="dxa"/>
            <w:vAlign w:val="bottom"/>
            <w:gridSpan w:val="2"/>
            <w:vMerge w:val="continue"/>
          </w:tcPr>
          <w:p>
            <w:pPr>
              <w:spacing w:after="0"/>
              <w:rPr>
                <w:sz w:val="18"/>
                <w:szCs w:val="18"/>
                <w:color w:val="auto"/>
              </w:rPr>
            </w:pPr>
          </w:p>
        </w:tc>
        <w:tc>
          <w:tcPr>
            <w:tcW w:w="1420" w:type="dxa"/>
            <w:vAlign w:val="bottom"/>
            <w:gridSpan w:val="5"/>
            <w:vMerge w:val="continue"/>
          </w:tcPr>
          <w:p>
            <w:pPr>
              <w:spacing w:after="0"/>
              <w:rPr>
                <w:sz w:val="18"/>
                <w:szCs w:val="18"/>
                <w:color w:val="auto"/>
              </w:rPr>
            </w:pPr>
          </w:p>
        </w:tc>
        <w:tc>
          <w:tcPr>
            <w:tcW w:w="160" w:type="dxa"/>
            <w:vAlign w:val="bottom"/>
            <w:gridSpan w:val="2"/>
            <w:vMerge w:val="continue"/>
          </w:tcPr>
          <w:p>
            <w:pPr>
              <w:spacing w:after="0"/>
              <w:rPr>
                <w:sz w:val="18"/>
                <w:szCs w:val="18"/>
                <w:color w:val="auto"/>
              </w:rPr>
            </w:pPr>
          </w:p>
        </w:tc>
        <w:tc>
          <w:tcPr>
            <w:tcW w:w="1360" w:type="dxa"/>
            <w:vAlign w:val="bottom"/>
            <w:gridSpan w:val="4"/>
            <w:vMerge w:val="continue"/>
          </w:tcPr>
          <w:p>
            <w:pPr>
              <w:spacing w:after="0"/>
              <w:rPr>
                <w:sz w:val="18"/>
                <w:szCs w:val="18"/>
                <w:color w:val="auto"/>
              </w:rPr>
            </w:pPr>
          </w:p>
        </w:tc>
        <w:tc>
          <w:tcPr>
            <w:tcW w:w="620" w:type="dxa"/>
            <w:vAlign w:val="bottom"/>
            <w:gridSpan w:val="2"/>
            <w:vMerge w:val="continue"/>
          </w:tcPr>
          <w:p>
            <w:pPr>
              <w:spacing w:after="0"/>
              <w:rPr>
                <w:sz w:val="18"/>
                <w:szCs w:val="18"/>
                <w:color w:val="auto"/>
              </w:rPr>
            </w:pPr>
          </w:p>
        </w:tc>
        <w:tc>
          <w:tcPr>
            <w:tcW w:w="880" w:type="dxa"/>
            <w:vAlign w:val="bottom"/>
            <w:gridSpan w:val="4"/>
            <w:vMerge w:val="continue"/>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gridSpan w:val="2"/>
          </w:tcPr>
          <w:p>
            <w:pPr>
              <w:jc w:val="center"/>
              <w:ind w:right="366"/>
              <w:spacing w:after="0"/>
              <w:rPr>
                <w:sz w:val="20"/>
                <w:szCs w:val="20"/>
                <w:color w:val="auto"/>
              </w:rPr>
            </w:pPr>
            <w:r>
              <w:rPr>
                <w:rFonts w:ascii="Arial" w:cs="Arial" w:eastAsia="Arial" w:hAnsi="Arial"/>
                <w:sz w:val="18"/>
                <w:szCs w:val="18"/>
                <w:color w:val="auto"/>
                <w:w w:val="89"/>
              </w:rPr>
              <w:t>23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7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34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12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60" w:type="dxa"/>
            <w:vAlign w:val="bottom"/>
            <w:tcBorders>
              <w:bottom w:val="single" w:sz="8" w:color="010101"/>
            </w:tcBorders>
          </w:tcPr>
          <w:p>
            <w:pPr>
              <w:spacing w:after="0"/>
              <w:rPr>
                <w:sz w:val="11"/>
                <w:szCs w:val="11"/>
                <w:color w:val="auto"/>
              </w:rPr>
            </w:pPr>
          </w:p>
        </w:tc>
        <w:tc>
          <w:tcPr>
            <w:tcW w:w="2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8"/>
          </w:tcPr>
          <w:p>
            <w:pPr>
              <w:jc w:val="center"/>
              <w:ind w:left="583"/>
              <w:spacing w:after="0"/>
              <w:rPr>
                <w:sz w:val="20"/>
                <w:szCs w:val="20"/>
                <w:color w:val="auto"/>
              </w:rPr>
            </w:pPr>
            <w:r>
              <w:rPr>
                <w:rFonts w:ascii="Arial" w:cs="Arial" w:eastAsia="Arial" w:hAnsi="Arial"/>
                <w:sz w:val="18"/>
                <w:szCs w:val="18"/>
                <w:b w:val="1"/>
                <w:bCs w:val="1"/>
                <w:color w:val="auto"/>
                <w:w w:val="92"/>
              </w:rPr>
              <w:t>GSC Investment Corp.</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0" w:type="dxa"/>
            <w:vAlign w:val="bottom"/>
            <w:gridSpan w:val="8"/>
          </w:tcPr>
          <w:p>
            <w:pPr>
              <w:jc w:val="center"/>
              <w:ind w:left="563"/>
              <w:spacing w:after="0"/>
              <w:rPr>
                <w:sz w:val="20"/>
                <w:szCs w:val="20"/>
                <w:color w:val="auto"/>
              </w:rPr>
            </w:pPr>
            <w:r>
              <w:rPr>
                <w:rFonts w:ascii="Arial" w:cs="Arial" w:eastAsia="Arial" w:hAnsi="Arial"/>
                <w:sz w:val="18"/>
                <w:szCs w:val="18"/>
                <w:b w:val="1"/>
                <w:bCs w:val="1"/>
                <w:color w:val="auto"/>
                <w:w w:val="87"/>
              </w:rPr>
              <w:t>Schedule of Investments</w:t>
            </w: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0" w:type="dxa"/>
            <w:vAlign w:val="bottom"/>
            <w:gridSpan w:val="6"/>
          </w:tcPr>
          <w:p>
            <w:pPr>
              <w:jc w:val="center"/>
              <w:ind w:left="963"/>
              <w:spacing w:after="0"/>
              <w:rPr>
                <w:sz w:val="20"/>
                <w:szCs w:val="20"/>
                <w:color w:val="auto"/>
              </w:rPr>
            </w:pPr>
            <w:r>
              <w:rPr>
                <w:rFonts w:ascii="Arial" w:cs="Arial" w:eastAsia="Arial" w:hAnsi="Arial"/>
                <w:sz w:val="18"/>
                <w:szCs w:val="18"/>
                <w:b w:val="1"/>
                <w:bCs w:val="1"/>
                <w:color w:val="auto"/>
                <w:w w:val="89"/>
              </w:rPr>
              <w:t>November 30, 2013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500" w:type="dxa"/>
            <w:vAlign w:val="bottom"/>
            <w:gridSpan w:val="5"/>
          </w:tcPr>
          <w:p>
            <w:pPr>
              <w:jc w:val="center"/>
              <w:ind w:right="80"/>
              <w:spacing w:after="0"/>
              <w:rPr>
                <w:sz w:val="20"/>
                <w:szCs w:val="20"/>
                <w:color w:val="auto"/>
              </w:rPr>
            </w:pPr>
            <w:r>
              <w:rPr>
                <w:rFonts w:ascii="Arial" w:cs="Arial" w:eastAsia="Arial" w:hAnsi="Arial"/>
                <w:sz w:val="18"/>
                <w:szCs w:val="18"/>
                <w:b w:val="1"/>
                <w:bCs w:val="1"/>
                <w:color w:val="auto"/>
                <w:w w:val="91"/>
              </w:rPr>
              <w:t>(unaudited)</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right"/>
              <w:ind w:right="38"/>
              <w:spacing w:after="0"/>
              <w:rPr>
                <w:sz w:val="20"/>
                <w:szCs w:val="20"/>
                <w:color w:val="auto"/>
              </w:rPr>
            </w:pPr>
            <w:r>
              <w:rPr>
                <w:rFonts w:ascii="Arial" w:cs="Arial" w:eastAsia="Arial" w:hAnsi="Arial"/>
                <w:sz w:val="11"/>
                <w:szCs w:val="11"/>
                <w:b w:val="1"/>
                <w:bCs w:val="1"/>
                <w:color w:val="auto"/>
                <w:w w:val="92"/>
              </w:rPr>
              <w:t>Principal / Number</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00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1"/>
                <w:szCs w:val="11"/>
                <w:color w:val="auto"/>
              </w:rPr>
            </w:pPr>
          </w:p>
        </w:tc>
        <w:tc>
          <w:tcPr>
            <w:tcW w:w="1760" w:type="dxa"/>
            <w:vAlign w:val="bottom"/>
            <w:gridSpan w:val="2"/>
          </w:tcPr>
          <w:p>
            <w:pPr>
              <w:ind w:left="600"/>
              <w:spacing w:after="0"/>
              <w:rPr>
                <w:sz w:val="20"/>
                <w:szCs w:val="20"/>
                <w:color w:val="auto"/>
              </w:rPr>
            </w:pPr>
            <w:r>
              <w:rPr>
                <w:rFonts w:ascii="Arial" w:cs="Arial" w:eastAsia="Arial" w:hAnsi="Arial"/>
                <w:sz w:val="11"/>
                <w:szCs w:val="11"/>
                <w:b w:val="1"/>
                <w:bCs w:val="1"/>
                <w:color w:val="auto"/>
              </w:rPr>
              <w:t>Industry</w:t>
            </w:r>
          </w:p>
        </w:tc>
        <w:tc>
          <w:tcPr>
            <w:tcW w:w="1600" w:type="dxa"/>
            <w:vAlign w:val="bottom"/>
            <w:gridSpan w:val="2"/>
          </w:tcPr>
          <w:p>
            <w:pPr>
              <w:ind w:left="520"/>
              <w:spacing w:after="0"/>
              <w:rPr>
                <w:sz w:val="20"/>
                <w:szCs w:val="20"/>
                <w:color w:val="auto"/>
              </w:rPr>
            </w:pPr>
            <w:r>
              <w:rPr>
                <w:rFonts w:ascii="Arial" w:cs="Arial" w:eastAsia="Arial" w:hAnsi="Arial"/>
                <w:sz w:val="11"/>
                <w:szCs w:val="11"/>
                <w:b w:val="1"/>
                <w:bCs w:val="1"/>
                <w:color w:val="auto"/>
              </w:rPr>
              <w:t>Asset Name</w:t>
            </w:r>
          </w:p>
        </w:tc>
        <w:tc>
          <w:tcPr>
            <w:tcW w:w="160" w:type="dxa"/>
            <w:vAlign w:val="bottom"/>
          </w:tcPr>
          <w:p>
            <w:pPr>
              <w:spacing w:after="0"/>
              <w:rPr>
                <w:sz w:val="11"/>
                <w:szCs w:val="11"/>
                <w:color w:val="auto"/>
              </w:rPr>
            </w:pPr>
          </w:p>
        </w:tc>
        <w:tc>
          <w:tcPr>
            <w:tcW w:w="840" w:type="dxa"/>
            <w:vAlign w:val="bottom"/>
            <w:gridSpan w:val="3"/>
          </w:tcPr>
          <w:p>
            <w:pPr>
              <w:jc w:val="right"/>
              <w:ind w:right="260"/>
              <w:spacing w:after="0"/>
              <w:rPr>
                <w:sz w:val="20"/>
                <w:szCs w:val="20"/>
                <w:color w:val="auto"/>
              </w:rPr>
            </w:pPr>
            <w:r>
              <w:rPr>
                <w:rFonts w:ascii="Arial" w:cs="Arial" w:eastAsia="Arial" w:hAnsi="Arial"/>
                <w:sz w:val="11"/>
                <w:szCs w:val="11"/>
                <w:b w:val="1"/>
                <w:bCs w:val="1"/>
                <w:color w:val="auto"/>
                <w:w w:val="95"/>
              </w:rPr>
              <w:t>Asset Type</w:t>
            </w:r>
          </w:p>
        </w:tc>
        <w:tc>
          <w:tcPr>
            <w:tcW w:w="820" w:type="dxa"/>
            <w:vAlign w:val="bottom"/>
            <w:gridSpan w:val="4"/>
          </w:tcPr>
          <w:p>
            <w:pPr>
              <w:jc w:val="right"/>
              <w:ind w:right="140"/>
              <w:spacing w:after="0"/>
              <w:rPr>
                <w:sz w:val="20"/>
                <w:szCs w:val="20"/>
                <w:color w:val="auto"/>
              </w:rPr>
            </w:pPr>
            <w:r>
              <w:rPr>
                <w:rFonts w:ascii="Arial" w:cs="Arial" w:eastAsia="Arial" w:hAnsi="Arial"/>
                <w:sz w:val="11"/>
                <w:szCs w:val="11"/>
                <w:b w:val="1"/>
                <w:bCs w:val="1"/>
                <w:color w:val="auto"/>
                <w:w w:val="98"/>
              </w:rPr>
              <w:t>Current Rate</w:t>
            </w:r>
          </w:p>
        </w:tc>
        <w:tc>
          <w:tcPr>
            <w:tcW w:w="120" w:type="dxa"/>
            <w:vAlign w:val="bottom"/>
          </w:tcPr>
          <w:p>
            <w:pPr>
              <w:spacing w:after="0"/>
              <w:rPr>
                <w:sz w:val="11"/>
                <w:szCs w:val="11"/>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1"/>
                <w:szCs w:val="11"/>
                <w:b w:val="1"/>
                <w:bCs w:val="1"/>
                <w:color w:val="auto"/>
              </w:rPr>
              <w:t>Maturity 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278"/>
              <w:spacing w:after="0"/>
              <w:rPr>
                <w:sz w:val="20"/>
                <w:szCs w:val="20"/>
                <w:color w:val="auto"/>
              </w:rPr>
            </w:pPr>
            <w:r>
              <w:rPr>
                <w:rFonts w:ascii="Arial" w:cs="Arial" w:eastAsia="Arial" w:hAnsi="Arial"/>
                <w:sz w:val="11"/>
                <w:szCs w:val="11"/>
                <w:b w:val="1"/>
                <w:bCs w:val="1"/>
                <w:color w:val="auto"/>
              </w:rPr>
              <w:t>of Shares</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ind w:right="266"/>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ind w:left="40"/>
              <w:spacing w:after="0"/>
              <w:rPr>
                <w:sz w:val="20"/>
                <w:szCs w:val="20"/>
                <w:color w:val="auto"/>
              </w:rPr>
            </w:pPr>
            <w:r>
              <w:rPr>
                <w:rFonts w:ascii="Arial" w:cs="Arial" w:eastAsia="Arial" w:hAnsi="Arial"/>
                <w:sz w:val="11"/>
                <w:szCs w:val="11"/>
                <w:b w:val="1"/>
                <w:bCs w:val="1"/>
                <w:color w:val="auto"/>
              </w:rPr>
              <w:t>Fair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gridSpan w:val="2"/>
            <w:vMerge w:val="restart"/>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Borders>
              <w:right w:val="single" w:sz="8" w:color="CCEEFF"/>
            </w:tcBorders>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200" w:type="dxa"/>
            <w:vAlign w:val="bottom"/>
            <w:gridSpan w:val="2"/>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tcBorders>
              <w:right w:val="single" w:sz="8" w:color="CCEEFF"/>
            </w:tcBorders>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gridSpan w:val="2"/>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Elyria Foundry Company, LLC</w:t>
            </w:r>
          </w:p>
        </w:tc>
        <w:tc>
          <w:tcPr>
            <w:tcW w:w="140" w:type="dxa"/>
            <w:vAlign w:val="bottom"/>
            <w:vMerge w:val="continue"/>
            <w:shd w:val="clear" w:color="auto" w:fill="CCEEFF"/>
          </w:tcPr>
          <w:p>
            <w:pPr>
              <w:spacing w:after="0"/>
              <w:rPr>
                <w:sz w:val="10"/>
                <w:szCs w:val="10"/>
                <w:color w:val="auto"/>
              </w:rPr>
            </w:pPr>
          </w:p>
        </w:tc>
        <w:tc>
          <w:tcPr>
            <w:tcW w:w="16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Industrial Equipment</w:t>
            </w:r>
          </w:p>
        </w:tc>
        <w:tc>
          <w:tcPr>
            <w:tcW w:w="160" w:type="dxa"/>
            <w:vAlign w:val="bottom"/>
            <w:vMerge w:val="continue"/>
            <w:shd w:val="clear" w:color="auto" w:fill="CCEEFF"/>
          </w:tcPr>
          <w:p>
            <w:pPr>
              <w:spacing w:after="0"/>
              <w:rPr>
                <w:sz w:val="10"/>
                <w:szCs w:val="10"/>
                <w:color w:val="auto"/>
              </w:rPr>
            </w:pPr>
          </w:p>
        </w:tc>
        <w:tc>
          <w:tcPr>
            <w:tcW w:w="160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Preferred Warrants (2013)</w:t>
            </w:r>
          </w:p>
        </w:tc>
        <w:tc>
          <w:tcPr>
            <w:tcW w:w="16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Equity</w:t>
            </w:r>
          </w:p>
        </w:tc>
        <w:tc>
          <w:tcPr>
            <w:tcW w:w="160" w:type="dxa"/>
            <w:vAlign w:val="bottom"/>
            <w:gridSpan w:val="2"/>
            <w:vMerge w:val="continue"/>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0.00%</w:t>
            </w:r>
          </w:p>
        </w:tc>
        <w:tc>
          <w:tcPr>
            <w:tcW w:w="12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280" w:type="dxa"/>
            <w:vAlign w:val="bottom"/>
            <w:tcBorders>
              <w:right w:val="single" w:sz="8" w:color="CCEEFF"/>
            </w:tcBorders>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2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7,291</w:t>
            </w:r>
          </w:p>
        </w:tc>
        <w:tc>
          <w:tcPr>
            <w:tcW w:w="140" w:type="dxa"/>
            <w:vAlign w:val="bottom"/>
            <w:vMerge w:val="continue"/>
            <w:shd w:val="clear" w:color="auto" w:fill="CCEEFF"/>
          </w:tcPr>
          <w:p>
            <w:pPr>
              <w:spacing w:after="0"/>
              <w:rPr>
                <w:sz w:val="10"/>
                <w:szCs w:val="10"/>
                <w:color w:val="auto"/>
              </w:rPr>
            </w:pPr>
          </w:p>
        </w:tc>
        <w:tc>
          <w:tcPr>
            <w:tcW w:w="20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w w:val="71"/>
              </w:rPr>
              <w:t>$</w:t>
            </w:r>
          </w:p>
        </w:tc>
        <w:tc>
          <w:tcPr>
            <w:tcW w:w="120" w:type="dxa"/>
            <w:vAlign w:val="bottom"/>
            <w:shd w:val="clear" w:color="auto" w:fill="CCEEFF"/>
          </w:tcPr>
          <w:p>
            <w:pPr>
              <w:spacing w:after="0"/>
              <w:rPr>
                <w:sz w:val="10"/>
                <w:szCs w:val="10"/>
                <w:color w:val="auto"/>
              </w:rPr>
            </w:pPr>
          </w:p>
        </w:tc>
        <w:tc>
          <w:tcPr>
            <w:tcW w:w="500" w:type="dxa"/>
            <w:vAlign w:val="bottom"/>
            <w:tcBorders>
              <w:right w:val="single" w:sz="8" w:color="CCEEFF"/>
            </w:tcBorders>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0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jc w:val="right"/>
              <w:ind w:right="33"/>
              <w:spacing w:after="0"/>
              <w:rPr>
                <w:sz w:val="20"/>
                <w:szCs w:val="20"/>
                <w:color w:val="auto"/>
              </w:rPr>
            </w:pPr>
            <w:r>
              <w:rPr>
                <w:rFonts w:ascii="Arial" w:cs="Arial" w:eastAsia="Arial" w:hAnsi="Arial"/>
                <w:sz w:val="5"/>
                <w:szCs w:val="5"/>
                <w:color w:val="auto"/>
                <w:w w:val="70"/>
              </w:rPr>
              <w:t>$</w:t>
            </w:r>
          </w:p>
        </w:tc>
        <w:tc>
          <w:tcPr>
            <w:tcW w:w="680" w:type="dxa"/>
            <w:vAlign w:val="bottom"/>
            <w:gridSpan w:val="2"/>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w w:val="98"/>
              </w:rPr>
              <w:t>OLD AII, Inc (fka Aleris International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Common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Equity</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0.00%</w:t>
            </w:r>
          </w:p>
        </w:tc>
        <w:tc>
          <w:tcPr>
            <w:tcW w:w="1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2,624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224,656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Academy, LTD.</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Retailers (Except Food and Drugs)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Initial Term Loan (2012)</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4.50%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8/3/2018</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1,965,150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1,953,154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1,974,150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Acosta,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Term D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5.00%</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3/2/2018</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4,173,199</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4,107,534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4,171,113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Aderant North America,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(First Lien)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6.25%</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12/20/2018</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3,482,500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3,478,743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3,473,794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Aeroflex Incorporated</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Tranche B-1 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4.50%</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11/9/2019</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3,208,854</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3,194,077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3,227,754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Akorn,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B</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4.50%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11/13/2020</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500,000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497,500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501,565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Alcatel-Lucent USA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Telecommunications/Cellular</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US 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7.25%</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1/30/2019</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1,066,938</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1,062,273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1,075,612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Alere Inc. (fka IM US Holdings,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Incremental B-1 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4.25%</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6/30/2017</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1,965,000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1,933,308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1,976,456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80" w:type="dxa"/>
            <w:vAlign w:val="bottom"/>
            <w:gridSpan w:val="2"/>
          </w:tcPr>
          <w:p>
            <w:pPr>
              <w:spacing w:after="0" w:line="112" w:lineRule="exact"/>
              <w:rPr>
                <w:sz w:val="20"/>
                <w:szCs w:val="20"/>
                <w:color w:val="auto"/>
              </w:rPr>
            </w:pPr>
            <w:r>
              <w:rPr>
                <w:rFonts w:ascii="Arial" w:cs="Arial" w:eastAsia="Arial" w:hAnsi="Arial"/>
                <w:sz w:val="11"/>
                <w:szCs w:val="11"/>
                <w:color w:val="auto"/>
                <w:w w:val="90"/>
              </w:rPr>
              <w:t>Aptalis Pharma, Inc. (fka Axcan Intermediate</w:t>
            </w:r>
          </w:p>
        </w:tc>
        <w:tc>
          <w:tcPr>
            <w:tcW w:w="1900" w:type="dxa"/>
            <w:vAlign w:val="bottom"/>
            <w:gridSpan w:val="3"/>
          </w:tcPr>
          <w:p>
            <w:pPr>
              <w:ind w:left="140"/>
              <w:spacing w:after="0" w:line="112" w:lineRule="exact"/>
              <w:rPr>
                <w:sz w:val="20"/>
                <w:szCs w:val="20"/>
                <w:color w:val="auto"/>
              </w:rPr>
            </w:pPr>
            <w:r>
              <w:rPr>
                <w:rFonts w:ascii="Arial" w:cs="Arial" w:eastAsia="Arial" w:hAnsi="Arial"/>
                <w:sz w:val="11"/>
                <w:szCs w:val="11"/>
                <w:color w:val="auto"/>
              </w:rPr>
              <w:t>Drugs</w:t>
            </w:r>
          </w:p>
        </w:tc>
        <w:tc>
          <w:tcPr>
            <w:tcW w:w="1600" w:type="dxa"/>
            <w:vAlign w:val="bottom"/>
            <w:gridSpan w:val="2"/>
          </w:tcPr>
          <w:p>
            <w:pPr>
              <w:spacing w:after="0" w:line="112" w:lineRule="exact"/>
              <w:rPr>
                <w:sz w:val="20"/>
                <w:szCs w:val="20"/>
                <w:color w:val="auto"/>
              </w:rPr>
            </w:pPr>
            <w:r>
              <w:rPr>
                <w:rFonts w:ascii="Arial" w:cs="Arial" w:eastAsia="Arial" w:hAnsi="Arial"/>
                <w:sz w:val="11"/>
                <w:szCs w:val="11"/>
                <w:color w:val="auto"/>
              </w:rPr>
              <w:t>Term B-1 Loan</w:t>
            </w:r>
          </w:p>
        </w:tc>
        <w:tc>
          <w:tcPr>
            <w:tcW w:w="1000" w:type="dxa"/>
            <w:vAlign w:val="bottom"/>
            <w:gridSpan w:val="4"/>
          </w:tcPr>
          <w:p>
            <w:pPr>
              <w:ind w:left="160"/>
              <w:spacing w:after="0" w:line="11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gridSpan w:val="2"/>
          </w:tcPr>
          <w:p>
            <w:pPr>
              <w:ind w:left="160"/>
              <w:spacing w:after="0"/>
              <w:rPr>
                <w:sz w:val="20"/>
                <w:szCs w:val="20"/>
                <w:color w:val="auto"/>
              </w:rPr>
            </w:pPr>
            <w:r>
              <w:rPr>
                <w:rFonts w:ascii="Arial" w:cs="Arial" w:eastAsia="Arial" w:hAnsi="Arial"/>
                <w:sz w:val="11"/>
                <w:szCs w:val="11"/>
                <w:color w:val="auto"/>
              </w:rPr>
              <w:t>Holdings Inc.)</w:t>
            </w: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5.50%</w:t>
            </w:r>
          </w:p>
        </w:tc>
        <w:tc>
          <w:tcPr>
            <w:tcW w:w="1000" w:type="dxa"/>
            <w:vAlign w:val="bottom"/>
            <w:gridSpan w:val="3"/>
          </w:tcPr>
          <w:p>
            <w:pPr>
              <w:jc w:val="right"/>
              <w:ind w:right="60"/>
              <w:spacing w:after="0"/>
              <w:rPr>
                <w:sz w:val="20"/>
                <w:szCs w:val="20"/>
                <w:color w:val="auto"/>
              </w:rPr>
            </w:pPr>
            <w:r>
              <w:rPr>
                <w:rFonts w:ascii="Arial" w:cs="Arial" w:eastAsia="Arial" w:hAnsi="Arial"/>
                <w:sz w:val="11"/>
                <w:szCs w:val="11"/>
                <w:color w:val="auto"/>
              </w:rPr>
              <w:t>2/10/2017</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1,945,000</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1,935,496</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1"/>
                <w:szCs w:val="11"/>
                <w:color w:val="auto"/>
              </w:rPr>
              <w:t>1,963,847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LC-2 Facility</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3.69%</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7/26/2016</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79,187</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79,187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79,328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Aramark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LC-3 Facility</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3.69%</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7/26/2016</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43,961</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43,961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44,039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U.S. Term B Loan (Extending)</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3.69%</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7/26/2016</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977,380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977,380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979,120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Aramark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U.S. Term C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3.75%</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7/26/2016</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2,545,700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2,545,700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2,550,231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ARG IH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Food Services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5.00%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11/15/2020</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500,000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498,753</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501,875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Asurion, LLC (fka Asurion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Insurance</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w w:val="89"/>
              </w:rPr>
              <w:t>Incremental Tranche B-1 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4.50%</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5/24/2019</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5,616,648</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5,567,444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5,612,772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Auction.Com,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A-4</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4.20%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2/28/2017</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993,333</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992,400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985,884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Autotrader.com,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Automotive</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Tranche B-1 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4.00%</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12/15/2016</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3,801,525</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3,801,525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3,825,285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Avantor Performance Materials</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Chemicals/Plastics</w:t>
            </w:r>
          </w:p>
        </w:tc>
        <w:tc>
          <w:tcPr>
            <w:tcW w:w="16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Loan</w:t>
            </w:r>
          </w:p>
        </w:tc>
        <w:tc>
          <w:tcPr>
            <w:tcW w:w="1000" w:type="dxa"/>
            <w:vAlign w:val="bottom"/>
            <w:gridSpan w:val="4"/>
            <w:shd w:val="clear" w:color="auto" w:fill="CCEEFF"/>
          </w:tcPr>
          <w:p>
            <w:pPr>
              <w:ind w:left="160"/>
              <w:spacing w:after="0" w:line="11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Holdings, Inc.</w:t>
            </w: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5.25%</w:t>
            </w:r>
          </w:p>
        </w:tc>
        <w:tc>
          <w:tcPr>
            <w:tcW w:w="10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6/24/2017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4,887,500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4,872,855</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4,887,500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AZ Chem US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5.25%</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12/22/2017</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1,415,023</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1,386,045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1,423,867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Bass Pro Group,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Retailers (Except Food and Drugs)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3.75%</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11/20/2019</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500,000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499,375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501,795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Biomet,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Dollar Term B-1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3.97%</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7/25/2017</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1,975,087</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1,975,087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1,989,585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BJ’s Wholesale Club, Inc.</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Food/Drug Retailers</w:t>
            </w:r>
          </w:p>
        </w:tc>
        <w:tc>
          <w:tcPr>
            <w:tcW w:w="16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88"/>
              </w:rPr>
              <w:t>New 2013 (November) Replacement</w:t>
            </w:r>
          </w:p>
        </w:tc>
        <w:tc>
          <w:tcPr>
            <w:tcW w:w="1000" w:type="dxa"/>
            <w:vAlign w:val="bottom"/>
            <w:gridSpan w:val="4"/>
            <w:shd w:val="clear" w:color="auto" w:fill="CCEEFF"/>
          </w:tcPr>
          <w:p>
            <w:pPr>
              <w:ind w:left="160"/>
              <w:spacing w:after="0" w:line="11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Loan (First Lien)</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4.50%</w:t>
            </w:r>
          </w:p>
        </w:tc>
        <w:tc>
          <w:tcPr>
            <w:tcW w:w="10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9/26/2019</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500,000</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497,500</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501,455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Bombardier Recreational Products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Leisure Goods/Activities/Movies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Term B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4.00%</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1/30/2019</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754,285</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747,769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755,900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Brock Holdings III,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Industrial Equipment</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(First Lien)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6.01%</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3/16/2017</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1,983,998</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2,002,588</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1,988,958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80" w:type="dxa"/>
            <w:vAlign w:val="bottom"/>
            <w:gridSpan w:val="2"/>
          </w:tcPr>
          <w:p>
            <w:pPr>
              <w:spacing w:after="0" w:line="112" w:lineRule="exact"/>
              <w:rPr>
                <w:sz w:val="20"/>
                <w:szCs w:val="20"/>
                <w:color w:val="auto"/>
              </w:rPr>
            </w:pPr>
            <w:r>
              <w:rPr>
                <w:rFonts w:ascii="Arial" w:cs="Arial" w:eastAsia="Arial" w:hAnsi="Arial"/>
                <w:sz w:val="11"/>
                <w:szCs w:val="11"/>
                <w:color w:val="auto"/>
              </w:rPr>
              <w:t>Burlington Coat Factory Warehouse</w:t>
            </w:r>
          </w:p>
        </w:tc>
        <w:tc>
          <w:tcPr>
            <w:tcW w:w="1900" w:type="dxa"/>
            <w:vAlign w:val="bottom"/>
            <w:gridSpan w:val="3"/>
          </w:tcPr>
          <w:p>
            <w:pPr>
              <w:ind w:left="140"/>
              <w:spacing w:after="0" w:line="112" w:lineRule="exact"/>
              <w:rPr>
                <w:sz w:val="20"/>
                <w:szCs w:val="20"/>
                <w:color w:val="auto"/>
              </w:rPr>
            </w:pPr>
            <w:r>
              <w:rPr>
                <w:rFonts w:ascii="Arial" w:cs="Arial" w:eastAsia="Arial" w:hAnsi="Arial"/>
                <w:sz w:val="11"/>
                <w:szCs w:val="11"/>
                <w:color w:val="auto"/>
              </w:rPr>
              <w:t>Retailers (Except Food and Drugs)</w:t>
            </w:r>
          </w:p>
        </w:tc>
        <w:tc>
          <w:tcPr>
            <w:tcW w:w="1600" w:type="dxa"/>
            <w:vAlign w:val="bottom"/>
            <w:gridSpan w:val="2"/>
          </w:tcPr>
          <w:p>
            <w:pPr>
              <w:spacing w:after="0" w:line="112" w:lineRule="exact"/>
              <w:rPr>
                <w:sz w:val="20"/>
                <w:szCs w:val="20"/>
                <w:color w:val="auto"/>
              </w:rPr>
            </w:pPr>
            <w:r>
              <w:rPr>
                <w:rFonts w:ascii="Arial" w:cs="Arial" w:eastAsia="Arial" w:hAnsi="Arial"/>
                <w:sz w:val="11"/>
                <w:szCs w:val="11"/>
                <w:color w:val="auto"/>
              </w:rPr>
              <w:t>Term B-2 Loan</w:t>
            </w:r>
          </w:p>
        </w:tc>
        <w:tc>
          <w:tcPr>
            <w:tcW w:w="1000" w:type="dxa"/>
            <w:vAlign w:val="bottom"/>
            <w:gridSpan w:val="4"/>
          </w:tcPr>
          <w:p>
            <w:pPr>
              <w:ind w:left="160"/>
              <w:spacing w:after="0" w:line="11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gridSpan w:val="2"/>
          </w:tcPr>
          <w:p>
            <w:pPr>
              <w:ind w:left="160"/>
              <w:spacing w:after="0"/>
              <w:rPr>
                <w:sz w:val="20"/>
                <w:szCs w:val="20"/>
                <w:color w:val="auto"/>
              </w:rPr>
            </w:pPr>
            <w:r>
              <w:rPr>
                <w:rFonts w:ascii="Arial" w:cs="Arial" w:eastAsia="Arial" w:hAnsi="Arial"/>
                <w:sz w:val="11"/>
                <w:szCs w:val="11"/>
                <w:color w:val="auto"/>
              </w:rPr>
              <w:t>Corporation</w:t>
            </w: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4.25%</w:t>
            </w:r>
          </w:p>
        </w:tc>
        <w:tc>
          <w:tcPr>
            <w:tcW w:w="1000" w:type="dxa"/>
            <w:vAlign w:val="bottom"/>
            <w:gridSpan w:val="3"/>
          </w:tcPr>
          <w:p>
            <w:pPr>
              <w:jc w:val="right"/>
              <w:ind w:right="60"/>
              <w:spacing w:after="0"/>
              <w:rPr>
                <w:sz w:val="20"/>
                <w:szCs w:val="20"/>
                <w:color w:val="auto"/>
              </w:rPr>
            </w:pPr>
            <w:r>
              <w:rPr>
                <w:rFonts w:ascii="Arial" w:cs="Arial" w:eastAsia="Arial" w:hAnsi="Arial"/>
                <w:sz w:val="11"/>
                <w:szCs w:val="11"/>
                <w:color w:val="auto"/>
              </w:rPr>
              <w:t>2/23/2017</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2,762,958</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2,755,664</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1"/>
                <w:szCs w:val="11"/>
                <w:color w:val="auto"/>
              </w:rPr>
              <w:t>2,777,768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C.H.I. Overhead Doors, Inc. (CHI)</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Home Furnishings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(First Lien)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5.50%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3/18/2019</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2,870,466</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2,819,817</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2,874,054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Camp International Holding Company</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w w:val="94"/>
              </w:rPr>
              <w:t>Refinanced Term Loan (First Lien)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5.25%</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5/31/2019</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990,000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981,827</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992,475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Capital Automotive L.P.</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Tranche B-1 Term Loan Facility</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4.00%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4/10/2019</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2,143,450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2,148,234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2,153,503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Capstone Logistics, LLC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Term Note A</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6.50%</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9/16/2016</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2,675,560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2,652,296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2,635,578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Capsugel Holdings US,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Drugs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Initial 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4.75%</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8/1/2018</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3,342,357</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3,334,996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3,334,001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Celanese US Holdings LLC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Dollar Term C Loan (Extended)</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3.03%</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10/31/2016</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2,181,792</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2,209,793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2,204,700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8"/>
              </w:rPr>
              <w:t>Charter Communications Operating,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Cable and Satellite Television</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F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3.00%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12/31/2020</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2,689,447</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2,679,082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2,650,450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CHS/Community Health Systems,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Extended 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3.77%</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1/25/2017</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4,064,516</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3,983,104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4,083,457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Cinedigm Digital Funding I,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3.75%</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2/28/2018</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886,841</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882,016</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884,624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Covanta Energy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Ecological Services and Equipment</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3.50%</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3/28/2019</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492,500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490,626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494,347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8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CPI International Acquisition, Inc. (f/k/a</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Electronics/Electric</w:t>
            </w:r>
          </w:p>
        </w:tc>
        <w:tc>
          <w:tcPr>
            <w:tcW w:w="16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Term B Loan</w:t>
            </w:r>
          </w:p>
        </w:tc>
        <w:tc>
          <w:tcPr>
            <w:tcW w:w="1000" w:type="dxa"/>
            <w:vAlign w:val="bottom"/>
            <w:gridSpan w:val="4"/>
            <w:shd w:val="clear" w:color="auto" w:fill="CCEEFF"/>
          </w:tcPr>
          <w:p>
            <w:pPr>
              <w:ind w:left="160"/>
              <w:spacing w:after="0" w:line="11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9"/>
                <w:szCs w:val="9"/>
                <w:color w:val="auto"/>
              </w:rPr>
            </w:pPr>
          </w:p>
        </w:tc>
        <w:tc>
          <w:tcPr>
            <w:tcW w:w="2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0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500" w:type="dxa"/>
            <w:vAlign w:val="bottom"/>
            <w:tcBorders>
              <w:right w:val="single" w:sz="8" w:color="CCEEFF"/>
            </w:tcBorders>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Catalyst Holdings, Inc.)</w:t>
            </w: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1"/>
                <w:szCs w:val="11"/>
                <w:color w:val="auto"/>
              </w:rPr>
              <w:t>5.00%</w:t>
            </w:r>
          </w:p>
        </w:tc>
        <w:tc>
          <w:tcPr>
            <w:tcW w:w="100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1"/>
                <w:szCs w:val="11"/>
                <w:color w:val="auto"/>
              </w:rPr>
              <w:t>2/13/2017</w:t>
            </w:r>
          </w:p>
        </w:tc>
        <w:tc>
          <w:tcPr>
            <w:tcW w:w="160" w:type="dxa"/>
            <w:vAlign w:val="bottom"/>
            <w:gridSpan w:val="2"/>
            <w:shd w:val="clear" w:color="auto" w:fill="CCEEFF"/>
          </w:tcPr>
          <w:p>
            <w:pPr>
              <w:jc w:val="right"/>
              <w:ind w:right="20"/>
              <w:spacing w:after="0"/>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4,805,833</w:t>
            </w:r>
          </w:p>
        </w:tc>
        <w:tc>
          <w:tcPr>
            <w:tcW w:w="14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1"/>
                <w:szCs w:val="11"/>
                <w:color w:val="auto"/>
              </w:rPr>
              <w:t>4,792,984</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3"/>
            <w:shd w:val="clear" w:color="auto" w:fill="CCEEFF"/>
          </w:tcPr>
          <w:p>
            <w:pPr>
              <w:jc w:val="right"/>
              <w:ind w:right="80"/>
              <w:spacing w:after="0"/>
              <w:rPr>
                <w:sz w:val="20"/>
                <w:szCs w:val="20"/>
                <w:color w:val="auto"/>
              </w:rPr>
            </w:pPr>
            <w:r>
              <w:rPr>
                <w:rFonts w:ascii="Arial" w:cs="Arial" w:eastAsia="Arial" w:hAnsi="Arial"/>
                <w:sz w:val="11"/>
                <w:szCs w:val="11"/>
                <w:color w:val="auto"/>
              </w:rPr>
              <w:t>4,814,868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Crosby US Acquisition Corp.</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Industrial Equipment</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Initial Term Loan (First Lien)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4.00%</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11/23/2020</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750,000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749,063</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750,705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Crown Castle Operating Company</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Telecommunications/Cellular</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Tranche B 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3.25%</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1/31/2019</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1,965,129</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1,947,580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1,961,160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Dollar Loan (First Lien)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6.25%</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12/19/2017</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789,663</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736,761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744,257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Dollar Loan (Second Lien)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9.50%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6/19/2018</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783,162</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729,134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669,604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980" w:type="dxa"/>
            <w:vAlign w:val="bottom"/>
            <w:gridSpan w:val="2"/>
          </w:tcPr>
          <w:p>
            <w:pPr>
              <w:spacing w:after="0" w:line="112" w:lineRule="exact"/>
              <w:rPr>
                <w:sz w:val="20"/>
                <w:szCs w:val="20"/>
                <w:color w:val="auto"/>
              </w:rPr>
            </w:pPr>
            <w:r>
              <w:rPr>
                <w:rFonts w:ascii="Arial" w:cs="Arial" w:eastAsia="Arial" w:hAnsi="Arial"/>
                <w:sz w:val="11"/>
                <w:szCs w:val="11"/>
                <w:color w:val="auto"/>
                <w:w w:val="91"/>
              </w:rPr>
              <w:t>DaVita HealthCare Partners Inc. (fka DaVita</w:t>
            </w:r>
          </w:p>
        </w:tc>
        <w:tc>
          <w:tcPr>
            <w:tcW w:w="1900" w:type="dxa"/>
            <w:vAlign w:val="bottom"/>
            <w:gridSpan w:val="3"/>
          </w:tcPr>
          <w:p>
            <w:pPr>
              <w:ind w:left="140"/>
              <w:spacing w:after="0" w:line="112" w:lineRule="exact"/>
              <w:rPr>
                <w:sz w:val="20"/>
                <w:szCs w:val="20"/>
                <w:color w:val="auto"/>
              </w:rPr>
            </w:pPr>
            <w:r>
              <w:rPr>
                <w:rFonts w:ascii="Arial" w:cs="Arial" w:eastAsia="Arial" w:hAnsi="Arial"/>
                <w:sz w:val="11"/>
                <w:szCs w:val="11"/>
                <w:color w:val="auto"/>
              </w:rPr>
              <w:t>Healthcare</w:t>
            </w:r>
          </w:p>
        </w:tc>
        <w:tc>
          <w:tcPr>
            <w:tcW w:w="1600" w:type="dxa"/>
            <w:vAlign w:val="bottom"/>
            <w:gridSpan w:val="2"/>
          </w:tcPr>
          <w:p>
            <w:pPr>
              <w:spacing w:after="0" w:line="112" w:lineRule="exact"/>
              <w:rPr>
                <w:sz w:val="20"/>
                <w:szCs w:val="20"/>
                <w:color w:val="auto"/>
              </w:rPr>
            </w:pPr>
            <w:r>
              <w:rPr>
                <w:rFonts w:ascii="Arial" w:cs="Arial" w:eastAsia="Arial" w:hAnsi="Arial"/>
                <w:sz w:val="11"/>
                <w:szCs w:val="11"/>
                <w:color w:val="auto"/>
              </w:rPr>
              <w:t>Tranche B Term Loan</w:t>
            </w:r>
          </w:p>
        </w:tc>
        <w:tc>
          <w:tcPr>
            <w:tcW w:w="1000" w:type="dxa"/>
            <w:vAlign w:val="bottom"/>
            <w:gridSpan w:val="4"/>
          </w:tcPr>
          <w:p>
            <w:pPr>
              <w:ind w:left="160"/>
              <w:spacing w:after="0" w:line="11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9"/>
                <w:szCs w:val="9"/>
                <w:color w:val="auto"/>
              </w:rPr>
            </w:pPr>
          </w:p>
        </w:tc>
        <w:tc>
          <w:tcPr>
            <w:tcW w:w="24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980" w:type="dxa"/>
            <w:vAlign w:val="bottom"/>
            <w:gridSpan w:val="2"/>
          </w:tcPr>
          <w:p>
            <w:pPr>
              <w:ind w:left="160"/>
              <w:spacing w:after="0"/>
              <w:rPr>
                <w:sz w:val="20"/>
                <w:szCs w:val="20"/>
                <w:color w:val="auto"/>
              </w:rPr>
            </w:pPr>
            <w:r>
              <w:rPr>
                <w:rFonts w:ascii="Arial" w:cs="Arial" w:eastAsia="Arial" w:hAnsi="Arial"/>
                <w:sz w:val="11"/>
                <w:szCs w:val="11"/>
                <w:color w:val="auto"/>
              </w:rPr>
              <w:t>Inc.)</w:t>
            </w: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20" w:type="dxa"/>
            <w:vAlign w:val="bottom"/>
            <w:gridSpan w:val="2"/>
          </w:tcPr>
          <w:p>
            <w:pPr>
              <w:jc w:val="right"/>
              <w:spacing w:after="0"/>
              <w:rPr>
                <w:sz w:val="20"/>
                <w:szCs w:val="20"/>
                <w:color w:val="auto"/>
              </w:rPr>
            </w:pPr>
            <w:r>
              <w:rPr>
                <w:rFonts w:ascii="Arial" w:cs="Arial" w:eastAsia="Arial" w:hAnsi="Arial"/>
                <w:sz w:val="11"/>
                <w:szCs w:val="11"/>
                <w:color w:val="auto"/>
              </w:rPr>
              <w:t>4.50%</w:t>
            </w:r>
          </w:p>
        </w:tc>
        <w:tc>
          <w:tcPr>
            <w:tcW w:w="1000" w:type="dxa"/>
            <w:vAlign w:val="bottom"/>
            <w:gridSpan w:val="3"/>
          </w:tcPr>
          <w:p>
            <w:pPr>
              <w:jc w:val="right"/>
              <w:ind w:right="60"/>
              <w:spacing w:after="0"/>
              <w:rPr>
                <w:sz w:val="20"/>
                <w:szCs w:val="20"/>
                <w:color w:val="auto"/>
              </w:rPr>
            </w:pPr>
            <w:r>
              <w:rPr>
                <w:rFonts w:ascii="Arial" w:cs="Arial" w:eastAsia="Arial" w:hAnsi="Arial"/>
                <w:sz w:val="11"/>
                <w:szCs w:val="11"/>
                <w:color w:val="auto"/>
              </w:rPr>
              <w:t>10/20/2016</w:t>
            </w:r>
          </w:p>
        </w:tc>
        <w:tc>
          <w:tcPr>
            <w:tcW w:w="160" w:type="dxa"/>
            <w:vAlign w:val="bottom"/>
            <w:gridSpan w:val="2"/>
          </w:tcPr>
          <w:p>
            <w:pPr>
              <w:jc w:val="right"/>
              <w:ind w:right="20"/>
              <w:spacing w:after="0"/>
              <w:rPr>
                <w:sz w:val="20"/>
                <w:szCs w:val="20"/>
                <w:color w:val="auto"/>
              </w:rPr>
            </w:pPr>
            <w:r>
              <w:rPr>
                <w:rFonts w:ascii="Arial" w:cs="Arial" w:eastAsia="Arial" w:hAnsi="Arial"/>
                <w:sz w:val="11"/>
                <w:szCs w:val="11"/>
                <w:color w:val="auto"/>
              </w:rPr>
              <w:t>$</w:t>
            </w:r>
          </w:p>
        </w:tc>
        <w:tc>
          <w:tcPr>
            <w:tcW w:w="1020" w:type="dxa"/>
            <w:vAlign w:val="bottom"/>
          </w:tcPr>
          <w:p>
            <w:pPr>
              <w:jc w:val="right"/>
              <w:spacing w:after="0"/>
              <w:rPr>
                <w:sz w:val="20"/>
                <w:szCs w:val="20"/>
                <w:color w:val="auto"/>
              </w:rPr>
            </w:pPr>
            <w:r>
              <w:rPr>
                <w:rFonts w:ascii="Arial" w:cs="Arial" w:eastAsia="Arial" w:hAnsi="Arial"/>
                <w:sz w:val="11"/>
                <w:szCs w:val="11"/>
                <w:color w:val="auto"/>
              </w:rPr>
              <w:t>3,919,395</w:t>
            </w: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gridSpan w:val="2"/>
          </w:tcPr>
          <w:p>
            <w:pPr>
              <w:jc w:val="right"/>
              <w:spacing w:after="0"/>
              <w:rPr>
                <w:sz w:val="20"/>
                <w:szCs w:val="20"/>
                <w:color w:val="auto"/>
              </w:rPr>
            </w:pPr>
            <w:r>
              <w:rPr>
                <w:rFonts w:ascii="Arial" w:cs="Arial" w:eastAsia="Arial" w:hAnsi="Arial"/>
                <w:sz w:val="11"/>
                <w:szCs w:val="11"/>
                <w:color w:val="auto"/>
              </w:rPr>
              <w:t>3,919,395</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3"/>
          </w:tcPr>
          <w:p>
            <w:pPr>
              <w:jc w:val="right"/>
              <w:ind w:right="80"/>
              <w:spacing w:after="0"/>
              <w:rPr>
                <w:sz w:val="20"/>
                <w:szCs w:val="20"/>
                <w:color w:val="auto"/>
              </w:rPr>
            </w:pPr>
            <w:r>
              <w:rPr>
                <w:rFonts w:ascii="Arial" w:cs="Arial" w:eastAsia="Arial" w:hAnsi="Arial"/>
                <w:sz w:val="11"/>
                <w:szCs w:val="11"/>
                <w:color w:val="auto"/>
              </w:rPr>
              <w:t>3,938,013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DCS Business Services,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Financial Intermediaries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B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7.25%</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3/19/2018</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3,841,340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3,800,100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3,745,306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Del Monte Foods Company</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Initial 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4.00%</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3/8/2018</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4,304,067</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4,336,219</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4,318,873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Dell International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Retailers (Except Food and Drugs)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B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4.50%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4/29/2020</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2,000,000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1,987,500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1,979,100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Digitalglobe,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Ecological Services and Equipment</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3.75%</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1/31/2020</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248,750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248,750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250,926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Drew Marine Group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 (First Lien)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4.50%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11/19/2020</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500,000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499,375</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503,125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Dunkin’ Brands,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Food Services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Term B-3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3.75%</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2/14/2020</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3,967,549</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3,958,640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3,973,659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DynCorp International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6.25%</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7/7/2016</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547,845</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543,089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551,270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Education Management LLC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Leisure Goods/Activities/Movies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Tranche C-2 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4.31%</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6/1/2016</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3,892,866</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3,742,224</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3,751,749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EIG Investors Corp.</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5.00%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11/9/2019</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1,000,000</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995,000</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1,005,000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Energy Transfer Equity, L.P.</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Oil &amp; Gas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3.25%</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12/2/2019</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1,000,000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997,500</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997,340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Evergreen Acqco 1 LP</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Retailers (Except Food and Drugs)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 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5.00%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7/9/2019</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493,763</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489,672</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494,533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Federal-Mogul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Automotive</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Tranche B 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2.14%</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12/29/2014</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2,220,981</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2,176,995</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2,192,108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Federal-Mogul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Automotive</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Tranche C 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2.14%</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12/28/2015</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1,310,508</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1,269,309</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1,293,471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tcPr>
          <w:p>
            <w:pPr>
              <w:spacing w:after="0" w:line="122" w:lineRule="exact"/>
              <w:rPr>
                <w:sz w:val="20"/>
                <w:szCs w:val="20"/>
                <w:color w:val="auto"/>
              </w:rPr>
            </w:pPr>
            <w:r>
              <w:rPr>
                <w:rFonts w:ascii="Arial" w:cs="Arial" w:eastAsia="Arial" w:hAnsi="Arial"/>
                <w:sz w:val="11"/>
                <w:szCs w:val="11"/>
                <w:color w:val="auto"/>
              </w:rPr>
              <w:t>First Data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Financial Intermediaries</w:t>
            </w:r>
          </w:p>
        </w:tc>
        <w:tc>
          <w:tcPr>
            <w:tcW w:w="1600" w:type="dxa"/>
            <w:vAlign w:val="bottom"/>
            <w:gridSpan w:val="2"/>
          </w:tcPr>
          <w:p>
            <w:pPr>
              <w:spacing w:after="0" w:line="122" w:lineRule="exact"/>
              <w:rPr>
                <w:sz w:val="20"/>
                <w:szCs w:val="20"/>
                <w:color w:val="auto"/>
              </w:rPr>
            </w:pPr>
            <w:r>
              <w:rPr>
                <w:rFonts w:ascii="Arial" w:cs="Arial" w:eastAsia="Arial" w:hAnsi="Arial"/>
                <w:sz w:val="11"/>
                <w:szCs w:val="11"/>
                <w:color w:val="auto"/>
              </w:rPr>
              <w:t>2017 New Dollar Term Loan</w:t>
            </w:r>
          </w:p>
        </w:tc>
        <w:tc>
          <w:tcPr>
            <w:tcW w:w="1000" w:type="dxa"/>
            <w:vAlign w:val="bottom"/>
            <w:gridSpan w:val="4"/>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4.20%</w:t>
            </w:r>
          </w:p>
        </w:tc>
        <w:tc>
          <w:tcPr>
            <w:tcW w:w="1000" w:type="dxa"/>
            <w:vAlign w:val="bottom"/>
            <w:gridSpan w:val="3"/>
          </w:tcPr>
          <w:p>
            <w:pPr>
              <w:jc w:val="right"/>
              <w:ind w:right="60"/>
              <w:spacing w:after="0" w:line="122" w:lineRule="exact"/>
              <w:rPr>
                <w:sz w:val="20"/>
                <w:szCs w:val="20"/>
                <w:color w:val="auto"/>
              </w:rPr>
            </w:pPr>
            <w:r>
              <w:rPr>
                <w:rFonts w:ascii="Arial" w:cs="Arial" w:eastAsia="Arial" w:hAnsi="Arial"/>
                <w:sz w:val="11"/>
                <w:szCs w:val="11"/>
                <w:color w:val="auto"/>
              </w:rPr>
              <w:t>3/24/2017</w:t>
            </w:r>
          </w:p>
        </w:tc>
        <w:tc>
          <w:tcPr>
            <w:tcW w:w="160" w:type="dxa"/>
            <w:vAlign w:val="bottom"/>
            <w:gridSpan w:val="2"/>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tcPr>
          <w:p>
            <w:pPr>
              <w:jc w:val="right"/>
              <w:spacing w:after="0" w:line="122" w:lineRule="exact"/>
              <w:rPr>
                <w:sz w:val="20"/>
                <w:szCs w:val="20"/>
                <w:color w:val="auto"/>
              </w:rPr>
            </w:pPr>
            <w:r>
              <w:rPr>
                <w:rFonts w:ascii="Arial" w:cs="Arial" w:eastAsia="Arial" w:hAnsi="Arial"/>
                <w:sz w:val="11"/>
                <w:szCs w:val="11"/>
                <w:color w:val="auto"/>
              </w:rPr>
              <w:t>2,111,028</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gridSpan w:val="2"/>
          </w:tcPr>
          <w:p>
            <w:pPr>
              <w:jc w:val="right"/>
              <w:spacing w:after="0" w:line="122" w:lineRule="exact"/>
              <w:rPr>
                <w:sz w:val="20"/>
                <w:szCs w:val="20"/>
                <w:color w:val="auto"/>
              </w:rPr>
            </w:pPr>
            <w:r>
              <w:rPr>
                <w:rFonts w:ascii="Arial" w:cs="Arial" w:eastAsia="Arial" w:hAnsi="Arial"/>
                <w:sz w:val="11"/>
                <w:szCs w:val="11"/>
                <w:color w:val="auto"/>
              </w:rPr>
              <w:t>2,024,861</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3"/>
          </w:tcPr>
          <w:p>
            <w:pPr>
              <w:jc w:val="right"/>
              <w:ind w:right="80"/>
              <w:spacing w:after="0" w:line="122" w:lineRule="exact"/>
              <w:rPr>
                <w:sz w:val="20"/>
                <w:szCs w:val="20"/>
                <w:color w:val="auto"/>
              </w:rPr>
            </w:pPr>
            <w:r>
              <w:rPr>
                <w:rFonts w:ascii="Arial" w:cs="Arial" w:eastAsia="Arial" w:hAnsi="Arial"/>
                <w:sz w:val="11"/>
                <w:szCs w:val="11"/>
                <w:color w:val="auto"/>
              </w:rPr>
              <w:t>2,115,545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98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First Data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Financial Intermediaries</w:t>
            </w:r>
          </w:p>
        </w:tc>
        <w:tc>
          <w:tcPr>
            <w:tcW w:w="16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2018 Dollar Term Loan</w:t>
            </w:r>
          </w:p>
        </w:tc>
        <w:tc>
          <w:tcPr>
            <w:tcW w:w="1000" w:type="dxa"/>
            <w:vAlign w:val="bottom"/>
            <w:gridSpan w:val="4"/>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420" w:type="dxa"/>
            <w:vAlign w:val="bottom"/>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4.20%</w:t>
            </w:r>
          </w:p>
        </w:tc>
        <w:tc>
          <w:tcPr>
            <w:tcW w:w="1000" w:type="dxa"/>
            <w:vAlign w:val="bottom"/>
            <w:tcBorders>
              <w:right w:val="single" w:sz="8" w:color="CCEEFF"/>
            </w:tcBorders>
            <w:gridSpan w:val="3"/>
            <w:shd w:val="clear" w:color="auto" w:fill="CCEEFF"/>
          </w:tcPr>
          <w:p>
            <w:pPr>
              <w:jc w:val="right"/>
              <w:ind w:right="60"/>
              <w:spacing w:after="0" w:line="122" w:lineRule="exact"/>
              <w:rPr>
                <w:sz w:val="20"/>
                <w:szCs w:val="20"/>
                <w:color w:val="auto"/>
              </w:rPr>
            </w:pPr>
            <w:r>
              <w:rPr>
                <w:rFonts w:ascii="Arial" w:cs="Arial" w:eastAsia="Arial" w:hAnsi="Arial"/>
                <w:sz w:val="11"/>
                <w:szCs w:val="11"/>
                <w:color w:val="auto"/>
              </w:rPr>
              <w:t>3/23/2018</w:t>
            </w:r>
          </w:p>
        </w:tc>
        <w:tc>
          <w:tcPr>
            <w:tcW w:w="160" w:type="dxa"/>
            <w:vAlign w:val="bottom"/>
            <w:gridSpan w:val="2"/>
            <w:shd w:val="clear" w:color="auto" w:fill="CCEEFF"/>
          </w:tcPr>
          <w:p>
            <w:pPr>
              <w:jc w:val="right"/>
              <w:ind w:right="20"/>
              <w:spacing w:after="0" w:line="122" w:lineRule="exact"/>
              <w:rPr>
                <w:sz w:val="20"/>
                <w:szCs w:val="20"/>
                <w:color w:val="auto"/>
              </w:rPr>
            </w:pPr>
            <w:r>
              <w:rPr>
                <w:rFonts w:ascii="Arial" w:cs="Arial" w:eastAsia="Arial" w:hAnsi="Arial"/>
                <w:sz w:val="11"/>
                <w:szCs w:val="11"/>
                <w:color w:val="auto"/>
              </w:rPr>
              <w:t>$</w:t>
            </w:r>
          </w:p>
        </w:tc>
        <w:tc>
          <w:tcPr>
            <w:tcW w:w="102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2,290,451</w:t>
            </w: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20" w:type="dxa"/>
            <w:vAlign w:val="bottom"/>
            <w:tcBorders>
              <w:right w:val="single" w:sz="8" w:color="CCEEFF"/>
            </w:tcBorders>
            <w:gridSpan w:val="2"/>
            <w:shd w:val="clear" w:color="auto" w:fill="CCEEFF"/>
          </w:tcPr>
          <w:p>
            <w:pPr>
              <w:jc w:val="right"/>
              <w:spacing w:after="0" w:line="122" w:lineRule="exact"/>
              <w:rPr>
                <w:sz w:val="20"/>
                <w:szCs w:val="20"/>
                <w:color w:val="auto"/>
              </w:rPr>
            </w:pPr>
            <w:r>
              <w:rPr>
                <w:rFonts w:ascii="Arial" w:cs="Arial" w:eastAsia="Arial" w:hAnsi="Arial"/>
                <w:sz w:val="11"/>
                <w:szCs w:val="11"/>
                <w:color w:val="auto"/>
              </w:rPr>
              <w:t>2,227,784</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3"/>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2,295,032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-6647815</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-6647815</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125" w:right="199" w:bottom="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26"/>
        </w:trPr>
        <w:tc>
          <w:tcPr>
            <w:tcW w:w="2060" w:type="dxa"/>
            <w:vAlign w:val="bottom"/>
            <w:gridSpan w:val="3"/>
          </w:tcPr>
          <w:p>
            <w:pPr>
              <w:spacing w:after="0"/>
              <w:rPr>
                <w:sz w:val="20"/>
                <w:szCs w:val="20"/>
                <w:color w:val="auto"/>
              </w:rPr>
            </w:pPr>
            <w:r>
              <w:rPr>
                <w:rFonts w:ascii="Arial" w:cs="Arial" w:eastAsia="Arial" w:hAnsi="Arial"/>
                <w:sz w:val="11"/>
                <w:szCs w:val="11"/>
                <w:color w:val="auto"/>
              </w:rPr>
              <w:t>FMG Resources (August 2006) Pty LTD</w:t>
            </w:r>
          </w:p>
        </w:tc>
        <w:tc>
          <w:tcPr>
            <w:tcW w:w="1760" w:type="dxa"/>
            <w:vAlign w:val="bottom"/>
          </w:tcPr>
          <w:p>
            <w:pPr>
              <w:ind w:left="80"/>
              <w:spacing w:after="0"/>
              <w:rPr>
                <w:sz w:val="20"/>
                <w:szCs w:val="20"/>
                <w:color w:val="auto"/>
              </w:rPr>
            </w:pPr>
            <w:r>
              <w:rPr>
                <w:rFonts w:ascii="Arial" w:cs="Arial" w:eastAsia="Arial" w:hAnsi="Arial"/>
                <w:sz w:val="11"/>
                <w:szCs w:val="11"/>
                <w:color w:val="auto"/>
              </w:rPr>
              <w:t>Nonferrous Metals/Minerals</w:t>
            </w:r>
          </w:p>
        </w:tc>
        <w:tc>
          <w:tcPr>
            <w:tcW w:w="1740" w:type="dxa"/>
            <w:vAlign w:val="bottom"/>
          </w:tcPr>
          <w:p>
            <w:pPr>
              <w:ind w:left="80"/>
              <w:spacing w:after="0"/>
              <w:rPr>
                <w:sz w:val="20"/>
                <w:szCs w:val="20"/>
                <w:color w:val="auto"/>
              </w:rPr>
            </w:pPr>
            <w:r>
              <w:rPr>
                <w:rFonts w:ascii="Arial" w:cs="Arial" w:eastAsia="Arial" w:hAnsi="Arial"/>
                <w:sz w:val="11"/>
                <w:szCs w:val="11"/>
                <w:color w:val="auto"/>
              </w:rPr>
              <w:t>Loan</w:t>
            </w:r>
          </w:p>
        </w:tc>
        <w:tc>
          <w:tcPr>
            <w:tcW w:w="880" w:type="dxa"/>
            <w:vAlign w:val="bottom"/>
          </w:tcPr>
          <w:p>
            <w:pPr>
              <w:ind w:left="100"/>
              <w:spacing w:after="0"/>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4.25%</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6/28/2019</w:t>
            </w:r>
          </w:p>
        </w:tc>
        <w:tc>
          <w:tcPr>
            <w:tcW w:w="400" w:type="dxa"/>
            <w:vAlign w:val="bottom"/>
          </w:tcPr>
          <w:p>
            <w:pPr>
              <w:ind w:left="6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rPr>
                <w:sz w:val="20"/>
                <w:szCs w:val="20"/>
                <w:color w:val="auto"/>
              </w:rPr>
            </w:pPr>
            <w:r>
              <w:rPr>
                <w:rFonts w:ascii="Arial" w:cs="Arial" w:eastAsia="Arial" w:hAnsi="Arial"/>
                <w:sz w:val="11"/>
                <w:szCs w:val="11"/>
                <w:color w:val="auto"/>
              </w:rPr>
              <w:t>1,000,000</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997,506</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1,008,750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tcPr>
          <w:p>
            <w:pPr>
              <w:ind w:left="160"/>
              <w:spacing w:after="0"/>
              <w:rPr>
                <w:sz w:val="20"/>
                <w:szCs w:val="20"/>
                <w:color w:val="auto"/>
              </w:rPr>
            </w:pPr>
            <w:r>
              <w:rPr>
                <w:rFonts w:ascii="Arial" w:cs="Arial" w:eastAsia="Arial" w:hAnsi="Arial"/>
                <w:sz w:val="11"/>
                <w:szCs w:val="11"/>
                <w:color w:val="auto"/>
              </w:rPr>
              <w:t>(FMG America Finance, Inc.)</w:t>
            </w:r>
          </w:p>
        </w:tc>
        <w:tc>
          <w:tcPr>
            <w:tcW w:w="1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Garda World Security Corporation</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B Delayed Draw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0.50%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11/6/2020</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203,704</w:t>
            </w:r>
          </w:p>
        </w:tc>
        <w:tc>
          <w:tcPr>
            <w:tcW w:w="940" w:type="dxa"/>
            <w:vAlign w:val="bottom"/>
            <w:shd w:val="clear" w:color="auto" w:fill="CCEEFF"/>
          </w:tcPr>
          <w:p>
            <w:pPr>
              <w:jc w:val="right"/>
              <w:ind w:right="124"/>
              <w:spacing w:after="0" w:line="122" w:lineRule="exact"/>
              <w:rPr>
                <w:sz w:val="20"/>
                <w:szCs w:val="20"/>
                <w:color w:val="auto"/>
              </w:rPr>
            </w:pPr>
            <w:r>
              <w:rPr>
                <w:rFonts w:ascii="Arial" w:cs="Arial" w:eastAsia="Arial" w:hAnsi="Arial"/>
                <w:sz w:val="11"/>
                <w:szCs w:val="11"/>
                <w:color w:val="auto"/>
              </w:rPr>
              <w:t>(1,015)</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Garda World Security Corporation</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B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4.00%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11/6/2020</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796,296</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792,329</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799,784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Gardner Denver,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Oil &amp; Gas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Initial Dollar 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4.25%</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7/30/2020</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1,500,000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1,488,750</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1,492,065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Generac Power Systems,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Loan B</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3.50%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5/31/2020</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870,595</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854,438</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870,596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Global Tel*Link Corporation</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 (First Lien)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5/23/2020</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1,925,000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1,920,549</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1,886,500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Goodyear Tire &amp; Rubber Company, The</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Loan (Second Lien)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4.75%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4/30/2019</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4,000,000</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3,938,226</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4,035,000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Grifols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Drugs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New U.S. Tranche B 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4.25%</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6/1/2017</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3,431,901</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3,424,917</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3,447,207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w w:val="98"/>
              </w:rPr>
              <w:t>Grosvenor Capital Management Holdings,</w:t>
            </w:r>
          </w:p>
        </w:tc>
        <w:tc>
          <w:tcPr>
            <w:tcW w:w="1760" w:type="dxa"/>
            <w:vAlign w:val="bottom"/>
          </w:tcPr>
          <w:p>
            <w:pPr>
              <w:ind w:left="80"/>
              <w:spacing w:after="0" w:line="112" w:lineRule="exact"/>
              <w:rPr>
                <w:sz w:val="20"/>
                <w:szCs w:val="20"/>
                <w:color w:val="auto"/>
              </w:rPr>
            </w:pPr>
            <w:r>
              <w:rPr>
                <w:rFonts w:ascii="Arial" w:cs="Arial" w:eastAsia="Arial" w:hAnsi="Arial"/>
                <w:sz w:val="11"/>
                <w:szCs w:val="11"/>
                <w:color w:val="auto"/>
                <w:w w:val="94"/>
              </w:rPr>
              <w:t>Brokers/Dealers/Investment Houses</w:t>
            </w:r>
          </w:p>
        </w:tc>
        <w:tc>
          <w:tcPr>
            <w:tcW w:w="1740" w:type="dxa"/>
            <w:vAlign w:val="bottom"/>
          </w:tcPr>
          <w:p>
            <w:pPr>
              <w:ind w:left="80"/>
              <w:spacing w:after="0" w:line="112" w:lineRule="exact"/>
              <w:rPr>
                <w:sz w:val="20"/>
                <w:szCs w:val="20"/>
                <w:color w:val="auto"/>
              </w:rPr>
            </w:pPr>
            <w:r>
              <w:rPr>
                <w:rFonts w:ascii="Arial" w:cs="Arial" w:eastAsia="Arial" w:hAnsi="Arial"/>
                <w:sz w:val="11"/>
                <w:szCs w:val="11"/>
                <w:color w:val="auto"/>
              </w:rPr>
              <w:t>Term Loan B</w:t>
            </w:r>
          </w:p>
        </w:tc>
        <w:tc>
          <w:tcPr>
            <w:tcW w:w="8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tcPr>
          <w:p>
            <w:pPr>
              <w:ind w:left="160"/>
              <w:spacing w:after="0"/>
              <w:rPr>
                <w:sz w:val="20"/>
                <w:szCs w:val="20"/>
                <w:color w:val="auto"/>
              </w:rPr>
            </w:pPr>
            <w:r>
              <w:rPr>
                <w:rFonts w:ascii="Arial" w:cs="Arial" w:eastAsia="Arial" w:hAnsi="Arial"/>
                <w:sz w:val="11"/>
                <w:szCs w:val="11"/>
                <w:color w:val="auto"/>
              </w:rPr>
              <w:t>LLLP</w:t>
            </w:r>
          </w:p>
        </w:tc>
        <w:tc>
          <w:tcPr>
            <w:tcW w:w="1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4.19%</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1/4/2021</w:t>
            </w:r>
          </w:p>
        </w:tc>
        <w:tc>
          <w:tcPr>
            <w:tcW w:w="400" w:type="dxa"/>
            <w:vAlign w:val="bottom"/>
          </w:tcPr>
          <w:p>
            <w:pPr>
              <w:ind w:left="6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rPr>
                <w:sz w:val="20"/>
                <w:szCs w:val="20"/>
                <w:color w:val="auto"/>
              </w:rPr>
            </w:pPr>
            <w:r>
              <w:rPr>
                <w:rFonts w:ascii="Arial" w:cs="Arial" w:eastAsia="Arial" w:hAnsi="Arial"/>
                <w:sz w:val="11"/>
                <w:szCs w:val="11"/>
                <w:color w:val="auto"/>
              </w:rPr>
              <w:t>3,500,000</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3,482,500</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3,491,250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Grosvenor Capital Management Holdings,</w:t>
            </w:r>
          </w:p>
        </w:tc>
        <w:tc>
          <w:tcPr>
            <w:tcW w:w="17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4"/>
              </w:rPr>
              <w:t>Brokers/Dealers/Investment Houses</w:t>
            </w:r>
          </w:p>
        </w:tc>
        <w:tc>
          <w:tcPr>
            <w:tcW w:w="17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C Term Loan</w:t>
            </w:r>
          </w:p>
        </w:tc>
        <w:tc>
          <w:tcPr>
            <w:tcW w:w="8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LLLP</w:t>
            </w:r>
          </w:p>
        </w:tc>
        <w:tc>
          <w:tcPr>
            <w:tcW w:w="17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4.25%</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12/5/2016</w:t>
            </w:r>
          </w:p>
        </w:tc>
        <w:tc>
          <w:tcPr>
            <w:tcW w:w="400" w:type="dxa"/>
            <w:vAlign w:val="bottom"/>
            <w:shd w:val="clear" w:color="auto" w:fill="CCEEFF"/>
          </w:tcPr>
          <w:p>
            <w:pPr>
              <w:ind w:left="6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3,277,143</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3,211,147</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3,260,757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HCA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Tranche B-4 Term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2.94%</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5/1/2018</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5,734,690</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5,384,082</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5,735,206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Health Management Associates,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Replacement Term B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3.50%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11/16/2018</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2,902,198</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2,881,300</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2,899,934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Hertz Corporation, The</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Automotive</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Tranche B-1 Term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3/11/2018</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2,977,500</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3,015,577</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2,987,058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HMH Holdings (Delaware)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 (Exit Facility)</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5.25%</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5/22/2018</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985,000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970,072</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987,049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Hologic,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w w:val="97"/>
              </w:rPr>
              <w:t>Refinancing Tranche A Term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2.19%</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8/1/2017</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2,343,750</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2,338,831</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2,341,547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Hunter Defense Technologies,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3.45%</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8/22/2014</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3,581,279</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3,566,068</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3,402,215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Huntsman International LLC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Extended Term B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2.73%</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4/19/2017</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3,920,000</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3,890,303</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3,913,140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8"/>
              </w:rPr>
              <w:t>Infor (US), Inc. (fka Lawson Software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B-2 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5.34%</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4/5/2018</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1,776,183</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1,762,209</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1,783,803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Inventiv Health, Inc. (fka Ventive</w:t>
            </w:r>
          </w:p>
        </w:tc>
        <w:tc>
          <w:tcPr>
            <w:tcW w:w="176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740" w:type="dxa"/>
            <w:vAlign w:val="bottom"/>
          </w:tcPr>
          <w:p>
            <w:pPr>
              <w:ind w:left="80"/>
              <w:spacing w:after="0" w:line="112" w:lineRule="exact"/>
              <w:rPr>
                <w:sz w:val="20"/>
                <w:szCs w:val="20"/>
                <w:color w:val="auto"/>
              </w:rPr>
            </w:pPr>
            <w:r>
              <w:rPr>
                <w:rFonts w:ascii="Arial" w:cs="Arial" w:eastAsia="Arial" w:hAnsi="Arial"/>
                <w:sz w:val="11"/>
                <w:szCs w:val="11"/>
                <w:color w:val="auto"/>
              </w:rPr>
              <w:t>Consolidated Term Loan</w:t>
            </w:r>
          </w:p>
        </w:tc>
        <w:tc>
          <w:tcPr>
            <w:tcW w:w="8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tcPr>
          <w:p>
            <w:pPr>
              <w:ind w:left="160"/>
              <w:spacing w:after="0"/>
              <w:rPr>
                <w:sz w:val="20"/>
                <w:szCs w:val="20"/>
                <w:color w:val="auto"/>
              </w:rPr>
            </w:pPr>
            <w:r>
              <w:rPr>
                <w:rFonts w:ascii="Arial" w:cs="Arial" w:eastAsia="Arial" w:hAnsi="Arial"/>
                <w:sz w:val="11"/>
                <w:szCs w:val="11"/>
                <w:color w:val="auto"/>
              </w:rPr>
              <w:t>Health, Inc)</w:t>
            </w:r>
          </w:p>
        </w:tc>
        <w:tc>
          <w:tcPr>
            <w:tcW w:w="1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7.50%</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8/4/2016</w:t>
            </w:r>
          </w:p>
        </w:tc>
        <w:tc>
          <w:tcPr>
            <w:tcW w:w="400" w:type="dxa"/>
            <w:vAlign w:val="bottom"/>
          </w:tcPr>
          <w:p>
            <w:pPr>
              <w:ind w:left="6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rPr>
                <w:sz w:val="20"/>
                <w:szCs w:val="20"/>
                <w:color w:val="auto"/>
              </w:rPr>
            </w:pPr>
            <w:r>
              <w:rPr>
                <w:rFonts w:ascii="Arial" w:cs="Arial" w:eastAsia="Arial" w:hAnsi="Arial"/>
                <w:sz w:val="11"/>
                <w:szCs w:val="11"/>
                <w:color w:val="auto"/>
              </w:rPr>
              <w:t>492,090</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492,090</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486,248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J. Crew Group,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8"/>
              </w:rPr>
              <w:t>Retailers (Except Food and Drugs)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B-1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3/7/2018</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975,000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975,000</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978,354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JFB Firth Rixson Inc.</w:t>
            </w:r>
          </w:p>
        </w:tc>
        <w:tc>
          <w:tcPr>
            <w:tcW w:w="1760" w:type="dxa"/>
            <w:vAlign w:val="bottom"/>
          </w:tcPr>
          <w:p>
            <w:pPr>
              <w:ind w:left="80"/>
              <w:spacing w:after="0" w:line="112" w:lineRule="exact"/>
              <w:rPr>
                <w:sz w:val="20"/>
                <w:szCs w:val="20"/>
                <w:color w:val="auto"/>
              </w:rPr>
            </w:pPr>
            <w:r>
              <w:rPr>
                <w:rFonts w:ascii="Arial" w:cs="Arial" w:eastAsia="Arial" w:hAnsi="Arial"/>
                <w:sz w:val="11"/>
                <w:szCs w:val="11"/>
                <w:color w:val="auto"/>
              </w:rPr>
              <w:t>Industrial Equipment</w:t>
            </w:r>
          </w:p>
        </w:tc>
        <w:tc>
          <w:tcPr>
            <w:tcW w:w="1740" w:type="dxa"/>
            <w:vAlign w:val="bottom"/>
          </w:tcPr>
          <w:p>
            <w:pPr>
              <w:ind w:left="80"/>
              <w:spacing w:after="0" w:line="112" w:lineRule="exact"/>
              <w:rPr>
                <w:sz w:val="20"/>
                <w:szCs w:val="20"/>
                <w:color w:val="auto"/>
              </w:rPr>
            </w:pPr>
            <w:r>
              <w:rPr>
                <w:rFonts w:ascii="Arial" w:cs="Arial" w:eastAsia="Arial" w:hAnsi="Arial"/>
                <w:sz w:val="11"/>
                <w:szCs w:val="11"/>
                <w:color w:val="auto"/>
              </w:rPr>
              <w:t>2013 Replacement Dollar Term</w:t>
            </w:r>
          </w:p>
        </w:tc>
        <w:tc>
          <w:tcPr>
            <w:tcW w:w="8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740" w:type="dxa"/>
            <w:vAlign w:val="bottom"/>
          </w:tcPr>
          <w:p>
            <w:pPr>
              <w:ind w:left="80"/>
              <w:spacing w:after="0"/>
              <w:rPr>
                <w:sz w:val="20"/>
                <w:szCs w:val="20"/>
                <w:color w:val="auto"/>
              </w:rPr>
            </w:pPr>
            <w:r>
              <w:rPr>
                <w:rFonts w:ascii="Arial" w:cs="Arial" w:eastAsia="Arial" w:hAnsi="Arial"/>
                <w:sz w:val="11"/>
                <w:szCs w:val="11"/>
                <w:color w:val="auto"/>
              </w:rPr>
              <w:t>Facility Loan</w:t>
            </w:r>
          </w:p>
        </w:tc>
        <w:tc>
          <w:tcPr>
            <w:tcW w:w="880" w:type="dxa"/>
            <w:vAlign w:val="bottom"/>
          </w:tcPr>
          <w:p>
            <w:pPr>
              <w:spacing w:after="0"/>
              <w:rPr>
                <w:sz w:val="11"/>
                <w:szCs w:val="11"/>
                <w:color w:val="auto"/>
              </w:rPr>
            </w:pP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4.25%</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6/30/2017</w:t>
            </w:r>
          </w:p>
        </w:tc>
        <w:tc>
          <w:tcPr>
            <w:tcW w:w="400" w:type="dxa"/>
            <w:vAlign w:val="bottom"/>
          </w:tcPr>
          <w:p>
            <w:pPr>
              <w:ind w:left="6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rPr>
                <w:sz w:val="20"/>
                <w:szCs w:val="20"/>
                <w:color w:val="auto"/>
              </w:rPr>
            </w:pPr>
            <w:r>
              <w:rPr>
                <w:rFonts w:ascii="Arial" w:cs="Arial" w:eastAsia="Arial" w:hAnsi="Arial"/>
                <w:sz w:val="11"/>
                <w:szCs w:val="11"/>
                <w:color w:val="auto"/>
              </w:rPr>
              <w:t>2,570,786</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2,560,260</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2,579,630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Kinetic Concepts,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Dollar Term D-1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5.50%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5/4/2018</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491,291</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475,733</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496,081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Michaels Stores,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w w:val="98"/>
              </w:rPr>
              <w:t>Retailers (Except Food and Drugs)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B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1/28/2020</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497,500</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497,500</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498,789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Microsemi Corporation</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Incremental 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3.50%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2/19/2020</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500,000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500,000</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501,665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Microsemi Corporation</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2/19/2020</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2,503,704</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2,498,783</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2,509,337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Murray Energy Corporation</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5.25%</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12/5/2019</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1,000,000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995,000</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1,006,560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National CineMedia, LLC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Leisure Goods/Activities/Movies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Loan (2013)</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2.95%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11/26/2019</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1,086,207</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1,052,802</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1,082,134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Newsday, LLC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Publishing</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3.69%</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10/12/2016</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2,953,845</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2,950,975</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2,955,707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Novelis,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Conglomerate</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Initial Term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3/10/2017</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4,870,017</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4,881,756</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4,890,325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NPC International,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Services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4.50%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12/28/2018</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490,833</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490,833</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492,468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NRG Energy,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Utilities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Loan (2013)</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3.25%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7/1/2018</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3,910,350</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3,883,871</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3,902,099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NuSil Technology LLC.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5.25%</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4/7/2017</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811,398</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811,398</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795,843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OEP Pearl Dutch Acquisition B.V.</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Initial BV Term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6.50%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3/30/2018</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142,785</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140,705</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144,034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On Assignment,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Initial Term B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3.50%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5/15/2020</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1,911,364</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1,898,879</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1,904,196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Onex Carestream Finance LP</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Loan (First Lien 2013)</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5.00%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2/25/2017</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4,589,251</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4,568,158</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4,637,622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OpenLink International,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Initial 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7.75%</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10/30/2017</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982,500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969,678</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983,728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P.F. Chang’s China Bistro, Inc. (Wok</w:t>
            </w:r>
          </w:p>
        </w:tc>
        <w:tc>
          <w:tcPr>
            <w:tcW w:w="1760" w:type="dxa"/>
            <w:vAlign w:val="bottom"/>
          </w:tcPr>
          <w:p>
            <w:pPr>
              <w:ind w:left="80"/>
              <w:spacing w:after="0" w:line="112" w:lineRule="exact"/>
              <w:rPr>
                <w:sz w:val="20"/>
                <w:szCs w:val="20"/>
                <w:color w:val="auto"/>
              </w:rPr>
            </w:pPr>
            <w:r>
              <w:rPr>
                <w:rFonts w:ascii="Arial" w:cs="Arial" w:eastAsia="Arial" w:hAnsi="Arial"/>
                <w:sz w:val="11"/>
                <w:szCs w:val="11"/>
                <w:color w:val="auto"/>
              </w:rPr>
              <w:t>Food/Drug Retailers</w:t>
            </w:r>
          </w:p>
        </w:tc>
        <w:tc>
          <w:tcPr>
            <w:tcW w:w="1740" w:type="dxa"/>
            <w:vAlign w:val="bottom"/>
          </w:tcPr>
          <w:p>
            <w:pPr>
              <w:ind w:left="80"/>
              <w:spacing w:after="0" w:line="112" w:lineRule="exact"/>
              <w:rPr>
                <w:sz w:val="20"/>
                <w:szCs w:val="20"/>
                <w:color w:val="auto"/>
              </w:rPr>
            </w:pPr>
            <w:r>
              <w:rPr>
                <w:rFonts w:ascii="Arial" w:cs="Arial" w:eastAsia="Arial" w:hAnsi="Arial"/>
                <w:sz w:val="11"/>
                <w:szCs w:val="11"/>
                <w:color w:val="auto"/>
              </w:rPr>
              <w:t>Term Borrowing</w:t>
            </w:r>
          </w:p>
        </w:tc>
        <w:tc>
          <w:tcPr>
            <w:tcW w:w="8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tcPr>
          <w:p>
            <w:pPr>
              <w:ind w:left="160"/>
              <w:spacing w:after="0"/>
              <w:rPr>
                <w:sz w:val="20"/>
                <w:szCs w:val="20"/>
                <w:color w:val="auto"/>
              </w:rPr>
            </w:pPr>
            <w:r>
              <w:rPr>
                <w:rFonts w:ascii="Arial" w:cs="Arial" w:eastAsia="Arial" w:hAnsi="Arial"/>
                <w:sz w:val="11"/>
                <w:szCs w:val="11"/>
                <w:color w:val="auto"/>
              </w:rPr>
              <w:t>Acquisition Corp.)</w:t>
            </w:r>
          </w:p>
        </w:tc>
        <w:tc>
          <w:tcPr>
            <w:tcW w:w="1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5.25%</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6/22/2019</w:t>
            </w:r>
          </w:p>
        </w:tc>
        <w:tc>
          <w:tcPr>
            <w:tcW w:w="400" w:type="dxa"/>
            <w:vAlign w:val="bottom"/>
          </w:tcPr>
          <w:p>
            <w:pPr>
              <w:ind w:left="6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rPr>
                <w:sz w:val="20"/>
                <w:szCs w:val="20"/>
                <w:color w:val="auto"/>
              </w:rPr>
            </w:pPr>
            <w:r>
              <w:rPr>
                <w:rFonts w:ascii="Arial" w:cs="Arial" w:eastAsia="Arial" w:hAnsi="Arial"/>
                <w:sz w:val="11"/>
                <w:szCs w:val="11"/>
                <w:color w:val="auto"/>
              </w:rPr>
              <w:t>990,000</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982,057</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994,950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5"/>
              </w:rPr>
              <w:t>P2 Upstream Acquisition Co. (P2 Upstream</w:t>
            </w:r>
          </w:p>
        </w:tc>
        <w:tc>
          <w:tcPr>
            <w:tcW w:w="17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Term Loan (First Lien)</w:t>
            </w:r>
          </w:p>
        </w:tc>
        <w:tc>
          <w:tcPr>
            <w:tcW w:w="8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Canada BC ULC)</w:t>
            </w:r>
          </w:p>
        </w:tc>
        <w:tc>
          <w:tcPr>
            <w:tcW w:w="17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10/30/2020</w:t>
            </w:r>
          </w:p>
        </w:tc>
        <w:tc>
          <w:tcPr>
            <w:tcW w:w="400" w:type="dxa"/>
            <w:vAlign w:val="bottom"/>
            <w:shd w:val="clear" w:color="auto" w:fill="CCEEFF"/>
          </w:tcPr>
          <w:p>
            <w:pPr>
              <w:ind w:left="6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1,000,000</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995,008</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1,005,000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PetCo Animal Supplies,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w w:val="98"/>
              </w:rPr>
              <w:t>Retailers (Except Food and Drugs)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New Loans</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4.00%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11/24/2017</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1,488,520</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1,486,977</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1,494,340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6"/>
              </w:rPr>
              <w:t>Pharmaceutical Product Development, Inc.</w:t>
            </w:r>
          </w:p>
        </w:tc>
        <w:tc>
          <w:tcPr>
            <w:tcW w:w="17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Conglomerate</w:t>
            </w:r>
          </w:p>
        </w:tc>
        <w:tc>
          <w:tcPr>
            <w:tcW w:w="17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2013 Term Loan</w:t>
            </w:r>
          </w:p>
        </w:tc>
        <w:tc>
          <w:tcPr>
            <w:tcW w:w="8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(Jaguar Holdings, LLC)</w:t>
            </w:r>
          </w:p>
        </w:tc>
        <w:tc>
          <w:tcPr>
            <w:tcW w:w="17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4.25%</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12/5/2018</w:t>
            </w:r>
          </w:p>
        </w:tc>
        <w:tc>
          <w:tcPr>
            <w:tcW w:w="400" w:type="dxa"/>
            <w:vAlign w:val="bottom"/>
            <w:shd w:val="clear" w:color="auto" w:fill="CCEEFF"/>
          </w:tcPr>
          <w:p>
            <w:pPr>
              <w:ind w:left="6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1,965,150</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1,939,872</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1,976,037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Pinnacle Foods Finance LLC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Food Products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New Term Loan G</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3.25%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4/29/2020</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4,975,000</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4,963,546</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4,967,537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Prestige Brands,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Drugs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B-1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3.75%</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1/31/2019</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640,152</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631,802</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641,432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Pro Mach,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5.00%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7/6/2017</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1,950,545</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1,938,754</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1,956,650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Progressive Waste Solutions Ltd.</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6"/>
              </w:rPr>
              <w:t>Ecological Services and Equipment</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B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3.00%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10/24/2019</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500,000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500,000</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500,000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Quintiles Transnational Corp.</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Conglomerate</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B-2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4.50%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6/8/2018</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3,681,541</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3,657,766</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3,682,682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Redtop Acquisitions Limited</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6"/>
              </w:rPr>
              <w:t>Initial Dollar Term Loan (First Lien)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4.50%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12/3/2020</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500,000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496,250</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501,875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Rexnord LLC/RBS Global,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B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3.75%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4/1/2018</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1,667,645</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1,667,645</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1,666,944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Reynolds Group Holdings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U.S. 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4.75%</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9/28/2018</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1,980,000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1,980,000</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1,992,375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Rocket Software,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Loan (First Lien)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5.75%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2/8/2018</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1,965,019</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1,937,386</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1,962,975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Roundy’s Supermarkets,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Food/Drug Retailers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B 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5.75%</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2/13/2019</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984,711</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973,689</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964,249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Rovi Solutions Corporation / Rovi</w:t>
            </w:r>
          </w:p>
        </w:tc>
        <w:tc>
          <w:tcPr>
            <w:tcW w:w="1760" w:type="dxa"/>
            <w:vAlign w:val="bottom"/>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740" w:type="dxa"/>
            <w:vAlign w:val="bottom"/>
          </w:tcPr>
          <w:p>
            <w:pPr>
              <w:ind w:left="80"/>
              <w:spacing w:after="0" w:line="112" w:lineRule="exact"/>
              <w:rPr>
                <w:sz w:val="20"/>
                <w:szCs w:val="20"/>
                <w:color w:val="auto"/>
              </w:rPr>
            </w:pPr>
            <w:r>
              <w:rPr>
                <w:rFonts w:ascii="Arial" w:cs="Arial" w:eastAsia="Arial" w:hAnsi="Arial"/>
                <w:sz w:val="11"/>
                <w:szCs w:val="11"/>
                <w:color w:val="auto"/>
              </w:rPr>
              <w:t>Tranche A-2 Loan</w:t>
            </w:r>
          </w:p>
        </w:tc>
        <w:tc>
          <w:tcPr>
            <w:tcW w:w="8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tcPr>
          <w:p>
            <w:pPr>
              <w:ind w:left="160"/>
              <w:spacing w:after="0"/>
              <w:rPr>
                <w:sz w:val="20"/>
                <w:szCs w:val="20"/>
                <w:color w:val="auto"/>
              </w:rPr>
            </w:pPr>
            <w:r>
              <w:rPr>
                <w:rFonts w:ascii="Arial" w:cs="Arial" w:eastAsia="Arial" w:hAnsi="Arial"/>
                <w:sz w:val="11"/>
                <w:szCs w:val="11"/>
                <w:color w:val="auto"/>
              </w:rPr>
              <w:t>Guides, Inc.</w:t>
            </w:r>
          </w:p>
        </w:tc>
        <w:tc>
          <w:tcPr>
            <w:tcW w:w="1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2.45%</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3/29/2017</w:t>
            </w:r>
          </w:p>
        </w:tc>
        <w:tc>
          <w:tcPr>
            <w:tcW w:w="400" w:type="dxa"/>
            <w:vAlign w:val="bottom"/>
          </w:tcPr>
          <w:p>
            <w:pPr>
              <w:ind w:left="6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rPr>
                <w:sz w:val="20"/>
                <w:szCs w:val="20"/>
                <w:color w:val="auto"/>
              </w:rPr>
            </w:pPr>
            <w:r>
              <w:rPr>
                <w:rFonts w:ascii="Arial" w:cs="Arial" w:eastAsia="Arial" w:hAnsi="Arial"/>
                <w:sz w:val="11"/>
                <w:szCs w:val="11"/>
                <w:color w:val="auto"/>
              </w:rPr>
              <w:t>1,562,552</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1,551,261</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1,556,692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Rovi Solutions Corporation / Rovi</w:t>
            </w:r>
          </w:p>
        </w:tc>
        <w:tc>
          <w:tcPr>
            <w:tcW w:w="17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7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Tranche B-3 Term Loan</w:t>
            </w:r>
          </w:p>
        </w:tc>
        <w:tc>
          <w:tcPr>
            <w:tcW w:w="8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Guides, Inc.</w:t>
            </w:r>
          </w:p>
        </w:tc>
        <w:tc>
          <w:tcPr>
            <w:tcW w:w="17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3.50%</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3/29/2019</w:t>
            </w:r>
          </w:p>
        </w:tc>
        <w:tc>
          <w:tcPr>
            <w:tcW w:w="400" w:type="dxa"/>
            <w:vAlign w:val="bottom"/>
            <w:shd w:val="clear" w:color="auto" w:fill="CCEEFF"/>
          </w:tcPr>
          <w:p>
            <w:pPr>
              <w:ind w:left="6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1,344,450</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1,339,323</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1,332,686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RPI Finance Trust</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Drugs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6.75 Year Term Loan(2012)</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3.50%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5/9/2018</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5,321,522</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5,295,174</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5,334,826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Scitor Corporation</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2/15/2017</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463,977</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462,736</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453,538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w w:val="91"/>
              </w:rPr>
              <w:t>Sensata Technology BV/Sensata Technology</w:t>
            </w:r>
          </w:p>
        </w:tc>
        <w:tc>
          <w:tcPr>
            <w:tcW w:w="1760" w:type="dxa"/>
            <w:vAlign w:val="bottom"/>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740" w:type="dxa"/>
            <w:vAlign w:val="bottom"/>
          </w:tcPr>
          <w:p>
            <w:pPr>
              <w:ind w:left="80"/>
              <w:spacing w:after="0" w:line="112" w:lineRule="exact"/>
              <w:rPr>
                <w:sz w:val="20"/>
                <w:szCs w:val="20"/>
                <w:color w:val="auto"/>
              </w:rPr>
            </w:pPr>
            <w:r>
              <w:rPr>
                <w:rFonts w:ascii="Arial" w:cs="Arial" w:eastAsia="Arial" w:hAnsi="Arial"/>
                <w:sz w:val="11"/>
                <w:szCs w:val="11"/>
                <w:color w:val="auto"/>
              </w:rPr>
              <w:t>Term Loan</w:t>
            </w:r>
          </w:p>
        </w:tc>
        <w:tc>
          <w:tcPr>
            <w:tcW w:w="8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tcPr>
          <w:p>
            <w:pPr>
              <w:ind w:left="160"/>
              <w:spacing w:after="0"/>
              <w:rPr>
                <w:sz w:val="20"/>
                <w:szCs w:val="20"/>
                <w:color w:val="auto"/>
              </w:rPr>
            </w:pPr>
            <w:r>
              <w:rPr>
                <w:rFonts w:ascii="Arial" w:cs="Arial" w:eastAsia="Arial" w:hAnsi="Arial"/>
                <w:sz w:val="11"/>
                <w:szCs w:val="11"/>
                <w:color w:val="auto"/>
              </w:rPr>
              <w:t>Finance Company, LLC</w:t>
            </w:r>
          </w:p>
        </w:tc>
        <w:tc>
          <w:tcPr>
            <w:tcW w:w="1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3.75%</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5/12/2018</w:t>
            </w:r>
          </w:p>
        </w:tc>
        <w:tc>
          <w:tcPr>
            <w:tcW w:w="400" w:type="dxa"/>
            <w:vAlign w:val="bottom"/>
          </w:tcPr>
          <w:p>
            <w:pPr>
              <w:ind w:left="6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rPr>
                <w:sz w:val="20"/>
                <w:szCs w:val="20"/>
                <w:color w:val="auto"/>
              </w:rPr>
            </w:pPr>
            <w:r>
              <w:rPr>
                <w:rFonts w:ascii="Arial" w:cs="Arial" w:eastAsia="Arial" w:hAnsi="Arial"/>
                <w:sz w:val="11"/>
                <w:szCs w:val="11"/>
                <w:color w:val="auto"/>
              </w:rPr>
              <w:t>1,028,552</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1,028,552</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1,038,673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Sensus USA Inc. (fka Sensus Metering</w:t>
            </w:r>
          </w:p>
        </w:tc>
        <w:tc>
          <w:tcPr>
            <w:tcW w:w="17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Utilities</w:t>
            </w:r>
          </w:p>
        </w:tc>
        <w:tc>
          <w:tcPr>
            <w:tcW w:w="17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Term Loan (First Lien)</w:t>
            </w:r>
          </w:p>
        </w:tc>
        <w:tc>
          <w:tcPr>
            <w:tcW w:w="8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Systems)</w:t>
            </w:r>
          </w:p>
        </w:tc>
        <w:tc>
          <w:tcPr>
            <w:tcW w:w="17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4.75%</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5/9/2017</w:t>
            </w:r>
          </w:p>
        </w:tc>
        <w:tc>
          <w:tcPr>
            <w:tcW w:w="400" w:type="dxa"/>
            <w:vAlign w:val="bottom"/>
            <w:shd w:val="clear" w:color="auto" w:fill="CCEEFF"/>
          </w:tcPr>
          <w:p>
            <w:pPr>
              <w:ind w:left="6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1,950,000</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1,944,392</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1,957,313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ServiceMaster Company, The</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Conglomerate</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Tranche B Term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4.45%</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1/31/2017</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2,829,894</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2,837,963</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2,796,303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SI Organization, Inc., The</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New Tranche B 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5.50%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11/22/2016</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3,890,450</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3,871,140</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3,773,736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Sonneborn, LLC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Initial US Term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6.50%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3/30/2018</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809,113</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797,330</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816,192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Sophia, L.P.</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B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4.50%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7/19/2018</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930,812</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918,936</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937,216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SRA International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Loan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6.50%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7/20/2018</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3,268,571</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3,179,811</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3,264,486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SRAM, LLC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Term Loan (First Lien)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4.01%</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4/10/2020</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3,332,387</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3,305,173</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3,319,891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rPr>
              <w:t>SS&amp;C Technologies Holdings Europe</w:t>
            </w:r>
          </w:p>
        </w:tc>
        <w:tc>
          <w:tcPr>
            <w:tcW w:w="1760" w:type="dxa"/>
            <w:vAlign w:val="bottom"/>
          </w:tcPr>
          <w:p>
            <w:pPr>
              <w:ind w:left="80"/>
              <w:spacing w:after="0" w:line="11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tcPr>
          <w:p>
            <w:pPr>
              <w:ind w:left="80"/>
              <w:spacing w:after="0" w:line="112" w:lineRule="exact"/>
              <w:rPr>
                <w:sz w:val="20"/>
                <w:szCs w:val="20"/>
                <w:color w:val="auto"/>
              </w:rPr>
            </w:pPr>
            <w:r>
              <w:rPr>
                <w:rFonts w:ascii="Arial" w:cs="Arial" w:eastAsia="Arial" w:hAnsi="Arial"/>
                <w:sz w:val="11"/>
                <w:szCs w:val="11"/>
                <w:color w:val="auto"/>
                <w:w w:val="97"/>
              </w:rPr>
              <w:t>2013 Replacement Term B-2 Loan</w:t>
            </w:r>
          </w:p>
        </w:tc>
        <w:tc>
          <w:tcPr>
            <w:tcW w:w="8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tcPr>
          <w:p>
            <w:pPr>
              <w:ind w:left="160"/>
              <w:spacing w:after="0"/>
              <w:rPr>
                <w:sz w:val="20"/>
                <w:szCs w:val="20"/>
                <w:color w:val="auto"/>
              </w:rPr>
            </w:pPr>
            <w:r>
              <w:rPr>
                <w:rFonts w:ascii="Arial" w:cs="Arial" w:eastAsia="Arial" w:hAnsi="Arial"/>
                <w:sz w:val="11"/>
                <w:szCs w:val="11"/>
                <w:color w:val="auto"/>
              </w:rPr>
              <w:t>S.A.R.L.</w:t>
            </w:r>
          </w:p>
        </w:tc>
        <w:tc>
          <w:tcPr>
            <w:tcW w:w="1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5.00%</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6/7/2019</w:t>
            </w:r>
          </w:p>
        </w:tc>
        <w:tc>
          <w:tcPr>
            <w:tcW w:w="400" w:type="dxa"/>
            <w:vAlign w:val="bottom"/>
          </w:tcPr>
          <w:p>
            <w:pPr>
              <w:ind w:left="6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rPr>
                <w:sz w:val="20"/>
                <w:szCs w:val="20"/>
                <w:color w:val="auto"/>
              </w:rPr>
            </w:pPr>
            <w:r>
              <w:rPr>
                <w:rFonts w:ascii="Arial" w:cs="Arial" w:eastAsia="Arial" w:hAnsi="Arial"/>
                <w:sz w:val="11"/>
                <w:szCs w:val="11"/>
                <w:color w:val="auto"/>
              </w:rPr>
              <w:t>69,095</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68,459</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69,245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SS&amp;C Technologies, Inc., /Sunshine</w:t>
            </w:r>
          </w:p>
        </w:tc>
        <w:tc>
          <w:tcPr>
            <w:tcW w:w="176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9"/>
              </w:rPr>
              <w:t>Business Equipment and Services</w:t>
            </w:r>
          </w:p>
        </w:tc>
        <w:tc>
          <w:tcPr>
            <w:tcW w:w="174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7"/>
              </w:rPr>
              <w:t>2013 Replacement Term B-1 Loan</w:t>
            </w:r>
          </w:p>
        </w:tc>
        <w:tc>
          <w:tcPr>
            <w:tcW w:w="880" w:type="dxa"/>
            <w:vAlign w:val="bottom"/>
            <w:shd w:val="clear" w:color="auto" w:fill="CCEEFF"/>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spacing w:after="0"/>
              <w:rPr>
                <w:sz w:val="9"/>
                <w:szCs w:val="9"/>
                <w:color w:val="auto"/>
              </w:rPr>
            </w:pPr>
          </w:p>
        </w:tc>
        <w:tc>
          <w:tcPr>
            <w:tcW w:w="820" w:type="dxa"/>
            <w:vAlign w:val="bottom"/>
            <w:shd w:val="clear" w:color="auto" w:fill="CCEEFF"/>
          </w:tcPr>
          <w:p>
            <w:pPr>
              <w:spacing w:after="0"/>
              <w:rPr>
                <w:sz w:val="9"/>
                <w:szCs w:val="9"/>
                <w:color w:val="auto"/>
              </w:rPr>
            </w:pPr>
          </w:p>
        </w:tc>
        <w:tc>
          <w:tcPr>
            <w:tcW w:w="400" w:type="dxa"/>
            <w:vAlign w:val="bottom"/>
            <w:shd w:val="clear" w:color="auto" w:fill="CCEEFF"/>
          </w:tcPr>
          <w:p>
            <w:pPr>
              <w:spacing w:after="0"/>
              <w:rPr>
                <w:sz w:val="9"/>
                <w:szCs w:val="9"/>
                <w:color w:val="auto"/>
              </w:rPr>
            </w:pPr>
          </w:p>
        </w:tc>
        <w:tc>
          <w:tcPr>
            <w:tcW w:w="960" w:type="dxa"/>
            <w:vAlign w:val="bottom"/>
            <w:shd w:val="clear" w:color="auto" w:fill="CCEEFF"/>
          </w:tcPr>
          <w:p>
            <w:pPr>
              <w:spacing w:after="0"/>
              <w:rPr>
                <w:sz w:val="9"/>
                <w:szCs w:val="9"/>
                <w:color w:val="auto"/>
              </w:rPr>
            </w:pPr>
          </w:p>
        </w:tc>
        <w:tc>
          <w:tcPr>
            <w:tcW w:w="940" w:type="dxa"/>
            <w:vAlign w:val="bottom"/>
            <w:shd w:val="clear" w:color="auto" w:fill="CCEEFF"/>
          </w:tcPr>
          <w:p>
            <w:pPr>
              <w:spacing w:after="0"/>
              <w:rPr>
                <w:sz w:val="9"/>
                <w:szCs w:val="9"/>
                <w:color w:val="auto"/>
              </w:rPr>
            </w:pPr>
          </w:p>
        </w:tc>
        <w:tc>
          <w:tcPr>
            <w:tcW w:w="7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Acquisition II, Inc.</w:t>
            </w:r>
          </w:p>
        </w:tc>
        <w:tc>
          <w:tcPr>
            <w:tcW w:w="176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8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5.00%</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6/7/2019</w:t>
            </w:r>
          </w:p>
        </w:tc>
        <w:tc>
          <w:tcPr>
            <w:tcW w:w="400" w:type="dxa"/>
            <w:vAlign w:val="bottom"/>
            <w:shd w:val="clear" w:color="auto" w:fill="CCEEFF"/>
          </w:tcPr>
          <w:p>
            <w:pPr>
              <w:ind w:left="60"/>
              <w:spacing w:after="0"/>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1"/>
                <w:szCs w:val="11"/>
                <w:color w:val="auto"/>
              </w:rPr>
              <w:t>667,916</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1"/>
                <w:szCs w:val="11"/>
                <w:color w:val="auto"/>
              </w:rPr>
              <w:t>661,768</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1"/>
                <w:szCs w:val="11"/>
                <w:color w:val="auto"/>
              </w:rPr>
              <w:t>669,372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tcPr>
          <w:p>
            <w:pPr>
              <w:spacing w:after="0" w:line="122" w:lineRule="exact"/>
              <w:rPr>
                <w:sz w:val="20"/>
                <w:szCs w:val="20"/>
                <w:color w:val="auto"/>
              </w:rPr>
            </w:pPr>
            <w:r>
              <w:rPr>
                <w:rFonts w:ascii="Arial" w:cs="Arial" w:eastAsia="Arial" w:hAnsi="Arial"/>
                <w:sz w:val="11"/>
                <w:szCs w:val="11"/>
                <w:color w:val="auto"/>
              </w:rPr>
              <w:t>Starwood Property Trust, Inc.</w:t>
            </w:r>
          </w:p>
        </w:tc>
        <w:tc>
          <w:tcPr>
            <w:tcW w:w="1760" w:type="dxa"/>
            <w:vAlign w:val="bottom"/>
          </w:tcPr>
          <w:p>
            <w:pPr>
              <w:ind w:left="80"/>
              <w:spacing w:after="0" w:line="122" w:lineRule="exact"/>
              <w:rPr>
                <w:sz w:val="20"/>
                <w:szCs w:val="20"/>
                <w:color w:val="auto"/>
              </w:rPr>
            </w:pPr>
            <w:r>
              <w:rPr>
                <w:rFonts w:ascii="Arial" w:cs="Arial" w:eastAsia="Arial" w:hAnsi="Arial"/>
                <w:sz w:val="11"/>
                <w:szCs w:val="11"/>
                <w:color w:val="auto"/>
              </w:rPr>
              <w:t>Financial Intermediaries</w:t>
            </w:r>
          </w:p>
        </w:tc>
        <w:tc>
          <w:tcPr>
            <w:tcW w:w="1740" w:type="dxa"/>
            <w:vAlign w:val="bottom"/>
          </w:tcPr>
          <w:p>
            <w:pPr>
              <w:ind w:left="80"/>
              <w:spacing w:after="0" w:line="122" w:lineRule="exact"/>
              <w:rPr>
                <w:sz w:val="20"/>
                <w:szCs w:val="20"/>
                <w:color w:val="auto"/>
              </w:rPr>
            </w:pPr>
            <w:r>
              <w:rPr>
                <w:rFonts w:ascii="Arial" w:cs="Arial" w:eastAsia="Arial" w:hAnsi="Arial"/>
                <w:sz w:val="11"/>
                <w:szCs w:val="11"/>
                <w:color w:val="auto"/>
              </w:rPr>
              <w:t>Term Loan (First Lien)</w:t>
            </w:r>
          </w:p>
        </w:tc>
        <w:tc>
          <w:tcPr>
            <w:tcW w:w="880" w:type="dxa"/>
            <w:vAlign w:val="bottom"/>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3.50%</w:t>
            </w:r>
          </w:p>
        </w:tc>
        <w:tc>
          <w:tcPr>
            <w:tcW w:w="820" w:type="dxa"/>
            <w:vAlign w:val="bottom"/>
          </w:tcPr>
          <w:p>
            <w:pPr>
              <w:jc w:val="right"/>
              <w:ind w:right="24"/>
              <w:spacing w:after="0" w:line="122" w:lineRule="exact"/>
              <w:rPr>
                <w:sz w:val="20"/>
                <w:szCs w:val="20"/>
                <w:color w:val="auto"/>
              </w:rPr>
            </w:pPr>
            <w:r>
              <w:rPr>
                <w:rFonts w:ascii="Arial" w:cs="Arial" w:eastAsia="Arial" w:hAnsi="Arial"/>
                <w:sz w:val="11"/>
                <w:szCs w:val="11"/>
                <w:color w:val="auto"/>
              </w:rPr>
              <w:t>4/17/2020</w:t>
            </w:r>
          </w:p>
        </w:tc>
        <w:tc>
          <w:tcPr>
            <w:tcW w:w="400" w:type="dxa"/>
            <w:vAlign w:val="bottom"/>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line="122" w:lineRule="exact"/>
              <w:rPr>
                <w:sz w:val="20"/>
                <w:szCs w:val="20"/>
                <w:color w:val="auto"/>
              </w:rPr>
            </w:pPr>
            <w:r>
              <w:rPr>
                <w:rFonts w:ascii="Arial" w:cs="Arial" w:eastAsia="Arial" w:hAnsi="Arial"/>
                <w:sz w:val="11"/>
                <w:szCs w:val="11"/>
                <w:color w:val="auto"/>
              </w:rPr>
              <w:t>1,000,000</w:t>
            </w:r>
          </w:p>
        </w:tc>
        <w:tc>
          <w:tcPr>
            <w:tcW w:w="940" w:type="dxa"/>
            <w:vAlign w:val="bottom"/>
          </w:tcPr>
          <w:p>
            <w:pPr>
              <w:jc w:val="right"/>
              <w:ind w:right="164"/>
              <w:spacing w:after="0" w:line="122" w:lineRule="exact"/>
              <w:rPr>
                <w:sz w:val="20"/>
                <w:szCs w:val="20"/>
                <w:color w:val="auto"/>
              </w:rPr>
            </w:pPr>
            <w:r>
              <w:rPr>
                <w:rFonts w:ascii="Arial" w:cs="Arial" w:eastAsia="Arial" w:hAnsi="Arial"/>
                <w:sz w:val="11"/>
                <w:szCs w:val="11"/>
                <w:color w:val="auto"/>
              </w:rPr>
              <w:t>995,000</w:t>
            </w:r>
          </w:p>
        </w:tc>
        <w:tc>
          <w:tcPr>
            <w:tcW w:w="780" w:type="dxa"/>
            <w:vAlign w:val="bottom"/>
          </w:tcPr>
          <w:p>
            <w:pPr>
              <w:jc w:val="right"/>
              <w:ind w:right="24"/>
              <w:spacing w:after="0" w:line="122" w:lineRule="exact"/>
              <w:rPr>
                <w:sz w:val="20"/>
                <w:szCs w:val="20"/>
                <w:color w:val="auto"/>
              </w:rPr>
            </w:pPr>
            <w:r>
              <w:rPr>
                <w:rFonts w:ascii="Arial" w:cs="Arial" w:eastAsia="Arial" w:hAnsi="Arial"/>
                <w:sz w:val="11"/>
                <w:szCs w:val="11"/>
                <w:color w:val="auto"/>
              </w:rPr>
              <w:t>995,000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SunCoke Energy, Inc.</w:t>
            </w:r>
          </w:p>
        </w:tc>
        <w:tc>
          <w:tcPr>
            <w:tcW w:w="176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74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Tranche B Term Loan</w:t>
            </w:r>
          </w:p>
        </w:tc>
        <w:tc>
          <w:tcPr>
            <w:tcW w:w="880" w:type="dxa"/>
            <w:vAlign w:val="bottom"/>
            <w:shd w:val="clear" w:color="auto" w:fill="CCEEFF"/>
          </w:tcPr>
          <w:p>
            <w:pPr>
              <w:ind w:left="100"/>
              <w:spacing w:after="0" w:line="122" w:lineRule="exact"/>
              <w:rPr>
                <w:sz w:val="20"/>
                <w:szCs w:val="20"/>
                <w:color w:val="auto"/>
              </w:rPr>
            </w:pPr>
            <w:r>
              <w:rPr>
                <w:rFonts w:ascii="Arial" w:cs="Arial" w:eastAsia="Arial" w:hAnsi="Arial"/>
                <w:sz w:val="11"/>
                <w:szCs w:val="11"/>
                <w:color w:val="auto"/>
              </w:rPr>
              <w:t>Loan</w:t>
            </w:r>
          </w:p>
        </w:tc>
        <w:tc>
          <w:tcPr>
            <w:tcW w:w="108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4.00%</w:t>
            </w:r>
          </w:p>
        </w:tc>
        <w:tc>
          <w:tcPr>
            <w:tcW w:w="82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7/26/2018</w:t>
            </w:r>
          </w:p>
        </w:tc>
        <w:tc>
          <w:tcPr>
            <w:tcW w:w="400" w:type="dxa"/>
            <w:vAlign w:val="bottom"/>
            <w:shd w:val="clear" w:color="auto" w:fill="CCEEFF"/>
          </w:tcPr>
          <w:p>
            <w:pPr>
              <w:ind w:left="60"/>
              <w:spacing w:after="0" w:line="122" w:lineRule="exact"/>
              <w:rPr>
                <w:sz w:val="20"/>
                <w:szCs w:val="20"/>
                <w:color w:val="auto"/>
              </w:rPr>
            </w:pPr>
            <w:r>
              <w:rPr>
                <w:rFonts w:ascii="Arial" w:cs="Arial" w:eastAsia="Arial" w:hAnsi="Arial"/>
                <w:sz w:val="11"/>
                <w:szCs w:val="11"/>
                <w:color w:val="auto"/>
              </w:rPr>
              <w:t>$</w:t>
            </w:r>
          </w:p>
        </w:tc>
        <w:tc>
          <w:tcPr>
            <w:tcW w:w="960" w:type="dxa"/>
            <w:vAlign w:val="bottom"/>
            <w:shd w:val="clear" w:color="auto" w:fill="CCEEFF"/>
          </w:tcPr>
          <w:p>
            <w:pPr>
              <w:jc w:val="right"/>
              <w:ind w:right="144"/>
              <w:spacing w:after="0" w:line="122" w:lineRule="exact"/>
              <w:rPr>
                <w:sz w:val="20"/>
                <w:szCs w:val="20"/>
                <w:color w:val="auto"/>
              </w:rPr>
            </w:pPr>
            <w:r>
              <w:rPr>
                <w:rFonts w:ascii="Arial" w:cs="Arial" w:eastAsia="Arial" w:hAnsi="Arial"/>
                <w:sz w:val="11"/>
                <w:szCs w:val="11"/>
                <w:color w:val="auto"/>
              </w:rPr>
              <w:t>1,367,311</w:t>
            </w:r>
          </w:p>
        </w:tc>
        <w:tc>
          <w:tcPr>
            <w:tcW w:w="940" w:type="dxa"/>
            <w:vAlign w:val="bottom"/>
            <w:shd w:val="clear" w:color="auto" w:fill="CCEEFF"/>
          </w:tcPr>
          <w:p>
            <w:pPr>
              <w:jc w:val="right"/>
              <w:ind w:right="164"/>
              <w:spacing w:after="0" w:line="122" w:lineRule="exact"/>
              <w:rPr>
                <w:sz w:val="20"/>
                <w:szCs w:val="20"/>
                <w:color w:val="auto"/>
              </w:rPr>
            </w:pPr>
            <w:r>
              <w:rPr>
                <w:rFonts w:ascii="Arial" w:cs="Arial" w:eastAsia="Arial" w:hAnsi="Arial"/>
                <w:sz w:val="11"/>
                <w:szCs w:val="11"/>
                <w:color w:val="auto"/>
              </w:rPr>
              <w:t>1,358,746</w:t>
            </w:r>
          </w:p>
        </w:tc>
        <w:tc>
          <w:tcPr>
            <w:tcW w:w="780" w:type="dxa"/>
            <w:vAlign w:val="bottom"/>
            <w:shd w:val="clear" w:color="auto" w:fill="CCEEFF"/>
          </w:tcPr>
          <w:p>
            <w:pPr>
              <w:jc w:val="right"/>
              <w:ind w:right="24"/>
              <w:spacing w:after="0" w:line="122" w:lineRule="exact"/>
              <w:rPr>
                <w:sz w:val="20"/>
                <w:szCs w:val="20"/>
                <w:color w:val="auto"/>
              </w:rPr>
            </w:pPr>
            <w:r>
              <w:rPr>
                <w:rFonts w:ascii="Arial" w:cs="Arial" w:eastAsia="Arial" w:hAnsi="Arial"/>
                <w:sz w:val="11"/>
                <w:szCs w:val="11"/>
                <w:color w:val="auto"/>
              </w:rPr>
              <w:t>1,358,765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2040" w:type="dxa"/>
            <w:vAlign w:val="bottom"/>
            <w:gridSpan w:val="2"/>
          </w:tcPr>
          <w:p>
            <w:pPr>
              <w:spacing w:after="0" w:line="112" w:lineRule="exact"/>
              <w:rPr>
                <w:sz w:val="20"/>
                <w:szCs w:val="20"/>
                <w:color w:val="auto"/>
              </w:rPr>
            </w:pPr>
            <w:r>
              <w:rPr>
                <w:rFonts w:ascii="Arial" w:cs="Arial" w:eastAsia="Arial" w:hAnsi="Arial"/>
                <w:sz w:val="11"/>
                <w:szCs w:val="11"/>
                <w:color w:val="auto"/>
                <w:w w:val="99"/>
              </w:rPr>
              <w:t>SunGard Data Systems Inc (Solar Capital</w:t>
            </w:r>
          </w:p>
        </w:tc>
        <w:tc>
          <w:tcPr>
            <w:tcW w:w="176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740" w:type="dxa"/>
            <w:vAlign w:val="bottom"/>
          </w:tcPr>
          <w:p>
            <w:pPr>
              <w:ind w:left="80"/>
              <w:spacing w:after="0" w:line="112" w:lineRule="exact"/>
              <w:rPr>
                <w:sz w:val="20"/>
                <w:szCs w:val="20"/>
                <w:color w:val="auto"/>
              </w:rPr>
            </w:pPr>
            <w:r>
              <w:rPr>
                <w:rFonts w:ascii="Arial" w:cs="Arial" w:eastAsia="Arial" w:hAnsi="Arial"/>
                <w:sz w:val="11"/>
                <w:szCs w:val="11"/>
                <w:color w:val="auto"/>
              </w:rPr>
              <w:t>Tranche C Term Loan</w:t>
            </w:r>
          </w:p>
        </w:tc>
        <w:tc>
          <w:tcPr>
            <w:tcW w:w="880" w:type="dxa"/>
            <w:vAlign w:val="bottom"/>
          </w:tcPr>
          <w:p>
            <w:pPr>
              <w:ind w:left="100"/>
              <w:spacing w:after="0" w:line="112" w:lineRule="exact"/>
              <w:rPr>
                <w:sz w:val="20"/>
                <w:szCs w:val="20"/>
                <w:color w:val="auto"/>
              </w:rPr>
            </w:pPr>
            <w:r>
              <w:rPr>
                <w:rFonts w:ascii="Arial" w:cs="Arial" w:eastAsia="Arial" w:hAnsi="Arial"/>
                <w:sz w:val="11"/>
                <w:szCs w:val="11"/>
                <w:color w:val="auto"/>
              </w:rPr>
              <w:t>Loan</w:t>
            </w:r>
          </w:p>
        </w:tc>
        <w:tc>
          <w:tcPr>
            <w:tcW w:w="108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9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40" w:type="dxa"/>
            <w:vAlign w:val="bottom"/>
            <w:gridSpan w:val="2"/>
          </w:tcPr>
          <w:p>
            <w:pPr>
              <w:ind w:left="160"/>
              <w:spacing w:after="0"/>
              <w:rPr>
                <w:sz w:val="20"/>
                <w:szCs w:val="20"/>
                <w:color w:val="auto"/>
              </w:rPr>
            </w:pPr>
            <w:r>
              <w:rPr>
                <w:rFonts w:ascii="Arial" w:cs="Arial" w:eastAsia="Arial" w:hAnsi="Arial"/>
                <w:sz w:val="11"/>
                <w:szCs w:val="11"/>
                <w:color w:val="auto"/>
              </w:rPr>
              <w:t>Corp.)</w:t>
            </w:r>
          </w:p>
        </w:tc>
        <w:tc>
          <w:tcPr>
            <w:tcW w:w="1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jc w:val="right"/>
              <w:ind w:right="144"/>
              <w:spacing w:after="0"/>
              <w:rPr>
                <w:sz w:val="20"/>
                <w:szCs w:val="20"/>
                <w:color w:val="auto"/>
              </w:rPr>
            </w:pPr>
            <w:r>
              <w:rPr>
                <w:rFonts w:ascii="Arial" w:cs="Arial" w:eastAsia="Arial" w:hAnsi="Arial"/>
                <w:sz w:val="11"/>
                <w:szCs w:val="11"/>
                <w:color w:val="auto"/>
              </w:rPr>
              <w:t>3.95%</w:t>
            </w:r>
          </w:p>
        </w:tc>
        <w:tc>
          <w:tcPr>
            <w:tcW w:w="820" w:type="dxa"/>
            <w:vAlign w:val="bottom"/>
          </w:tcPr>
          <w:p>
            <w:pPr>
              <w:jc w:val="right"/>
              <w:ind w:right="24"/>
              <w:spacing w:after="0"/>
              <w:rPr>
                <w:sz w:val="20"/>
                <w:szCs w:val="20"/>
                <w:color w:val="auto"/>
              </w:rPr>
            </w:pPr>
            <w:r>
              <w:rPr>
                <w:rFonts w:ascii="Arial" w:cs="Arial" w:eastAsia="Arial" w:hAnsi="Arial"/>
                <w:sz w:val="11"/>
                <w:szCs w:val="11"/>
                <w:color w:val="auto"/>
              </w:rPr>
              <w:t>2/28/2017</w:t>
            </w:r>
          </w:p>
        </w:tc>
        <w:tc>
          <w:tcPr>
            <w:tcW w:w="400" w:type="dxa"/>
            <w:vAlign w:val="bottom"/>
          </w:tcPr>
          <w:p>
            <w:pPr>
              <w:ind w:left="60"/>
              <w:spacing w:after="0"/>
              <w:rPr>
                <w:sz w:val="20"/>
                <w:szCs w:val="20"/>
                <w:color w:val="auto"/>
              </w:rPr>
            </w:pPr>
            <w:r>
              <w:rPr>
                <w:rFonts w:ascii="Arial" w:cs="Arial" w:eastAsia="Arial" w:hAnsi="Arial"/>
                <w:sz w:val="11"/>
                <w:szCs w:val="11"/>
                <w:color w:val="auto"/>
              </w:rPr>
              <w:t>$</w:t>
            </w:r>
          </w:p>
        </w:tc>
        <w:tc>
          <w:tcPr>
            <w:tcW w:w="960" w:type="dxa"/>
            <w:vAlign w:val="bottom"/>
          </w:tcPr>
          <w:p>
            <w:pPr>
              <w:jc w:val="right"/>
              <w:ind w:right="144"/>
              <w:spacing w:after="0"/>
              <w:rPr>
                <w:sz w:val="20"/>
                <w:szCs w:val="20"/>
                <w:color w:val="auto"/>
              </w:rPr>
            </w:pPr>
            <w:r>
              <w:rPr>
                <w:rFonts w:ascii="Arial" w:cs="Arial" w:eastAsia="Arial" w:hAnsi="Arial"/>
                <w:sz w:val="11"/>
                <w:szCs w:val="11"/>
                <w:color w:val="auto"/>
              </w:rPr>
              <w:t>304,311</w:t>
            </w:r>
          </w:p>
        </w:tc>
        <w:tc>
          <w:tcPr>
            <w:tcW w:w="940" w:type="dxa"/>
            <w:vAlign w:val="bottom"/>
          </w:tcPr>
          <w:p>
            <w:pPr>
              <w:jc w:val="right"/>
              <w:ind w:right="164"/>
              <w:spacing w:after="0"/>
              <w:rPr>
                <w:sz w:val="20"/>
                <w:szCs w:val="20"/>
                <w:color w:val="auto"/>
              </w:rPr>
            </w:pPr>
            <w:r>
              <w:rPr>
                <w:rFonts w:ascii="Arial" w:cs="Arial" w:eastAsia="Arial" w:hAnsi="Arial"/>
                <w:sz w:val="11"/>
                <w:szCs w:val="11"/>
                <w:color w:val="auto"/>
              </w:rPr>
              <w:t>301,990</w:t>
            </w:r>
          </w:p>
        </w:tc>
        <w:tc>
          <w:tcPr>
            <w:tcW w:w="780" w:type="dxa"/>
            <w:vAlign w:val="bottom"/>
          </w:tcPr>
          <w:p>
            <w:pPr>
              <w:jc w:val="right"/>
              <w:ind w:right="24"/>
              <w:spacing w:after="0"/>
              <w:rPr>
                <w:sz w:val="20"/>
                <w:szCs w:val="20"/>
                <w:color w:val="auto"/>
              </w:rPr>
            </w:pPr>
            <w:r>
              <w:rPr>
                <w:rFonts w:ascii="Arial" w:cs="Arial" w:eastAsia="Arial" w:hAnsi="Arial"/>
                <w:sz w:val="11"/>
                <w:szCs w:val="11"/>
                <w:color w:val="auto"/>
              </w:rPr>
              <w:t>305,165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2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ind w:left="60"/>
              <w:spacing w:after="0"/>
              <w:rPr>
                <w:sz w:val="20"/>
                <w:szCs w:val="20"/>
                <w:color w:val="auto"/>
              </w:rPr>
            </w:pPr>
            <w:r>
              <w:rPr>
                <w:rFonts w:ascii="Arial" w:cs="Arial" w:eastAsia="Arial" w:hAnsi="Arial"/>
                <w:sz w:val="18"/>
                <w:szCs w:val="18"/>
                <w:color w:val="auto"/>
              </w:rPr>
              <w:t>24</w:t>
            </w: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1760" w:type="dxa"/>
            <w:vAlign w:val="bottom"/>
            <w:tcBorders>
              <w:bottom w:val="single" w:sz="8" w:color="010101"/>
            </w:tcBorders>
          </w:tcPr>
          <w:p>
            <w:pPr>
              <w:spacing w:after="0"/>
              <w:rPr>
                <w:sz w:val="11"/>
                <w:szCs w:val="11"/>
                <w:color w:val="auto"/>
              </w:rPr>
            </w:pPr>
          </w:p>
        </w:tc>
        <w:tc>
          <w:tcPr>
            <w:tcW w:w="1740" w:type="dxa"/>
            <w:vAlign w:val="bottom"/>
            <w:tcBorders>
              <w:bottom w:val="single" w:sz="8" w:color="010101"/>
            </w:tcBorders>
          </w:tcPr>
          <w:p>
            <w:pPr>
              <w:spacing w:after="0"/>
              <w:rPr>
                <w:sz w:val="11"/>
                <w:szCs w:val="11"/>
                <w:color w:val="auto"/>
              </w:rPr>
            </w:pPr>
          </w:p>
        </w:tc>
        <w:tc>
          <w:tcPr>
            <w:tcW w:w="8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820" w:type="dxa"/>
            <w:vAlign w:val="bottom"/>
            <w:tcBorders>
              <w:bottom w:val="single" w:sz="8" w:color="010101"/>
            </w:tcBorders>
          </w:tcPr>
          <w:p>
            <w:pPr>
              <w:spacing w:after="0"/>
              <w:rPr>
                <w:sz w:val="11"/>
                <w:szCs w:val="11"/>
                <w:color w:val="auto"/>
              </w:rPr>
            </w:pPr>
          </w:p>
        </w:tc>
        <w:tc>
          <w:tcPr>
            <w:tcW w:w="400" w:type="dxa"/>
            <w:vAlign w:val="bottom"/>
            <w:tcBorders>
              <w:bottom w:val="single" w:sz="8" w:color="010101"/>
            </w:tcBorders>
          </w:tcPr>
          <w:p>
            <w:pPr>
              <w:spacing w:after="0"/>
              <w:rPr>
                <w:sz w:val="11"/>
                <w:szCs w:val="11"/>
                <w:color w:val="auto"/>
              </w:rPr>
            </w:pPr>
          </w:p>
        </w:tc>
        <w:tc>
          <w:tcPr>
            <w:tcW w:w="960" w:type="dxa"/>
            <w:vAlign w:val="bottom"/>
            <w:tcBorders>
              <w:bottom w:val="single" w:sz="8" w:color="010101"/>
            </w:tcBorders>
          </w:tcPr>
          <w:p>
            <w:pPr>
              <w:spacing w:after="0"/>
              <w:rPr>
                <w:sz w:val="11"/>
                <w:szCs w:val="11"/>
                <w:color w:val="auto"/>
              </w:rPr>
            </w:pPr>
          </w:p>
        </w:tc>
        <w:tc>
          <w:tcPr>
            <w:tcW w:w="940" w:type="dxa"/>
            <w:vAlign w:val="bottom"/>
            <w:tcBorders>
              <w:bottom w:val="single" w:sz="8" w:color="010101"/>
            </w:tcBorders>
          </w:tcPr>
          <w:p>
            <w:pPr>
              <w:spacing w:after="0"/>
              <w:rPr>
                <w:sz w:val="11"/>
                <w:szCs w:val="11"/>
                <w:color w:val="auto"/>
              </w:rPr>
            </w:pPr>
          </w:p>
        </w:tc>
        <w:tc>
          <w:tcPr>
            <w:tcW w:w="7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206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76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78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0" w:type="dxa"/>
            <w:vAlign w:val="bottom"/>
            <w:vMerge w:val="continue"/>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SunGard Data Systems Inc (Solar</w:t>
            </w:r>
          </w:p>
        </w:tc>
        <w:tc>
          <w:tcPr>
            <w:tcW w:w="176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Conglomerate</w:t>
            </w:r>
          </w:p>
        </w:tc>
        <w:tc>
          <w:tcPr>
            <w:tcW w:w="17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Tranche E Term Loan</w:t>
            </w:r>
          </w:p>
        </w:tc>
        <w:tc>
          <w:tcPr>
            <w:tcW w:w="8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Capital Corp.)</w:t>
            </w:r>
          </w:p>
        </w:tc>
        <w:tc>
          <w:tcPr>
            <w:tcW w:w="17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rPr>
              <w:t>4.00%</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3/8/2020</w:t>
            </w:r>
          </w:p>
        </w:tc>
        <w:tc>
          <w:tcPr>
            <w:tcW w:w="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3"/>
                <w:szCs w:val="13"/>
                <w:color w:val="auto"/>
              </w:rPr>
              <w:t>4,232,479</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3"/>
                <w:szCs w:val="13"/>
                <w:color w:val="auto"/>
              </w:rPr>
              <w:t>4,102,130</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4,264,223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SuperMedia Inc. (fka Idearc Inc.)</w:t>
            </w:r>
          </w:p>
        </w:tc>
        <w:tc>
          <w:tcPr>
            <w:tcW w:w="1760" w:type="dxa"/>
            <w:vAlign w:val="bottom"/>
          </w:tcPr>
          <w:p>
            <w:pPr>
              <w:ind w:left="80"/>
              <w:spacing w:after="0" w:line="135" w:lineRule="exact"/>
              <w:rPr>
                <w:sz w:val="20"/>
                <w:szCs w:val="20"/>
                <w:color w:val="auto"/>
              </w:rPr>
            </w:pPr>
            <w:r>
              <w:rPr>
                <w:rFonts w:ascii="Arial" w:cs="Arial" w:eastAsia="Arial" w:hAnsi="Arial"/>
                <w:sz w:val="13"/>
                <w:szCs w:val="13"/>
                <w:color w:val="auto"/>
              </w:rPr>
              <w:t>Publishing</w:t>
            </w:r>
          </w:p>
        </w:tc>
        <w:tc>
          <w:tcPr>
            <w:tcW w:w="1740" w:type="dxa"/>
            <w:vAlign w:val="bottom"/>
          </w:tcPr>
          <w:p>
            <w:pPr>
              <w:ind w:left="80"/>
              <w:spacing w:after="0" w:line="135" w:lineRule="exact"/>
              <w:rPr>
                <w:sz w:val="20"/>
                <w:szCs w:val="20"/>
                <w:color w:val="auto"/>
              </w:rPr>
            </w:pPr>
            <w:r>
              <w:rPr>
                <w:rFonts w:ascii="Arial" w:cs="Arial" w:eastAsia="Arial" w:hAnsi="Arial"/>
                <w:sz w:val="13"/>
                <w:szCs w:val="13"/>
                <w:color w:val="auto"/>
              </w:rPr>
              <w:t>Loan</w:t>
            </w:r>
          </w:p>
        </w:tc>
        <w:tc>
          <w:tcPr>
            <w:tcW w:w="88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080" w:type="dxa"/>
            <w:vAlign w:val="bottom"/>
          </w:tcPr>
          <w:p>
            <w:pPr>
              <w:jc w:val="right"/>
              <w:ind w:right="124"/>
              <w:spacing w:after="0" w:line="135" w:lineRule="exact"/>
              <w:rPr>
                <w:sz w:val="20"/>
                <w:szCs w:val="20"/>
                <w:color w:val="auto"/>
              </w:rPr>
            </w:pPr>
            <w:r>
              <w:rPr>
                <w:rFonts w:ascii="Arial" w:cs="Arial" w:eastAsia="Arial" w:hAnsi="Arial"/>
                <w:sz w:val="13"/>
                <w:szCs w:val="13"/>
                <w:color w:val="auto"/>
              </w:rPr>
              <w:t>11.60%</w:t>
            </w:r>
          </w:p>
        </w:tc>
        <w:tc>
          <w:tcPr>
            <w:tcW w:w="820" w:type="dxa"/>
            <w:vAlign w:val="bottom"/>
          </w:tcPr>
          <w:p>
            <w:pPr>
              <w:jc w:val="right"/>
              <w:ind w:right="24"/>
              <w:spacing w:after="0" w:line="135" w:lineRule="exact"/>
              <w:rPr>
                <w:sz w:val="20"/>
                <w:szCs w:val="20"/>
                <w:color w:val="auto"/>
              </w:rPr>
            </w:pPr>
            <w:r>
              <w:rPr>
                <w:rFonts w:ascii="Arial" w:cs="Arial" w:eastAsia="Arial" w:hAnsi="Arial"/>
                <w:sz w:val="13"/>
                <w:szCs w:val="13"/>
                <w:color w:val="auto"/>
              </w:rPr>
              <w:t>12/30/2016</w:t>
            </w:r>
          </w:p>
        </w:tc>
        <w:tc>
          <w:tcPr>
            <w:tcW w:w="40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line="135" w:lineRule="exact"/>
              <w:rPr>
                <w:sz w:val="20"/>
                <w:szCs w:val="20"/>
                <w:color w:val="auto"/>
              </w:rPr>
            </w:pPr>
            <w:r>
              <w:rPr>
                <w:rFonts w:ascii="Arial" w:cs="Arial" w:eastAsia="Arial" w:hAnsi="Arial"/>
                <w:sz w:val="13"/>
                <w:szCs w:val="13"/>
                <w:color w:val="auto"/>
              </w:rPr>
              <w:t>271,966</w:t>
            </w:r>
          </w:p>
        </w:tc>
        <w:tc>
          <w:tcPr>
            <w:tcW w:w="940" w:type="dxa"/>
            <w:vAlign w:val="bottom"/>
          </w:tcPr>
          <w:p>
            <w:pPr>
              <w:jc w:val="right"/>
              <w:ind w:right="164"/>
              <w:spacing w:after="0" w:line="135" w:lineRule="exact"/>
              <w:rPr>
                <w:sz w:val="20"/>
                <w:szCs w:val="20"/>
                <w:color w:val="auto"/>
              </w:rPr>
            </w:pPr>
            <w:r>
              <w:rPr>
                <w:rFonts w:ascii="Arial" w:cs="Arial" w:eastAsia="Arial" w:hAnsi="Arial"/>
                <w:sz w:val="13"/>
                <w:szCs w:val="13"/>
                <w:color w:val="auto"/>
              </w:rPr>
              <w:t>264,559</w:t>
            </w:r>
          </w:p>
        </w:tc>
        <w:tc>
          <w:tcPr>
            <w:tcW w:w="780" w:type="dxa"/>
            <w:vAlign w:val="bottom"/>
          </w:tcPr>
          <w:p>
            <w:pPr>
              <w:jc w:val="right"/>
              <w:ind w:right="24"/>
              <w:spacing w:after="0" w:line="135" w:lineRule="exact"/>
              <w:rPr>
                <w:sz w:val="20"/>
                <w:szCs w:val="20"/>
                <w:color w:val="auto"/>
              </w:rPr>
            </w:pPr>
            <w:r>
              <w:rPr>
                <w:rFonts w:ascii="Arial" w:cs="Arial" w:eastAsia="Arial" w:hAnsi="Arial"/>
                <w:sz w:val="13"/>
                <w:szCs w:val="13"/>
                <w:color w:val="auto"/>
              </w:rPr>
              <w:t>200,235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Syniverse Holdings, Inc.</w:t>
            </w:r>
          </w:p>
        </w:tc>
        <w:tc>
          <w:tcPr>
            <w:tcW w:w="17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Telecommunications</w:t>
            </w:r>
          </w:p>
        </w:tc>
        <w:tc>
          <w:tcPr>
            <w:tcW w:w="17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Initial Term Loan</w:t>
            </w:r>
          </w:p>
        </w:tc>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5.00%</w:t>
            </w:r>
          </w:p>
        </w:tc>
        <w:tc>
          <w:tcPr>
            <w:tcW w:w="820" w:type="dxa"/>
            <w:vAlign w:val="bottom"/>
            <w:shd w:val="clear" w:color="auto" w:fill="CCEEFF"/>
          </w:tcPr>
          <w:p>
            <w:pPr>
              <w:jc w:val="right"/>
              <w:ind w:right="24"/>
              <w:spacing w:after="0" w:line="135" w:lineRule="exact"/>
              <w:rPr>
                <w:sz w:val="20"/>
                <w:szCs w:val="20"/>
                <w:color w:val="auto"/>
              </w:rPr>
            </w:pPr>
            <w:r>
              <w:rPr>
                <w:rFonts w:ascii="Arial" w:cs="Arial" w:eastAsia="Arial" w:hAnsi="Arial"/>
                <w:sz w:val="13"/>
                <w:szCs w:val="13"/>
                <w:color w:val="auto"/>
              </w:rPr>
              <w:t>4/23/2019</w:t>
            </w:r>
          </w:p>
        </w:tc>
        <w:tc>
          <w:tcPr>
            <w:tcW w:w="4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line="135" w:lineRule="exact"/>
              <w:rPr>
                <w:sz w:val="20"/>
                <w:szCs w:val="20"/>
                <w:color w:val="auto"/>
              </w:rPr>
            </w:pPr>
            <w:r>
              <w:rPr>
                <w:rFonts w:ascii="Arial" w:cs="Arial" w:eastAsia="Arial" w:hAnsi="Arial"/>
                <w:sz w:val="13"/>
                <w:szCs w:val="13"/>
                <w:color w:val="auto"/>
              </w:rPr>
              <w:t>479,913</w:t>
            </w:r>
          </w:p>
        </w:tc>
        <w:tc>
          <w:tcPr>
            <w:tcW w:w="940" w:type="dxa"/>
            <w:vAlign w:val="bottom"/>
            <w:shd w:val="clear" w:color="auto" w:fill="CCEEFF"/>
          </w:tcPr>
          <w:p>
            <w:pPr>
              <w:jc w:val="right"/>
              <w:ind w:right="164"/>
              <w:spacing w:after="0" w:line="135" w:lineRule="exact"/>
              <w:rPr>
                <w:sz w:val="20"/>
                <w:szCs w:val="20"/>
                <w:color w:val="auto"/>
              </w:rPr>
            </w:pPr>
            <w:r>
              <w:rPr>
                <w:rFonts w:ascii="Arial" w:cs="Arial" w:eastAsia="Arial" w:hAnsi="Arial"/>
                <w:sz w:val="13"/>
                <w:szCs w:val="13"/>
                <w:color w:val="auto"/>
              </w:rPr>
              <w:t>476,202</w:t>
            </w:r>
          </w:p>
        </w:tc>
        <w:tc>
          <w:tcPr>
            <w:tcW w:w="780" w:type="dxa"/>
            <w:vAlign w:val="bottom"/>
            <w:shd w:val="clear" w:color="auto" w:fill="CCEEFF"/>
          </w:tcPr>
          <w:p>
            <w:pPr>
              <w:jc w:val="right"/>
              <w:ind w:right="24"/>
              <w:spacing w:after="0" w:line="135" w:lineRule="exact"/>
              <w:rPr>
                <w:sz w:val="20"/>
                <w:szCs w:val="20"/>
                <w:color w:val="auto"/>
              </w:rPr>
            </w:pPr>
            <w:r>
              <w:rPr>
                <w:rFonts w:ascii="Arial" w:cs="Arial" w:eastAsia="Arial" w:hAnsi="Arial"/>
                <w:sz w:val="13"/>
                <w:szCs w:val="13"/>
                <w:color w:val="auto"/>
              </w:rPr>
              <w:t>481,113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w w:val="91"/>
              </w:rPr>
              <w:t>Taminco Global Chemical Corporation</w:t>
            </w:r>
          </w:p>
        </w:tc>
        <w:tc>
          <w:tcPr>
            <w:tcW w:w="1760" w:type="dxa"/>
            <w:vAlign w:val="bottom"/>
          </w:tcPr>
          <w:p>
            <w:pPr>
              <w:ind w:left="80"/>
              <w:spacing w:after="0" w:line="135" w:lineRule="exact"/>
              <w:rPr>
                <w:sz w:val="20"/>
                <w:szCs w:val="20"/>
                <w:color w:val="auto"/>
              </w:rPr>
            </w:pPr>
            <w:r>
              <w:rPr>
                <w:rFonts w:ascii="Arial" w:cs="Arial" w:eastAsia="Arial" w:hAnsi="Arial"/>
                <w:sz w:val="13"/>
                <w:szCs w:val="13"/>
                <w:color w:val="auto"/>
              </w:rPr>
              <w:t>Chemicals/Plastics</w:t>
            </w:r>
          </w:p>
        </w:tc>
        <w:tc>
          <w:tcPr>
            <w:tcW w:w="1740" w:type="dxa"/>
            <w:vAlign w:val="bottom"/>
          </w:tcPr>
          <w:p>
            <w:pPr>
              <w:ind w:left="80"/>
              <w:spacing w:after="0" w:line="135" w:lineRule="exact"/>
              <w:rPr>
                <w:sz w:val="20"/>
                <w:szCs w:val="20"/>
                <w:color w:val="auto"/>
              </w:rPr>
            </w:pPr>
            <w:r>
              <w:rPr>
                <w:rFonts w:ascii="Arial" w:cs="Arial" w:eastAsia="Arial" w:hAnsi="Arial"/>
                <w:sz w:val="13"/>
                <w:szCs w:val="13"/>
                <w:color w:val="auto"/>
                <w:w w:val="93"/>
              </w:rPr>
              <w:t>Tranche B-2 Dollar Term Loan</w:t>
            </w:r>
          </w:p>
        </w:tc>
        <w:tc>
          <w:tcPr>
            <w:tcW w:w="88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080" w:type="dxa"/>
            <w:vAlign w:val="bottom"/>
          </w:tcPr>
          <w:p>
            <w:pPr>
              <w:jc w:val="right"/>
              <w:ind w:right="124"/>
              <w:spacing w:after="0" w:line="135" w:lineRule="exact"/>
              <w:rPr>
                <w:sz w:val="20"/>
                <w:szCs w:val="20"/>
                <w:color w:val="auto"/>
              </w:rPr>
            </w:pPr>
            <w:r>
              <w:rPr>
                <w:rFonts w:ascii="Arial" w:cs="Arial" w:eastAsia="Arial" w:hAnsi="Arial"/>
                <w:sz w:val="13"/>
                <w:szCs w:val="13"/>
                <w:color w:val="auto"/>
              </w:rPr>
              <w:t>4.25%</w:t>
            </w:r>
          </w:p>
        </w:tc>
        <w:tc>
          <w:tcPr>
            <w:tcW w:w="820" w:type="dxa"/>
            <w:vAlign w:val="bottom"/>
          </w:tcPr>
          <w:p>
            <w:pPr>
              <w:jc w:val="right"/>
              <w:ind w:right="24"/>
              <w:spacing w:after="0" w:line="135" w:lineRule="exact"/>
              <w:rPr>
                <w:sz w:val="20"/>
                <w:szCs w:val="20"/>
                <w:color w:val="auto"/>
              </w:rPr>
            </w:pPr>
            <w:r>
              <w:rPr>
                <w:rFonts w:ascii="Arial" w:cs="Arial" w:eastAsia="Arial" w:hAnsi="Arial"/>
                <w:sz w:val="13"/>
                <w:szCs w:val="13"/>
                <w:color w:val="auto"/>
              </w:rPr>
              <w:t>2/15/2019</w:t>
            </w:r>
          </w:p>
        </w:tc>
        <w:tc>
          <w:tcPr>
            <w:tcW w:w="40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line="135" w:lineRule="exact"/>
              <w:rPr>
                <w:sz w:val="20"/>
                <w:szCs w:val="20"/>
                <w:color w:val="auto"/>
              </w:rPr>
            </w:pPr>
            <w:r>
              <w:rPr>
                <w:rFonts w:ascii="Arial" w:cs="Arial" w:eastAsia="Arial" w:hAnsi="Arial"/>
                <w:sz w:val="13"/>
                <w:szCs w:val="13"/>
                <w:color w:val="auto"/>
              </w:rPr>
              <w:t>1,477,584</w:t>
            </w:r>
          </w:p>
        </w:tc>
        <w:tc>
          <w:tcPr>
            <w:tcW w:w="940" w:type="dxa"/>
            <w:vAlign w:val="bottom"/>
          </w:tcPr>
          <w:p>
            <w:pPr>
              <w:jc w:val="right"/>
              <w:ind w:right="164"/>
              <w:spacing w:after="0" w:line="135" w:lineRule="exact"/>
              <w:rPr>
                <w:sz w:val="20"/>
                <w:szCs w:val="20"/>
                <w:color w:val="auto"/>
              </w:rPr>
            </w:pPr>
            <w:r>
              <w:rPr>
                <w:rFonts w:ascii="Arial" w:cs="Arial" w:eastAsia="Arial" w:hAnsi="Arial"/>
                <w:sz w:val="13"/>
                <w:szCs w:val="13"/>
                <w:color w:val="auto"/>
              </w:rPr>
              <w:t>1,469,122</w:t>
            </w:r>
          </w:p>
        </w:tc>
        <w:tc>
          <w:tcPr>
            <w:tcW w:w="780" w:type="dxa"/>
            <w:vAlign w:val="bottom"/>
          </w:tcPr>
          <w:p>
            <w:pPr>
              <w:jc w:val="right"/>
              <w:ind w:right="24"/>
              <w:spacing w:after="0" w:line="135" w:lineRule="exact"/>
              <w:rPr>
                <w:sz w:val="20"/>
                <w:szCs w:val="20"/>
                <w:color w:val="auto"/>
              </w:rPr>
            </w:pPr>
            <w:r>
              <w:rPr>
                <w:rFonts w:ascii="Arial" w:cs="Arial" w:eastAsia="Arial" w:hAnsi="Arial"/>
                <w:sz w:val="13"/>
                <w:szCs w:val="13"/>
                <w:color w:val="auto"/>
              </w:rPr>
              <w:t>1,482,889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Team Health, Inc.</w:t>
            </w:r>
          </w:p>
        </w:tc>
        <w:tc>
          <w:tcPr>
            <w:tcW w:w="17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Healthcare</w:t>
            </w:r>
          </w:p>
        </w:tc>
        <w:tc>
          <w:tcPr>
            <w:tcW w:w="17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Tranche B Term Loan</w:t>
            </w:r>
          </w:p>
        </w:tc>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3.75%</w:t>
            </w:r>
          </w:p>
        </w:tc>
        <w:tc>
          <w:tcPr>
            <w:tcW w:w="820" w:type="dxa"/>
            <w:vAlign w:val="bottom"/>
            <w:shd w:val="clear" w:color="auto" w:fill="CCEEFF"/>
          </w:tcPr>
          <w:p>
            <w:pPr>
              <w:jc w:val="right"/>
              <w:ind w:right="24"/>
              <w:spacing w:after="0" w:line="135" w:lineRule="exact"/>
              <w:rPr>
                <w:sz w:val="20"/>
                <w:szCs w:val="20"/>
                <w:color w:val="auto"/>
              </w:rPr>
            </w:pPr>
            <w:r>
              <w:rPr>
                <w:rFonts w:ascii="Arial" w:cs="Arial" w:eastAsia="Arial" w:hAnsi="Arial"/>
                <w:sz w:val="13"/>
                <w:szCs w:val="13"/>
                <w:color w:val="auto"/>
              </w:rPr>
              <w:t>6/29/2018</w:t>
            </w:r>
          </w:p>
        </w:tc>
        <w:tc>
          <w:tcPr>
            <w:tcW w:w="4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line="135" w:lineRule="exact"/>
              <w:rPr>
                <w:sz w:val="20"/>
                <w:szCs w:val="20"/>
                <w:color w:val="auto"/>
              </w:rPr>
            </w:pPr>
            <w:r>
              <w:rPr>
                <w:rFonts w:ascii="Arial" w:cs="Arial" w:eastAsia="Arial" w:hAnsi="Arial"/>
                <w:sz w:val="13"/>
                <w:szCs w:val="13"/>
                <w:color w:val="auto"/>
              </w:rPr>
              <w:t>4,398,750</w:t>
            </w:r>
          </w:p>
        </w:tc>
        <w:tc>
          <w:tcPr>
            <w:tcW w:w="940" w:type="dxa"/>
            <w:vAlign w:val="bottom"/>
            <w:shd w:val="clear" w:color="auto" w:fill="CCEEFF"/>
          </w:tcPr>
          <w:p>
            <w:pPr>
              <w:jc w:val="right"/>
              <w:ind w:right="164"/>
              <w:spacing w:after="0" w:line="135" w:lineRule="exact"/>
              <w:rPr>
                <w:sz w:val="20"/>
                <w:szCs w:val="20"/>
                <w:color w:val="auto"/>
              </w:rPr>
            </w:pPr>
            <w:r>
              <w:rPr>
                <w:rFonts w:ascii="Arial" w:cs="Arial" w:eastAsia="Arial" w:hAnsi="Arial"/>
                <w:sz w:val="13"/>
                <w:szCs w:val="13"/>
                <w:color w:val="auto"/>
              </w:rPr>
              <w:t>4,384,292</w:t>
            </w:r>
          </w:p>
        </w:tc>
        <w:tc>
          <w:tcPr>
            <w:tcW w:w="780" w:type="dxa"/>
            <w:vAlign w:val="bottom"/>
            <w:shd w:val="clear" w:color="auto" w:fill="CCEEFF"/>
          </w:tcPr>
          <w:p>
            <w:pPr>
              <w:jc w:val="right"/>
              <w:ind w:right="24"/>
              <w:spacing w:after="0" w:line="135" w:lineRule="exact"/>
              <w:rPr>
                <w:sz w:val="20"/>
                <w:szCs w:val="20"/>
                <w:color w:val="auto"/>
              </w:rPr>
            </w:pPr>
            <w:r>
              <w:rPr>
                <w:rFonts w:ascii="Arial" w:cs="Arial" w:eastAsia="Arial" w:hAnsi="Arial"/>
                <w:sz w:val="13"/>
                <w:szCs w:val="13"/>
                <w:color w:val="auto"/>
              </w:rPr>
              <w:t>4,398,750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TECTUM HOLDINGS INC</w:t>
            </w:r>
          </w:p>
        </w:tc>
        <w:tc>
          <w:tcPr>
            <w:tcW w:w="1760" w:type="dxa"/>
            <w:vAlign w:val="bottom"/>
          </w:tcPr>
          <w:p>
            <w:pPr>
              <w:ind w:left="80"/>
              <w:spacing w:after="0" w:line="135" w:lineRule="exact"/>
              <w:rPr>
                <w:sz w:val="20"/>
                <w:szCs w:val="20"/>
                <w:color w:val="auto"/>
              </w:rPr>
            </w:pPr>
            <w:r>
              <w:rPr>
                <w:rFonts w:ascii="Arial" w:cs="Arial" w:eastAsia="Arial" w:hAnsi="Arial"/>
                <w:sz w:val="13"/>
                <w:szCs w:val="13"/>
                <w:color w:val="auto"/>
              </w:rPr>
              <w:t>Industrial Equipment</w:t>
            </w:r>
          </w:p>
        </w:tc>
        <w:tc>
          <w:tcPr>
            <w:tcW w:w="1740" w:type="dxa"/>
            <w:vAlign w:val="bottom"/>
          </w:tcPr>
          <w:p>
            <w:pPr>
              <w:ind w:left="80"/>
              <w:spacing w:after="0" w:line="135" w:lineRule="exact"/>
              <w:rPr>
                <w:sz w:val="20"/>
                <w:szCs w:val="20"/>
                <w:color w:val="auto"/>
              </w:rPr>
            </w:pPr>
            <w:r>
              <w:rPr>
                <w:rFonts w:ascii="Arial" w:cs="Arial" w:eastAsia="Arial" w:hAnsi="Arial"/>
                <w:sz w:val="13"/>
                <w:szCs w:val="13"/>
                <w:color w:val="auto"/>
              </w:rPr>
              <w:t>Term Loan</w:t>
            </w:r>
          </w:p>
        </w:tc>
        <w:tc>
          <w:tcPr>
            <w:tcW w:w="88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080" w:type="dxa"/>
            <w:vAlign w:val="bottom"/>
          </w:tcPr>
          <w:p>
            <w:pPr>
              <w:jc w:val="right"/>
              <w:ind w:right="124"/>
              <w:spacing w:after="0" w:line="135" w:lineRule="exact"/>
              <w:rPr>
                <w:sz w:val="20"/>
                <w:szCs w:val="20"/>
                <w:color w:val="auto"/>
              </w:rPr>
            </w:pPr>
            <w:r>
              <w:rPr>
                <w:rFonts w:ascii="Arial" w:cs="Arial" w:eastAsia="Arial" w:hAnsi="Arial"/>
                <w:sz w:val="13"/>
                <w:szCs w:val="13"/>
                <w:color w:val="auto"/>
              </w:rPr>
              <w:t>7.50%</w:t>
            </w:r>
          </w:p>
        </w:tc>
        <w:tc>
          <w:tcPr>
            <w:tcW w:w="820" w:type="dxa"/>
            <w:vAlign w:val="bottom"/>
          </w:tcPr>
          <w:p>
            <w:pPr>
              <w:jc w:val="right"/>
              <w:ind w:right="24"/>
              <w:spacing w:after="0" w:line="135" w:lineRule="exact"/>
              <w:rPr>
                <w:sz w:val="20"/>
                <w:szCs w:val="20"/>
                <w:color w:val="auto"/>
              </w:rPr>
            </w:pPr>
            <w:r>
              <w:rPr>
                <w:rFonts w:ascii="Arial" w:cs="Arial" w:eastAsia="Arial" w:hAnsi="Arial"/>
                <w:sz w:val="13"/>
                <w:szCs w:val="13"/>
                <w:color w:val="auto"/>
              </w:rPr>
              <w:t>12/3/2015</w:t>
            </w:r>
          </w:p>
        </w:tc>
        <w:tc>
          <w:tcPr>
            <w:tcW w:w="40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line="135" w:lineRule="exact"/>
              <w:rPr>
                <w:sz w:val="20"/>
                <w:szCs w:val="20"/>
                <w:color w:val="auto"/>
              </w:rPr>
            </w:pPr>
            <w:r>
              <w:rPr>
                <w:rFonts w:ascii="Arial" w:cs="Arial" w:eastAsia="Arial" w:hAnsi="Arial"/>
                <w:sz w:val="13"/>
                <w:szCs w:val="13"/>
                <w:color w:val="auto"/>
              </w:rPr>
              <w:t>3,850,000</w:t>
            </w:r>
          </w:p>
        </w:tc>
        <w:tc>
          <w:tcPr>
            <w:tcW w:w="940" w:type="dxa"/>
            <w:vAlign w:val="bottom"/>
          </w:tcPr>
          <w:p>
            <w:pPr>
              <w:jc w:val="right"/>
              <w:ind w:right="164"/>
              <w:spacing w:after="0" w:line="135" w:lineRule="exact"/>
              <w:rPr>
                <w:sz w:val="20"/>
                <w:szCs w:val="20"/>
                <w:color w:val="auto"/>
              </w:rPr>
            </w:pPr>
            <w:r>
              <w:rPr>
                <w:rFonts w:ascii="Arial" w:cs="Arial" w:eastAsia="Arial" w:hAnsi="Arial"/>
                <w:sz w:val="13"/>
                <w:szCs w:val="13"/>
                <w:color w:val="auto"/>
              </w:rPr>
              <w:t>3,836,769</w:t>
            </w:r>
          </w:p>
        </w:tc>
        <w:tc>
          <w:tcPr>
            <w:tcW w:w="780" w:type="dxa"/>
            <w:vAlign w:val="bottom"/>
          </w:tcPr>
          <w:p>
            <w:pPr>
              <w:jc w:val="right"/>
              <w:ind w:right="24"/>
              <w:spacing w:after="0" w:line="135" w:lineRule="exact"/>
              <w:rPr>
                <w:sz w:val="20"/>
                <w:szCs w:val="20"/>
                <w:color w:val="auto"/>
              </w:rPr>
            </w:pPr>
            <w:r>
              <w:rPr>
                <w:rFonts w:ascii="Arial" w:cs="Arial" w:eastAsia="Arial" w:hAnsi="Arial"/>
                <w:sz w:val="13"/>
                <w:szCs w:val="13"/>
                <w:color w:val="auto"/>
              </w:rPr>
              <w:t>3,830,750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Tomkins, LLC / Tomkins, Inc. (f/k/a</w:t>
            </w:r>
          </w:p>
        </w:tc>
        <w:tc>
          <w:tcPr>
            <w:tcW w:w="176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Conglomerate</w:t>
            </w:r>
          </w:p>
        </w:tc>
        <w:tc>
          <w:tcPr>
            <w:tcW w:w="17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Term B-2 Loan</w:t>
            </w:r>
          </w:p>
        </w:tc>
        <w:tc>
          <w:tcPr>
            <w:tcW w:w="8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Pinafore, LLC / Pinafore, Inc.)</w:t>
            </w:r>
          </w:p>
        </w:tc>
        <w:tc>
          <w:tcPr>
            <w:tcW w:w="17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rPr>
              <w:t>3.75%</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9/29/2016</w:t>
            </w:r>
          </w:p>
        </w:tc>
        <w:tc>
          <w:tcPr>
            <w:tcW w:w="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3"/>
                <w:szCs w:val="13"/>
                <w:color w:val="auto"/>
              </w:rPr>
              <w:t>2,397,848</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3"/>
                <w:szCs w:val="13"/>
                <w:color w:val="auto"/>
              </w:rPr>
              <w:t>2,402,435</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2,404,442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TransDigm Inc.</w:t>
            </w:r>
          </w:p>
        </w:tc>
        <w:tc>
          <w:tcPr>
            <w:tcW w:w="1760" w:type="dxa"/>
            <w:vAlign w:val="bottom"/>
          </w:tcPr>
          <w:p>
            <w:pPr>
              <w:ind w:left="80"/>
              <w:spacing w:after="0" w:line="135" w:lineRule="exact"/>
              <w:rPr>
                <w:sz w:val="20"/>
                <w:szCs w:val="20"/>
                <w:color w:val="auto"/>
              </w:rPr>
            </w:pPr>
            <w:r>
              <w:rPr>
                <w:rFonts w:ascii="Arial" w:cs="Arial" w:eastAsia="Arial" w:hAnsi="Arial"/>
                <w:sz w:val="13"/>
                <w:szCs w:val="13"/>
                <w:color w:val="auto"/>
              </w:rPr>
              <w:t>Aerospace and Defense</w:t>
            </w:r>
          </w:p>
        </w:tc>
        <w:tc>
          <w:tcPr>
            <w:tcW w:w="1740" w:type="dxa"/>
            <w:vAlign w:val="bottom"/>
          </w:tcPr>
          <w:p>
            <w:pPr>
              <w:ind w:left="80"/>
              <w:spacing w:after="0" w:line="135" w:lineRule="exact"/>
              <w:rPr>
                <w:sz w:val="20"/>
                <w:szCs w:val="20"/>
                <w:color w:val="auto"/>
              </w:rPr>
            </w:pPr>
            <w:r>
              <w:rPr>
                <w:rFonts w:ascii="Arial" w:cs="Arial" w:eastAsia="Arial" w:hAnsi="Arial"/>
                <w:sz w:val="13"/>
                <w:szCs w:val="13"/>
                <w:color w:val="auto"/>
              </w:rPr>
              <w:t>Tranche C Term Loan</w:t>
            </w:r>
          </w:p>
        </w:tc>
        <w:tc>
          <w:tcPr>
            <w:tcW w:w="88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080" w:type="dxa"/>
            <w:vAlign w:val="bottom"/>
          </w:tcPr>
          <w:p>
            <w:pPr>
              <w:jc w:val="right"/>
              <w:ind w:right="124"/>
              <w:spacing w:after="0" w:line="135" w:lineRule="exact"/>
              <w:rPr>
                <w:sz w:val="20"/>
                <w:szCs w:val="20"/>
                <w:color w:val="auto"/>
              </w:rPr>
            </w:pPr>
            <w:r>
              <w:rPr>
                <w:rFonts w:ascii="Arial" w:cs="Arial" w:eastAsia="Arial" w:hAnsi="Arial"/>
                <w:sz w:val="13"/>
                <w:szCs w:val="13"/>
                <w:color w:val="auto"/>
              </w:rPr>
              <w:t>3.75%</w:t>
            </w:r>
          </w:p>
        </w:tc>
        <w:tc>
          <w:tcPr>
            <w:tcW w:w="820" w:type="dxa"/>
            <w:vAlign w:val="bottom"/>
          </w:tcPr>
          <w:p>
            <w:pPr>
              <w:jc w:val="right"/>
              <w:ind w:right="24"/>
              <w:spacing w:after="0" w:line="135" w:lineRule="exact"/>
              <w:rPr>
                <w:sz w:val="20"/>
                <w:szCs w:val="20"/>
                <w:color w:val="auto"/>
              </w:rPr>
            </w:pPr>
            <w:r>
              <w:rPr>
                <w:rFonts w:ascii="Arial" w:cs="Arial" w:eastAsia="Arial" w:hAnsi="Arial"/>
                <w:sz w:val="13"/>
                <w:szCs w:val="13"/>
                <w:color w:val="auto"/>
              </w:rPr>
              <w:t>2/28/2020</w:t>
            </w:r>
          </w:p>
        </w:tc>
        <w:tc>
          <w:tcPr>
            <w:tcW w:w="40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line="135" w:lineRule="exact"/>
              <w:rPr>
                <w:sz w:val="20"/>
                <w:szCs w:val="20"/>
                <w:color w:val="auto"/>
              </w:rPr>
            </w:pPr>
            <w:r>
              <w:rPr>
                <w:rFonts w:ascii="Arial" w:cs="Arial" w:eastAsia="Arial" w:hAnsi="Arial"/>
                <w:sz w:val="13"/>
                <w:szCs w:val="13"/>
                <w:color w:val="auto"/>
              </w:rPr>
              <w:t>4,908,879</w:t>
            </w:r>
          </w:p>
        </w:tc>
        <w:tc>
          <w:tcPr>
            <w:tcW w:w="940" w:type="dxa"/>
            <w:vAlign w:val="bottom"/>
          </w:tcPr>
          <w:p>
            <w:pPr>
              <w:jc w:val="right"/>
              <w:ind w:right="164"/>
              <w:spacing w:after="0" w:line="135" w:lineRule="exact"/>
              <w:rPr>
                <w:sz w:val="20"/>
                <w:szCs w:val="20"/>
                <w:color w:val="auto"/>
              </w:rPr>
            </w:pPr>
            <w:r>
              <w:rPr>
                <w:rFonts w:ascii="Arial" w:cs="Arial" w:eastAsia="Arial" w:hAnsi="Arial"/>
                <w:sz w:val="13"/>
                <w:szCs w:val="13"/>
                <w:color w:val="auto"/>
              </w:rPr>
              <w:t>4,917,572</w:t>
            </w:r>
          </w:p>
        </w:tc>
        <w:tc>
          <w:tcPr>
            <w:tcW w:w="780" w:type="dxa"/>
            <w:vAlign w:val="bottom"/>
          </w:tcPr>
          <w:p>
            <w:pPr>
              <w:jc w:val="right"/>
              <w:ind w:right="24"/>
              <w:spacing w:after="0" w:line="135" w:lineRule="exact"/>
              <w:rPr>
                <w:sz w:val="20"/>
                <w:szCs w:val="20"/>
                <w:color w:val="auto"/>
              </w:rPr>
            </w:pPr>
            <w:r>
              <w:rPr>
                <w:rFonts w:ascii="Arial" w:cs="Arial" w:eastAsia="Arial" w:hAnsi="Arial"/>
                <w:sz w:val="13"/>
                <w:szCs w:val="13"/>
                <w:color w:val="auto"/>
              </w:rPr>
              <w:t>4,929,742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Tricorbraun Inc. (fka Kranson</w:t>
            </w:r>
          </w:p>
        </w:tc>
        <w:tc>
          <w:tcPr>
            <w:tcW w:w="176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Containers/Glass Products</w:t>
            </w:r>
          </w:p>
        </w:tc>
        <w:tc>
          <w:tcPr>
            <w:tcW w:w="17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Term Loan</w:t>
            </w:r>
          </w:p>
        </w:tc>
        <w:tc>
          <w:tcPr>
            <w:tcW w:w="8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Industries, Inc.)</w:t>
            </w:r>
          </w:p>
        </w:tc>
        <w:tc>
          <w:tcPr>
            <w:tcW w:w="17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rPr>
              <w:t>4.00%</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5/3/2018</w:t>
            </w:r>
          </w:p>
        </w:tc>
        <w:tc>
          <w:tcPr>
            <w:tcW w:w="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3"/>
                <w:szCs w:val="13"/>
                <w:color w:val="auto"/>
              </w:rPr>
              <w:t>1,902,083</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3"/>
                <w:szCs w:val="13"/>
                <w:color w:val="auto"/>
              </w:rPr>
              <w:t>1,895,039</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1,903,282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Truven Health Analytics Inc. (fka</w:t>
            </w:r>
          </w:p>
        </w:tc>
        <w:tc>
          <w:tcPr>
            <w:tcW w:w="1760" w:type="dxa"/>
            <w:vAlign w:val="bottom"/>
          </w:tcPr>
          <w:p>
            <w:pPr>
              <w:ind w:left="80"/>
              <w:spacing w:after="0" w:line="121" w:lineRule="exact"/>
              <w:rPr>
                <w:sz w:val="20"/>
                <w:szCs w:val="20"/>
                <w:color w:val="auto"/>
              </w:rPr>
            </w:pPr>
            <w:r>
              <w:rPr>
                <w:rFonts w:ascii="Arial" w:cs="Arial" w:eastAsia="Arial" w:hAnsi="Arial"/>
                <w:sz w:val="13"/>
                <w:szCs w:val="13"/>
                <w:color w:val="auto"/>
              </w:rPr>
              <w:t>Healthcare</w:t>
            </w:r>
          </w:p>
        </w:tc>
        <w:tc>
          <w:tcPr>
            <w:tcW w:w="1740" w:type="dxa"/>
            <w:vAlign w:val="bottom"/>
          </w:tcPr>
          <w:p>
            <w:pPr>
              <w:ind w:left="80"/>
              <w:spacing w:after="0" w:line="121" w:lineRule="exact"/>
              <w:rPr>
                <w:sz w:val="20"/>
                <w:szCs w:val="20"/>
                <w:color w:val="auto"/>
              </w:rPr>
            </w:pPr>
            <w:r>
              <w:rPr>
                <w:rFonts w:ascii="Arial" w:cs="Arial" w:eastAsia="Arial" w:hAnsi="Arial"/>
                <w:sz w:val="13"/>
                <w:szCs w:val="13"/>
                <w:color w:val="auto"/>
              </w:rPr>
              <w:t>New Tranche B Term Loan</w:t>
            </w:r>
          </w:p>
        </w:tc>
        <w:tc>
          <w:tcPr>
            <w:tcW w:w="88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tcPr>
          <w:p>
            <w:pPr>
              <w:ind w:left="160"/>
              <w:spacing w:after="0" w:line="135" w:lineRule="exact"/>
              <w:rPr>
                <w:sz w:val="20"/>
                <w:szCs w:val="20"/>
                <w:color w:val="auto"/>
              </w:rPr>
            </w:pPr>
            <w:r>
              <w:rPr>
                <w:rFonts w:ascii="Arial" w:cs="Arial" w:eastAsia="Arial" w:hAnsi="Arial"/>
                <w:sz w:val="13"/>
                <w:szCs w:val="13"/>
                <w:color w:val="auto"/>
              </w:rPr>
              <w:t>Thomson Reuters (Healthcare)</w:t>
            </w:r>
          </w:p>
        </w:tc>
        <w:tc>
          <w:tcPr>
            <w:tcW w:w="176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tcPr>
          <w:p>
            <w:pPr>
              <w:ind w:left="160"/>
              <w:spacing w:after="0"/>
              <w:rPr>
                <w:sz w:val="20"/>
                <w:szCs w:val="20"/>
                <w:color w:val="auto"/>
              </w:rPr>
            </w:pPr>
            <w:r>
              <w:rPr>
                <w:rFonts w:ascii="Arial" w:cs="Arial" w:eastAsia="Arial" w:hAnsi="Arial"/>
                <w:sz w:val="13"/>
                <w:szCs w:val="13"/>
                <w:color w:val="auto"/>
              </w:rPr>
              <w:t>Inc.)</w:t>
            </w:r>
          </w:p>
        </w:tc>
        <w:tc>
          <w:tcPr>
            <w:tcW w:w="1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124"/>
              <w:spacing w:after="0"/>
              <w:rPr>
                <w:sz w:val="20"/>
                <w:szCs w:val="20"/>
                <w:color w:val="auto"/>
              </w:rPr>
            </w:pPr>
            <w:r>
              <w:rPr>
                <w:rFonts w:ascii="Arial" w:cs="Arial" w:eastAsia="Arial" w:hAnsi="Arial"/>
                <w:sz w:val="13"/>
                <w:szCs w:val="13"/>
                <w:color w:val="auto"/>
              </w:rPr>
              <w:t>4.50%</w:t>
            </w:r>
          </w:p>
        </w:tc>
        <w:tc>
          <w:tcPr>
            <w:tcW w:w="820" w:type="dxa"/>
            <w:vAlign w:val="bottom"/>
          </w:tcPr>
          <w:p>
            <w:pPr>
              <w:jc w:val="right"/>
              <w:ind w:right="24"/>
              <w:spacing w:after="0"/>
              <w:rPr>
                <w:sz w:val="20"/>
                <w:szCs w:val="20"/>
                <w:color w:val="auto"/>
              </w:rPr>
            </w:pPr>
            <w:r>
              <w:rPr>
                <w:rFonts w:ascii="Arial" w:cs="Arial" w:eastAsia="Arial" w:hAnsi="Arial"/>
                <w:sz w:val="13"/>
                <w:szCs w:val="13"/>
                <w:color w:val="auto"/>
              </w:rPr>
              <w:t>6/6/2019</w:t>
            </w:r>
          </w:p>
        </w:tc>
        <w:tc>
          <w:tcPr>
            <w:tcW w:w="400" w:type="dxa"/>
            <w:vAlign w:val="bottom"/>
          </w:tcPr>
          <w:p>
            <w:pPr>
              <w:ind w:left="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rPr>
                <w:sz w:val="20"/>
                <w:szCs w:val="20"/>
                <w:color w:val="auto"/>
              </w:rPr>
            </w:pPr>
            <w:r>
              <w:rPr>
                <w:rFonts w:ascii="Arial" w:cs="Arial" w:eastAsia="Arial" w:hAnsi="Arial"/>
                <w:sz w:val="13"/>
                <w:szCs w:val="13"/>
                <w:color w:val="auto"/>
              </w:rPr>
              <w:t>493,769</w:t>
            </w:r>
          </w:p>
        </w:tc>
        <w:tc>
          <w:tcPr>
            <w:tcW w:w="940" w:type="dxa"/>
            <w:vAlign w:val="bottom"/>
          </w:tcPr>
          <w:p>
            <w:pPr>
              <w:jc w:val="right"/>
              <w:ind w:right="164"/>
              <w:spacing w:after="0"/>
              <w:rPr>
                <w:sz w:val="20"/>
                <w:szCs w:val="20"/>
                <w:color w:val="auto"/>
              </w:rPr>
            </w:pPr>
            <w:r>
              <w:rPr>
                <w:rFonts w:ascii="Arial" w:cs="Arial" w:eastAsia="Arial" w:hAnsi="Arial"/>
                <w:sz w:val="13"/>
                <w:szCs w:val="13"/>
                <w:color w:val="auto"/>
              </w:rPr>
              <w:t>485,612</w:t>
            </w:r>
          </w:p>
        </w:tc>
        <w:tc>
          <w:tcPr>
            <w:tcW w:w="780" w:type="dxa"/>
            <w:vAlign w:val="bottom"/>
          </w:tcPr>
          <w:p>
            <w:pPr>
              <w:jc w:val="right"/>
              <w:ind w:right="24"/>
              <w:spacing w:after="0"/>
              <w:rPr>
                <w:sz w:val="20"/>
                <w:szCs w:val="20"/>
                <w:color w:val="auto"/>
              </w:rPr>
            </w:pPr>
            <w:r>
              <w:rPr>
                <w:rFonts w:ascii="Arial" w:cs="Arial" w:eastAsia="Arial" w:hAnsi="Arial"/>
                <w:sz w:val="13"/>
                <w:szCs w:val="13"/>
                <w:color w:val="auto"/>
              </w:rPr>
              <w:t>495,211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U.S. Security Associates</w:t>
            </w:r>
          </w:p>
        </w:tc>
        <w:tc>
          <w:tcPr>
            <w:tcW w:w="176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Business Equipment and</w:t>
            </w:r>
          </w:p>
        </w:tc>
        <w:tc>
          <w:tcPr>
            <w:tcW w:w="17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Delayed Draw Loan</w:t>
            </w:r>
          </w:p>
        </w:tc>
        <w:tc>
          <w:tcPr>
            <w:tcW w:w="8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Holdings, Inc.</w:t>
            </w:r>
          </w:p>
        </w:tc>
        <w:tc>
          <w:tcPr>
            <w:tcW w:w="1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Services</w:t>
            </w:r>
          </w:p>
        </w:tc>
        <w:tc>
          <w:tcPr>
            <w:tcW w:w="1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rPr>
              <w:t>6.00%</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7/28/2017</w:t>
            </w:r>
          </w:p>
        </w:tc>
        <w:tc>
          <w:tcPr>
            <w:tcW w:w="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3"/>
                <w:szCs w:val="13"/>
                <w:color w:val="auto"/>
              </w:rPr>
              <w:t>160,555</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3"/>
                <w:szCs w:val="13"/>
                <w:color w:val="auto"/>
              </w:rPr>
              <w:t>159,574</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160,823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U.S. Security Associates</w:t>
            </w:r>
          </w:p>
        </w:tc>
        <w:tc>
          <w:tcPr>
            <w:tcW w:w="1760" w:type="dxa"/>
            <w:vAlign w:val="bottom"/>
          </w:tcPr>
          <w:p>
            <w:pPr>
              <w:ind w:left="80"/>
              <w:spacing w:after="0" w:line="121" w:lineRule="exact"/>
              <w:rPr>
                <w:sz w:val="20"/>
                <w:szCs w:val="20"/>
                <w:color w:val="auto"/>
              </w:rPr>
            </w:pPr>
            <w:r>
              <w:rPr>
                <w:rFonts w:ascii="Arial" w:cs="Arial" w:eastAsia="Arial" w:hAnsi="Arial"/>
                <w:sz w:val="13"/>
                <w:szCs w:val="13"/>
                <w:color w:val="auto"/>
              </w:rPr>
              <w:t>Business Equipment and</w:t>
            </w:r>
          </w:p>
        </w:tc>
        <w:tc>
          <w:tcPr>
            <w:tcW w:w="1740" w:type="dxa"/>
            <w:vAlign w:val="bottom"/>
          </w:tcPr>
          <w:p>
            <w:pPr>
              <w:ind w:left="80"/>
              <w:spacing w:after="0" w:line="121" w:lineRule="exact"/>
              <w:rPr>
                <w:sz w:val="20"/>
                <w:szCs w:val="20"/>
                <w:color w:val="auto"/>
              </w:rPr>
            </w:pPr>
            <w:r>
              <w:rPr>
                <w:rFonts w:ascii="Arial" w:cs="Arial" w:eastAsia="Arial" w:hAnsi="Arial"/>
                <w:sz w:val="13"/>
                <w:szCs w:val="13"/>
                <w:color w:val="auto"/>
              </w:rPr>
              <w:t>Term B Loan</w:t>
            </w:r>
          </w:p>
        </w:tc>
        <w:tc>
          <w:tcPr>
            <w:tcW w:w="88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tcPr>
          <w:p>
            <w:pPr>
              <w:ind w:left="160"/>
              <w:spacing w:after="0"/>
              <w:rPr>
                <w:sz w:val="20"/>
                <w:szCs w:val="20"/>
                <w:color w:val="auto"/>
              </w:rPr>
            </w:pPr>
            <w:r>
              <w:rPr>
                <w:rFonts w:ascii="Arial" w:cs="Arial" w:eastAsia="Arial" w:hAnsi="Arial"/>
                <w:sz w:val="13"/>
                <w:szCs w:val="13"/>
                <w:color w:val="auto"/>
              </w:rPr>
              <w:t>Holdings, Inc.</w:t>
            </w:r>
          </w:p>
        </w:tc>
        <w:tc>
          <w:tcPr>
            <w:tcW w:w="1760" w:type="dxa"/>
            <w:vAlign w:val="bottom"/>
          </w:tcPr>
          <w:p>
            <w:pPr>
              <w:ind w:left="80"/>
              <w:spacing w:after="0"/>
              <w:rPr>
                <w:sz w:val="20"/>
                <w:szCs w:val="20"/>
                <w:color w:val="auto"/>
              </w:rPr>
            </w:pPr>
            <w:r>
              <w:rPr>
                <w:rFonts w:ascii="Arial" w:cs="Arial" w:eastAsia="Arial" w:hAnsi="Arial"/>
                <w:sz w:val="13"/>
                <w:szCs w:val="13"/>
                <w:color w:val="auto"/>
              </w:rPr>
              <w:t>Services</w:t>
            </w:r>
          </w:p>
        </w:tc>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124"/>
              <w:spacing w:after="0"/>
              <w:rPr>
                <w:sz w:val="20"/>
                <w:szCs w:val="20"/>
                <w:color w:val="auto"/>
              </w:rPr>
            </w:pPr>
            <w:r>
              <w:rPr>
                <w:rFonts w:ascii="Arial" w:cs="Arial" w:eastAsia="Arial" w:hAnsi="Arial"/>
                <w:sz w:val="13"/>
                <w:szCs w:val="13"/>
                <w:color w:val="auto"/>
              </w:rPr>
              <w:t>6.00%</w:t>
            </w:r>
          </w:p>
        </w:tc>
        <w:tc>
          <w:tcPr>
            <w:tcW w:w="820" w:type="dxa"/>
            <w:vAlign w:val="bottom"/>
          </w:tcPr>
          <w:p>
            <w:pPr>
              <w:jc w:val="right"/>
              <w:ind w:right="24"/>
              <w:spacing w:after="0"/>
              <w:rPr>
                <w:sz w:val="20"/>
                <w:szCs w:val="20"/>
                <w:color w:val="auto"/>
              </w:rPr>
            </w:pPr>
            <w:r>
              <w:rPr>
                <w:rFonts w:ascii="Arial" w:cs="Arial" w:eastAsia="Arial" w:hAnsi="Arial"/>
                <w:sz w:val="13"/>
                <w:szCs w:val="13"/>
                <w:color w:val="auto"/>
              </w:rPr>
              <w:t>7/28/2017</w:t>
            </w:r>
          </w:p>
        </w:tc>
        <w:tc>
          <w:tcPr>
            <w:tcW w:w="400" w:type="dxa"/>
            <w:vAlign w:val="bottom"/>
          </w:tcPr>
          <w:p>
            <w:pPr>
              <w:ind w:left="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rPr>
                <w:sz w:val="20"/>
                <w:szCs w:val="20"/>
                <w:color w:val="auto"/>
              </w:rPr>
            </w:pPr>
            <w:r>
              <w:rPr>
                <w:rFonts w:ascii="Arial" w:cs="Arial" w:eastAsia="Arial" w:hAnsi="Arial"/>
                <w:sz w:val="13"/>
                <w:szCs w:val="13"/>
                <w:color w:val="auto"/>
              </w:rPr>
              <w:t>122,808</w:t>
            </w:r>
          </w:p>
        </w:tc>
        <w:tc>
          <w:tcPr>
            <w:tcW w:w="940" w:type="dxa"/>
            <w:vAlign w:val="bottom"/>
          </w:tcPr>
          <w:p>
            <w:pPr>
              <w:jc w:val="right"/>
              <w:ind w:right="164"/>
              <w:spacing w:after="0"/>
              <w:rPr>
                <w:sz w:val="20"/>
                <w:szCs w:val="20"/>
                <w:color w:val="auto"/>
              </w:rPr>
            </w:pPr>
            <w:r>
              <w:rPr>
                <w:rFonts w:ascii="Arial" w:cs="Arial" w:eastAsia="Arial" w:hAnsi="Arial"/>
                <w:sz w:val="13"/>
                <w:szCs w:val="13"/>
                <w:color w:val="auto"/>
              </w:rPr>
              <w:t>122,393</w:t>
            </w:r>
          </w:p>
        </w:tc>
        <w:tc>
          <w:tcPr>
            <w:tcW w:w="780" w:type="dxa"/>
            <w:vAlign w:val="bottom"/>
          </w:tcPr>
          <w:p>
            <w:pPr>
              <w:jc w:val="right"/>
              <w:ind w:right="24"/>
              <w:spacing w:after="0"/>
              <w:rPr>
                <w:sz w:val="20"/>
                <w:szCs w:val="20"/>
                <w:color w:val="auto"/>
              </w:rPr>
            </w:pPr>
            <w:r>
              <w:rPr>
                <w:rFonts w:ascii="Arial" w:cs="Arial" w:eastAsia="Arial" w:hAnsi="Arial"/>
                <w:sz w:val="13"/>
                <w:szCs w:val="13"/>
                <w:color w:val="auto"/>
              </w:rPr>
              <w:t>123,013</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U.S. Security Associates</w:t>
            </w:r>
          </w:p>
        </w:tc>
        <w:tc>
          <w:tcPr>
            <w:tcW w:w="176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Business Equipment and</w:t>
            </w:r>
          </w:p>
        </w:tc>
        <w:tc>
          <w:tcPr>
            <w:tcW w:w="17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Term B Loan</w:t>
            </w:r>
          </w:p>
        </w:tc>
        <w:tc>
          <w:tcPr>
            <w:tcW w:w="8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shd w:val="clear" w:color="auto" w:fill="CCEEFF"/>
          </w:tcPr>
          <w:p>
            <w:pPr>
              <w:ind w:left="160"/>
              <w:spacing w:after="0"/>
              <w:rPr>
                <w:sz w:val="20"/>
                <w:szCs w:val="20"/>
                <w:color w:val="auto"/>
              </w:rPr>
            </w:pPr>
            <w:r>
              <w:rPr>
                <w:rFonts w:ascii="Arial" w:cs="Arial" w:eastAsia="Arial" w:hAnsi="Arial"/>
                <w:sz w:val="13"/>
                <w:szCs w:val="13"/>
                <w:color w:val="auto"/>
              </w:rPr>
              <w:t>Holdings, Inc.</w:t>
            </w:r>
          </w:p>
        </w:tc>
        <w:tc>
          <w:tcPr>
            <w:tcW w:w="1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Services</w:t>
            </w:r>
          </w:p>
        </w:tc>
        <w:tc>
          <w:tcPr>
            <w:tcW w:w="1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rPr>
              <w:t>6.00%</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7/28/2017</w:t>
            </w:r>
          </w:p>
        </w:tc>
        <w:tc>
          <w:tcPr>
            <w:tcW w:w="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3"/>
                <w:szCs w:val="13"/>
                <w:color w:val="auto"/>
              </w:rPr>
              <w:t>820,264</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3"/>
                <w:szCs w:val="13"/>
                <w:color w:val="auto"/>
              </w:rPr>
              <w:t>815,255</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821,634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tcPr>
          <w:p>
            <w:pPr>
              <w:spacing w:after="0" w:line="135" w:lineRule="exact"/>
              <w:rPr>
                <w:sz w:val="20"/>
                <w:szCs w:val="20"/>
                <w:color w:val="auto"/>
              </w:rPr>
            </w:pPr>
            <w:r>
              <w:rPr>
                <w:rFonts w:ascii="Arial" w:cs="Arial" w:eastAsia="Arial" w:hAnsi="Arial"/>
                <w:sz w:val="13"/>
                <w:szCs w:val="13"/>
                <w:color w:val="auto"/>
              </w:rPr>
              <w:t>U.S. Silica Company</w:t>
            </w:r>
          </w:p>
        </w:tc>
        <w:tc>
          <w:tcPr>
            <w:tcW w:w="1760" w:type="dxa"/>
            <w:vAlign w:val="bottom"/>
          </w:tcPr>
          <w:p>
            <w:pPr>
              <w:ind w:left="80"/>
              <w:spacing w:after="0" w:line="135" w:lineRule="exact"/>
              <w:rPr>
                <w:sz w:val="20"/>
                <w:szCs w:val="20"/>
                <w:color w:val="auto"/>
              </w:rPr>
            </w:pPr>
            <w:r>
              <w:rPr>
                <w:rFonts w:ascii="Arial" w:cs="Arial" w:eastAsia="Arial" w:hAnsi="Arial"/>
                <w:sz w:val="13"/>
                <w:szCs w:val="13"/>
                <w:color w:val="auto"/>
              </w:rPr>
              <w:t>Nonferrous Metals/Minerals</w:t>
            </w:r>
          </w:p>
        </w:tc>
        <w:tc>
          <w:tcPr>
            <w:tcW w:w="1740" w:type="dxa"/>
            <w:vAlign w:val="bottom"/>
          </w:tcPr>
          <w:p>
            <w:pPr>
              <w:ind w:left="80"/>
              <w:spacing w:after="0" w:line="135" w:lineRule="exact"/>
              <w:rPr>
                <w:sz w:val="20"/>
                <w:szCs w:val="20"/>
                <w:color w:val="auto"/>
              </w:rPr>
            </w:pPr>
            <w:r>
              <w:rPr>
                <w:rFonts w:ascii="Arial" w:cs="Arial" w:eastAsia="Arial" w:hAnsi="Arial"/>
                <w:sz w:val="13"/>
                <w:szCs w:val="13"/>
                <w:color w:val="auto"/>
              </w:rPr>
              <w:t>Term Loan</w:t>
            </w:r>
          </w:p>
        </w:tc>
        <w:tc>
          <w:tcPr>
            <w:tcW w:w="880" w:type="dxa"/>
            <w:vAlign w:val="bottom"/>
          </w:tcPr>
          <w:p>
            <w:pPr>
              <w:ind w:left="100"/>
              <w:spacing w:after="0" w:line="135" w:lineRule="exact"/>
              <w:rPr>
                <w:sz w:val="20"/>
                <w:szCs w:val="20"/>
                <w:color w:val="auto"/>
              </w:rPr>
            </w:pPr>
            <w:r>
              <w:rPr>
                <w:rFonts w:ascii="Arial" w:cs="Arial" w:eastAsia="Arial" w:hAnsi="Arial"/>
                <w:sz w:val="13"/>
                <w:szCs w:val="13"/>
                <w:color w:val="auto"/>
              </w:rPr>
              <w:t>Loan</w:t>
            </w:r>
          </w:p>
        </w:tc>
        <w:tc>
          <w:tcPr>
            <w:tcW w:w="1080" w:type="dxa"/>
            <w:vAlign w:val="bottom"/>
          </w:tcPr>
          <w:p>
            <w:pPr>
              <w:jc w:val="right"/>
              <w:ind w:right="124"/>
              <w:spacing w:after="0" w:line="135" w:lineRule="exact"/>
              <w:rPr>
                <w:sz w:val="20"/>
                <w:szCs w:val="20"/>
                <w:color w:val="auto"/>
              </w:rPr>
            </w:pPr>
            <w:r>
              <w:rPr>
                <w:rFonts w:ascii="Arial" w:cs="Arial" w:eastAsia="Arial" w:hAnsi="Arial"/>
                <w:sz w:val="13"/>
                <w:szCs w:val="13"/>
                <w:color w:val="auto"/>
              </w:rPr>
              <w:t>4.75%</w:t>
            </w:r>
          </w:p>
        </w:tc>
        <w:tc>
          <w:tcPr>
            <w:tcW w:w="820" w:type="dxa"/>
            <w:vAlign w:val="bottom"/>
          </w:tcPr>
          <w:p>
            <w:pPr>
              <w:jc w:val="right"/>
              <w:ind w:right="24"/>
              <w:spacing w:after="0" w:line="135" w:lineRule="exact"/>
              <w:rPr>
                <w:sz w:val="20"/>
                <w:szCs w:val="20"/>
                <w:color w:val="auto"/>
              </w:rPr>
            </w:pPr>
            <w:r>
              <w:rPr>
                <w:rFonts w:ascii="Arial" w:cs="Arial" w:eastAsia="Arial" w:hAnsi="Arial"/>
                <w:sz w:val="13"/>
                <w:szCs w:val="13"/>
                <w:color w:val="auto"/>
              </w:rPr>
              <w:t>6/8/2017</w:t>
            </w:r>
          </w:p>
        </w:tc>
        <w:tc>
          <w:tcPr>
            <w:tcW w:w="400" w:type="dxa"/>
            <w:vAlign w:val="bottom"/>
          </w:tcPr>
          <w:p>
            <w:pPr>
              <w:ind w:left="60"/>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line="135" w:lineRule="exact"/>
              <w:rPr>
                <w:sz w:val="20"/>
                <w:szCs w:val="20"/>
                <w:color w:val="auto"/>
              </w:rPr>
            </w:pPr>
            <w:r>
              <w:rPr>
                <w:rFonts w:ascii="Arial" w:cs="Arial" w:eastAsia="Arial" w:hAnsi="Arial"/>
                <w:sz w:val="13"/>
                <w:szCs w:val="13"/>
                <w:color w:val="auto"/>
              </w:rPr>
              <w:t>1,955,100</w:t>
            </w:r>
          </w:p>
        </w:tc>
        <w:tc>
          <w:tcPr>
            <w:tcW w:w="940" w:type="dxa"/>
            <w:vAlign w:val="bottom"/>
          </w:tcPr>
          <w:p>
            <w:pPr>
              <w:jc w:val="right"/>
              <w:ind w:right="164"/>
              <w:spacing w:after="0" w:line="135" w:lineRule="exact"/>
              <w:rPr>
                <w:sz w:val="20"/>
                <w:szCs w:val="20"/>
                <w:color w:val="auto"/>
              </w:rPr>
            </w:pPr>
            <w:r>
              <w:rPr>
                <w:rFonts w:ascii="Arial" w:cs="Arial" w:eastAsia="Arial" w:hAnsi="Arial"/>
                <w:sz w:val="13"/>
                <w:szCs w:val="13"/>
                <w:color w:val="auto"/>
              </w:rPr>
              <w:t>1,945,825</w:t>
            </w:r>
          </w:p>
        </w:tc>
        <w:tc>
          <w:tcPr>
            <w:tcW w:w="780" w:type="dxa"/>
            <w:vAlign w:val="bottom"/>
          </w:tcPr>
          <w:p>
            <w:pPr>
              <w:jc w:val="right"/>
              <w:ind w:right="24"/>
              <w:spacing w:after="0" w:line="135" w:lineRule="exact"/>
              <w:rPr>
                <w:sz w:val="20"/>
                <w:szCs w:val="20"/>
                <w:color w:val="auto"/>
              </w:rPr>
            </w:pPr>
            <w:r>
              <w:rPr>
                <w:rFonts w:ascii="Arial" w:cs="Arial" w:eastAsia="Arial" w:hAnsi="Arial"/>
                <w:sz w:val="13"/>
                <w:szCs w:val="13"/>
                <w:color w:val="auto"/>
              </w:rPr>
              <w:t>1,959,988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U.S. Xpress Enterprises, Inc.</w:t>
            </w:r>
          </w:p>
        </w:tc>
        <w:tc>
          <w:tcPr>
            <w:tcW w:w="17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Industrial Equipment</w:t>
            </w:r>
          </w:p>
        </w:tc>
        <w:tc>
          <w:tcPr>
            <w:tcW w:w="17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Extended Term Loan</w:t>
            </w:r>
          </w:p>
        </w:tc>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9.00%</w:t>
            </w:r>
          </w:p>
        </w:tc>
        <w:tc>
          <w:tcPr>
            <w:tcW w:w="820" w:type="dxa"/>
            <w:vAlign w:val="bottom"/>
            <w:shd w:val="clear" w:color="auto" w:fill="CCEEFF"/>
          </w:tcPr>
          <w:p>
            <w:pPr>
              <w:jc w:val="right"/>
              <w:ind w:right="24"/>
              <w:spacing w:after="0" w:line="135" w:lineRule="exact"/>
              <w:rPr>
                <w:sz w:val="20"/>
                <w:szCs w:val="20"/>
                <w:color w:val="auto"/>
              </w:rPr>
            </w:pPr>
            <w:r>
              <w:rPr>
                <w:rFonts w:ascii="Arial" w:cs="Arial" w:eastAsia="Arial" w:hAnsi="Arial"/>
                <w:sz w:val="13"/>
                <w:szCs w:val="13"/>
                <w:color w:val="auto"/>
              </w:rPr>
              <w:t>11/13/2016</w:t>
            </w:r>
          </w:p>
        </w:tc>
        <w:tc>
          <w:tcPr>
            <w:tcW w:w="4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line="135" w:lineRule="exact"/>
              <w:rPr>
                <w:sz w:val="20"/>
                <w:szCs w:val="20"/>
                <w:color w:val="auto"/>
              </w:rPr>
            </w:pPr>
            <w:r>
              <w:rPr>
                <w:rFonts w:ascii="Arial" w:cs="Arial" w:eastAsia="Arial" w:hAnsi="Arial"/>
                <w:sz w:val="13"/>
                <w:szCs w:val="13"/>
                <w:color w:val="auto"/>
              </w:rPr>
              <w:t>2,840,788</w:t>
            </w:r>
          </w:p>
        </w:tc>
        <w:tc>
          <w:tcPr>
            <w:tcW w:w="940" w:type="dxa"/>
            <w:vAlign w:val="bottom"/>
            <w:shd w:val="clear" w:color="auto" w:fill="CCEEFF"/>
          </w:tcPr>
          <w:p>
            <w:pPr>
              <w:jc w:val="right"/>
              <w:ind w:right="164"/>
              <w:spacing w:after="0" w:line="135" w:lineRule="exact"/>
              <w:rPr>
                <w:sz w:val="20"/>
                <w:szCs w:val="20"/>
                <w:color w:val="auto"/>
              </w:rPr>
            </w:pPr>
            <w:r>
              <w:rPr>
                <w:rFonts w:ascii="Arial" w:cs="Arial" w:eastAsia="Arial" w:hAnsi="Arial"/>
                <w:sz w:val="13"/>
                <w:szCs w:val="13"/>
                <w:color w:val="auto"/>
              </w:rPr>
              <w:t>2,797,837</w:t>
            </w:r>
          </w:p>
        </w:tc>
        <w:tc>
          <w:tcPr>
            <w:tcW w:w="780" w:type="dxa"/>
            <w:vAlign w:val="bottom"/>
            <w:shd w:val="clear" w:color="auto" w:fill="CCEEFF"/>
          </w:tcPr>
          <w:p>
            <w:pPr>
              <w:jc w:val="right"/>
              <w:ind w:right="24"/>
              <w:spacing w:after="0" w:line="135" w:lineRule="exact"/>
              <w:rPr>
                <w:sz w:val="20"/>
                <w:szCs w:val="20"/>
                <w:color w:val="auto"/>
              </w:rPr>
            </w:pPr>
            <w:r>
              <w:rPr>
                <w:rFonts w:ascii="Arial" w:cs="Arial" w:eastAsia="Arial" w:hAnsi="Arial"/>
                <w:sz w:val="13"/>
                <w:szCs w:val="13"/>
                <w:color w:val="auto"/>
              </w:rPr>
              <w:t>2,819,482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United Surgical Partners</w:t>
            </w:r>
          </w:p>
        </w:tc>
        <w:tc>
          <w:tcPr>
            <w:tcW w:w="1760" w:type="dxa"/>
            <w:vAlign w:val="bottom"/>
          </w:tcPr>
          <w:p>
            <w:pPr>
              <w:ind w:left="80"/>
              <w:spacing w:after="0" w:line="121" w:lineRule="exact"/>
              <w:rPr>
                <w:sz w:val="20"/>
                <w:szCs w:val="20"/>
                <w:color w:val="auto"/>
              </w:rPr>
            </w:pPr>
            <w:r>
              <w:rPr>
                <w:rFonts w:ascii="Arial" w:cs="Arial" w:eastAsia="Arial" w:hAnsi="Arial"/>
                <w:sz w:val="13"/>
                <w:szCs w:val="13"/>
                <w:color w:val="auto"/>
              </w:rPr>
              <w:t>Healthcare</w:t>
            </w:r>
          </w:p>
        </w:tc>
        <w:tc>
          <w:tcPr>
            <w:tcW w:w="1740" w:type="dxa"/>
            <w:vAlign w:val="bottom"/>
          </w:tcPr>
          <w:p>
            <w:pPr>
              <w:ind w:left="80"/>
              <w:spacing w:after="0" w:line="121" w:lineRule="exact"/>
              <w:rPr>
                <w:sz w:val="20"/>
                <w:szCs w:val="20"/>
                <w:color w:val="auto"/>
              </w:rPr>
            </w:pPr>
            <w:r>
              <w:rPr>
                <w:rFonts w:ascii="Arial" w:cs="Arial" w:eastAsia="Arial" w:hAnsi="Arial"/>
                <w:sz w:val="13"/>
                <w:szCs w:val="13"/>
                <w:color w:val="auto"/>
              </w:rPr>
              <w:t>New Tranche B Term Loan</w:t>
            </w:r>
          </w:p>
        </w:tc>
        <w:tc>
          <w:tcPr>
            <w:tcW w:w="88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tcPr>
          <w:p>
            <w:pPr>
              <w:ind w:left="160"/>
              <w:spacing w:after="0"/>
              <w:rPr>
                <w:sz w:val="20"/>
                <w:szCs w:val="20"/>
                <w:color w:val="auto"/>
              </w:rPr>
            </w:pPr>
            <w:r>
              <w:rPr>
                <w:rFonts w:ascii="Arial" w:cs="Arial" w:eastAsia="Arial" w:hAnsi="Arial"/>
                <w:sz w:val="13"/>
                <w:szCs w:val="13"/>
                <w:color w:val="auto"/>
              </w:rPr>
              <w:t>International, Inc.</w:t>
            </w:r>
          </w:p>
        </w:tc>
        <w:tc>
          <w:tcPr>
            <w:tcW w:w="17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124"/>
              <w:spacing w:after="0"/>
              <w:rPr>
                <w:sz w:val="20"/>
                <w:szCs w:val="20"/>
                <w:color w:val="auto"/>
              </w:rPr>
            </w:pPr>
            <w:r>
              <w:rPr>
                <w:rFonts w:ascii="Arial" w:cs="Arial" w:eastAsia="Arial" w:hAnsi="Arial"/>
                <w:sz w:val="13"/>
                <w:szCs w:val="13"/>
                <w:color w:val="auto"/>
              </w:rPr>
              <w:t>4.75%</w:t>
            </w:r>
          </w:p>
        </w:tc>
        <w:tc>
          <w:tcPr>
            <w:tcW w:w="820" w:type="dxa"/>
            <w:vAlign w:val="bottom"/>
          </w:tcPr>
          <w:p>
            <w:pPr>
              <w:jc w:val="right"/>
              <w:ind w:right="24"/>
              <w:spacing w:after="0"/>
              <w:rPr>
                <w:sz w:val="20"/>
                <w:szCs w:val="20"/>
                <w:color w:val="auto"/>
              </w:rPr>
            </w:pPr>
            <w:r>
              <w:rPr>
                <w:rFonts w:ascii="Arial" w:cs="Arial" w:eastAsia="Arial" w:hAnsi="Arial"/>
                <w:sz w:val="13"/>
                <w:szCs w:val="13"/>
                <w:color w:val="auto"/>
              </w:rPr>
              <w:t>4/3/2019</w:t>
            </w:r>
          </w:p>
        </w:tc>
        <w:tc>
          <w:tcPr>
            <w:tcW w:w="400" w:type="dxa"/>
            <w:vAlign w:val="bottom"/>
          </w:tcPr>
          <w:p>
            <w:pPr>
              <w:ind w:left="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rPr>
                <w:sz w:val="20"/>
                <w:szCs w:val="20"/>
                <w:color w:val="auto"/>
              </w:rPr>
            </w:pPr>
            <w:r>
              <w:rPr>
                <w:rFonts w:ascii="Arial" w:cs="Arial" w:eastAsia="Arial" w:hAnsi="Arial"/>
                <w:sz w:val="13"/>
                <w:szCs w:val="13"/>
                <w:color w:val="auto"/>
              </w:rPr>
              <w:t>2,462,687</w:t>
            </w:r>
          </w:p>
        </w:tc>
        <w:tc>
          <w:tcPr>
            <w:tcW w:w="940" w:type="dxa"/>
            <w:vAlign w:val="bottom"/>
          </w:tcPr>
          <w:p>
            <w:pPr>
              <w:jc w:val="right"/>
              <w:ind w:right="164"/>
              <w:spacing w:after="0"/>
              <w:rPr>
                <w:sz w:val="20"/>
                <w:szCs w:val="20"/>
                <w:color w:val="auto"/>
              </w:rPr>
            </w:pPr>
            <w:r>
              <w:rPr>
                <w:rFonts w:ascii="Arial" w:cs="Arial" w:eastAsia="Arial" w:hAnsi="Arial"/>
                <w:sz w:val="13"/>
                <w:szCs w:val="13"/>
                <w:color w:val="auto"/>
              </w:rPr>
              <w:t>2,434,442</w:t>
            </w:r>
          </w:p>
        </w:tc>
        <w:tc>
          <w:tcPr>
            <w:tcW w:w="780" w:type="dxa"/>
            <w:vAlign w:val="bottom"/>
          </w:tcPr>
          <w:p>
            <w:pPr>
              <w:jc w:val="right"/>
              <w:ind w:right="24"/>
              <w:spacing w:after="0"/>
              <w:rPr>
                <w:sz w:val="20"/>
                <w:szCs w:val="20"/>
                <w:color w:val="auto"/>
              </w:rPr>
            </w:pPr>
            <w:r>
              <w:rPr>
                <w:rFonts w:ascii="Arial" w:cs="Arial" w:eastAsia="Arial" w:hAnsi="Arial"/>
                <w:sz w:val="13"/>
                <w:szCs w:val="13"/>
                <w:color w:val="auto"/>
              </w:rPr>
              <w:t>2,477,315</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Univar Inc.</w:t>
            </w:r>
          </w:p>
        </w:tc>
        <w:tc>
          <w:tcPr>
            <w:tcW w:w="17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Chemicals/Plastics</w:t>
            </w:r>
          </w:p>
        </w:tc>
        <w:tc>
          <w:tcPr>
            <w:tcW w:w="17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Term B Loan</w:t>
            </w:r>
          </w:p>
        </w:tc>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5.00%</w:t>
            </w:r>
          </w:p>
        </w:tc>
        <w:tc>
          <w:tcPr>
            <w:tcW w:w="820" w:type="dxa"/>
            <w:vAlign w:val="bottom"/>
            <w:shd w:val="clear" w:color="auto" w:fill="CCEEFF"/>
          </w:tcPr>
          <w:p>
            <w:pPr>
              <w:jc w:val="right"/>
              <w:ind w:right="24"/>
              <w:spacing w:after="0" w:line="135" w:lineRule="exact"/>
              <w:rPr>
                <w:sz w:val="20"/>
                <w:szCs w:val="20"/>
                <w:color w:val="auto"/>
              </w:rPr>
            </w:pPr>
            <w:r>
              <w:rPr>
                <w:rFonts w:ascii="Arial" w:cs="Arial" w:eastAsia="Arial" w:hAnsi="Arial"/>
                <w:sz w:val="13"/>
                <w:szCs w:val="13"/>
                <w:color w:val="auto"/>
              </w:rPr>
              <w:t>6/30/2017</w:t>
            </w:r>
          </w:p>
        </w:tc>
        <w:tc>
          <w:tcPr>
            <w:tcW w:w="4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line="135" w:lineRule="exact"/>
              <w:rPr>
                <w:sz w:val="20"/>
                <w:szCs w:val="20"/>
                <w:color w:val="auto"/>
              </w:rPr>
            </w:pPr>
            <w:r>
              <w:rPr>
                <w:rFonts w:ascii="Arial" w:cs="Arial" w:eastAsia="Arial" w:hAnsi="Arial"/>
                <w:sz w:val="13"/>
                <w:szCs w:val="13"/>
                <w:color w:val="auto"/>
              </w:rPr>
              <w:t>3,894,939</w:t>
            </w:r>
          </w:p>
        </w:tc>
        <w:tc>
          <w:tcPr>
            <w:tcW w:w="940" w:type="dxa"/>
            <w:vAlign w:val="bottom"/>
            <w:shd w:val="clear" w:color="auto" w:fill="CCEEFF"/>
          </w:tcPr>
          <w:p>
            <w:pPr>
              <w:jc w:val="right"/>
              <w:ind w:right="164"/>
              <w:spacing w:after="0" w:line="135" w:lineRule="exact"/>
              <w:rPr>
                <w:sz w:val="20"/>
                <w:szCs w:val="20"/>
                <w:color w:val="auto"/>
              </w:rPr>
            </w:pPr>
            <w:r>
              <w:rPr>
                <w:rFonts w:ascii="Arial" w:cs="Arial" w:eastAsia="Arial" w:hAnsi="Arial"/>
                <w:sz w:val="13"/>
                <w:szCs w:val="13"/>
                <w:color w:val="auto"/>
              </w:rPr>
              <w:t>3,894,181</w:t>
            </w:r>
          </w:p>
        </w:tc>
        <w:tc>
          <w:tcPr>
            <w:tcW w:w="780" w:type="dxa"/>
            <w:vAlign w:val="bottom"/>
            <w:shd w:val="clear" w:color="auto" w:fill="CCEEFF"/>
          </w:tcPr>
          <w:p>
            <w:pPr>
              <w:jc w:val="right"/>
              <w:ind w:right="24"/>
              <w:spacing w:after="0" w:line="135" w:lineRule="exact"/>
              <w:rPr>
                <w:sz w:val="20"/>
                <w:szCs w:val="20"/>
                <w:color w:val="auto"/>
              </w:rPr>
            </w:pPr>
            <w:r>
              <w:rPr>
                <w:rFonts w:ascii="Arial" w:cs="Arial" w:eastAsia="Arial" w:hAnsi="Arial"/>
                <w:sz w:val="13"/>
                <w:szCs w:val="13"/>
                <w:color w:val="auto"/>
              </w:rPr>
              <w:t>3,830,555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Univision Communications Inc.</w:t>
            </w:r>
          </w:p>
        </w:tc>
        <w:tc>
          <w:tcPr>
            <w:tcW w:w="1760" w:type="dxa"/>
            <w:vAlign w:val="bottom"/>
          </w:tcPr>
          <w:p>
            <w:pPr>
              <w:ind w:left="80"/>
              <w:spacing w:after="0" w:line="121" w:lineRule="exact"/>
              <w:rPr>
                <w:sz w:val="20"/>
                <w:szCs w:val="20"/>
                <w:color w:val="auto"/>
              </w:rPr>
            </w:pPr>
            <w:r>
              <w:rPr>
                <w:rFonts w:ascii="Arial" w:cs="Arial" w:eastAsia="Arial" w:hAnsi="Arial"/>
                <w:sz w:val="13"/>
                <w:szCs w:val="13"/>
                <w:color w:val="auto"/>
              </w:rPr>
              <w:t>Telecommunications</w:t>
            </w:r>
          </w:p>
        </w:tc>
        <w:tc>
          <w:tcPr>
            <w:tcW w:w="1740" w:type="dxa"/>
            <w:vAlign w:val="bottom"/>
          </w:tcPr>
          <w:p>
            <w:pPr>
              <w:ind w:left="80"/>
              <w:spacing w:after="0" w:line="121" w:lineRule="exact"/>
              <w:rPr>
                <w:sz w:val="20"/>
                <w:szCs w:val="20"/>
                <w:color w:val="auto"/>
              </w:rPr>
            </w:pPr>
            <w:r>
              <w:rPr>
                <w:rFonts w:ascii="Arial" w:cs="Arial" w:eastAsia="Arial" w:hAnsi="Arial"/>
                <w:sz w:val="13"/>
                <w:szCs w:val="13"/>
                <w:color w:val="auto"/>
              </w:rPr>
              <w:t>2013 Converted Extended</w:t>
            </w:r>
          </w:p>
        </w:tc>
        <w:tc>
          <w:tcPr>
            <w:tcW w:w="88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740" w:type="dxa"/>
            <w:vAlign w:val="bottom"/>
          </w:tcPr>
          <w:p>
            <w:pPr>
              <w:ind w:left="80"/>
              <w:spacing w:after="0"/>
              <w:rPr>
                <w:sz w:val="20"/>
                <w:szCs w:val="20"/>
                <w:color w:val="auto"/>
              </w:rPr>
            </w:pPr>
            <w:r>
              <w:rPr>
                <w:rFonts w:ascii="Arial" w:cs="Arial" w:eastAsia="Arial" w:hAnsi="Arial"/>
                <w:sz w:val="13"/>
                <w:szCs w:val="13"/>
                <w:color w:val="auto"/>
              </w:rPr>
              <w:t>First-Lien Term Loan</w:t>
            </w:r>
          </w:p>
        </w:tc>
        <w:tc>
          <w:tcPr>
            <w:tcW w:w="880" w:type="dxa"/>
            <w:vAlign w:val="bottom"/>
          </w:tcPr>
          <w:p>
            <w:pPr>
              <w:spacing w:after="0"/>
              <w:rPr>
                <w:sz w:val="12"/>
                <w:szCs w:val="12"/>
                <w:color w:val="auto"/>
              </w:rPr>
            </w:pPr>
          </w:p>
        </w:tc>
        <w:tc>
          <w:tcPr>
            <w:tcW w:w="1080" w:type="dxa"/>
            <w:vAlign w:val="bottom"/>
          </w:tcPr>
          <w:p>
            <w:pPr>
              <w:jc w:val="right"/>
              <w:ind w:right="124"/>
              <w:spacing w:after="0"/>
              <w:rPr>
                <w:sz w:val="20"/>
                <w:szCs w:val="20"/>
                <w:color w:val="auto"/>
              </w:rPr>
            </w:pPr>
            <w:r>
              <w:rPr>
                <w:rFonts w:ascii="Arial" w:cs="Arial" w:eastAsia="Arial" w:hAnsi="Arial"/>
                <w:sz w:val="13"/>
                <w:szCs w:val="13"/>
                <w:color w:val="auto"/>
              </w:rPr>
              <w:t>4.50%</w:t>
            </w:r>
          </w:p>
        </w:tc>
        <w:tc>
          <w:tcPr>
            <w:tcW w:w="820" w:type="dxa"/>
            <w:vAlign w:val="bottom"/>
          </w:tcPr>
          <w:p>
            <w:pPr>
              <w:jc w:val="right"/>
              <w:ind w:right="24"/>
              <w:spacing w:after="0"/>
              <w:rPr>
                <w:sz w:val="20"/>
                <w:szCs w:val="20"/>
                <w:color w:val="auto"/>
              </w:rPr>
            </w:pPr>
            <w:r>
              <w:rPr>
                <w:rFonts w:ascii="Arial" w:cs="Arial" w:eastAsia="Arial" w:hAnsi="Arial"/>
                <w:sz w:val="13"/>
                <w:szCs w:val="13"/>
                <w:color w:val="auto"/>
              </w:rPr>
              <w:t>3/1/2020</w:t>
            </w:r>
          </w:p>
        </w:tc>
        <w:tc>
          <w:tcPr>
            <w:tcW w:w="400" w:type="dxa"/>
            <w:vAlign w:val="bottom"/>
          </w:tcPr>
          <w:p>
            <w:pPr>
              <w:ind w:left="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rPr>
                <w:sz w:val="20"/>
                <w:szCs w:val="20"/>
                <w:color w:val="auto"/>
              </w:rPr>
            </w:pPr>
            <w:r>
              <w:rPr>
                <w:rFonts w:ascii="Arial" w:cs="Arial" w:eastAsia="Arial" w:hAnsi="Arial"/>
                <w:sz w:val="13"/>
                <w:szCs w:val="13"/>
                <w:color w:val="auto"/>
              </w:rPr>
              <w:t>2,985,000</w:t>
            </w:r>
          </w:p>
        </w:tc>
        <w:tc>
          <w:tcPr>
            <w:tcW w:w="940" w:type="dxa"/>
            <w:vAlign w:val="bottom"/>
          </w:tcPr>
          <w:p>
            <w:pPr>
              <w:jc w:val="right"/>
              <w:ind w:right="164"/>
              <w:spacing w:after="0"/>
              <w:rPr>
                <w:sz w:val="20"/>
                <w:szCs w:val="20"/>
                <w:color w:val="auto"/>
              </w:rPr>
            </w:pPr>
            <w:r>
              <w:rPr>
                <w:rFonts w:ascii="Arial" w:cs="Arial" w:eastAsia="Arial" w:hAnsi="Arial"/>
                <w:sz w:val="13"/>
                <w:szCs w:val="13"/>
                <w:color w:val="auto"/>
              </w:rPr>
              <w:t>2,968,357</w:t>
            </w:r>
          </w:p>
        </w:tc>
        <w:tc>
          <w:tcPr>
            <w:tcW w:w="780" w:type="dxa"/>
            <w:vAlign w:val="bottom"/>
          </w:tcPr>
          <w:p>
            <w:pPr>
              <w:jc w:val="right"/>
              <w:ind w:right="24"/>
              <w:spacing w:after="0"/>
              <w:rPr>
                <w:sz w:val="20"/>
                <w:szCs w:val="20"/>
                <w:color w:val="auto"/>
              </w:rPr>
            </w:pPr>
            <w:r>
              <w:rPr>
                <w:rFonts w:ascii="Arial" w:cs="Arial" w:eastAsia="Arial" w:hAnsi="Arial"/>
                <w:sz w:val="13"/>
                <w:szCs w:val="13"/>
                <w:color w:val="auto"/>
              </w:rPr>
              <w:t>2,996,582</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04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UPC Financing Partnership</w:t>
            </w:r>
          </w:p>
        </w:tc>
        <w:tc>
          <w:tcPr>
            <w:tcW w:w="176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w w:val="90"/>
              </w:rPr>
              <w:t>Broadcast Radio and Television</w:t>
            </w:r>
          </w:p>
        </w:tc>
        <w:tc>
          <w:tcPr>
            <w:tcW w:w="1740" w:type="dxa"/>
            <w:vAlign w:val="bottom"/>
            <w:shd w:val="clear" w:color="auto" w:fill="CCEEFF"/>
          </w:tcPr>
          <w:p>
            <w:pPr>
              <w:ind w:left="80"/>
              <w:spacing w:after="0" w:line="135" w:lineRule="exact"/>
              <w:rPr>
                <w:sz w:val="20"/>
                <w:szCs w:val="20"/>
                <w:color w:val="auto"/>
              </w:rPr>
            </w:pPr>
            <w:r>
              <w:rPr>
                <w:rFonts w:ascii="Arial" w:cs="Arial" w:eastAsia="Arial" w:hAnsi="Arial"/>
                <w:sz w:val="13"/>
                <w:szCs w:val="13"/>
                <w:color w:val="auto"/>
              </w:rPr>
              <w:t>Facility AF</w:t>
            </w:r>
          </w:p>
        </w:tc>
        <w:tc>
          <w:tcPr>
            <w:tcW w:w="880" w:type="dxa"/>
            <w:vAlign w:val="bottom"/>
            <w:shd w:val="clear" w:color="auto" w:fill="CCEEFF"/>
          </w:tcPr>
          <w:p>
            <w:pPr>
              <w:ind w:left="100"/>
              <w:spacing w:after="0" w:line="135"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jc w:val="right"/>
              <w:ind w:right="124"/>
              <w:spacing w:after="0" w:line="135" w:lineRule="exact"/>
              <w:rPr>
                <w:sz w:val="20"/>
                <w:szCs w:val="20"/>
                <w:color w:val="auto"/>
              </w:rPr>
            </w:pPr>
            <w:r>
              <w:rPr>
                <w:rFonts w:ascii="Arial" w:cs="Arial" w:eastAsia="Arial" w:hAnsi="Arial"/>
                <w:sz w:val="13"/>
                <w:szCs w:val="13"/>
                <w:color w:val="auto"/>
              </w:rPr>
              <w:t>4.00%</w:t>
            </w:r>
          </w:p>
        </w:tc>
        <w:tc>
          <w:tcPr>
            <w:tcW w:w="820" w:type="dxa"/>
            <w:vAlign w:val="bottom"/>
            <w:shd w:val="clear" w:color="auto" w:fill="CCEEFF"/>
          </w:tcPr>
          <w:p>
            <w:pPr>
              <w:jc w:val="right"/>
              <w:ind w:right="24"/>
              <w:spacing w:after="0" w:line="135" w:lineRule="exact"/>
              <w:rPr>
                <w:sz w:val="20"/>
                <w:szCs w:val="20"/>
                <w:color w:val="auto"/>
              </w:rPr>
            </w:pPr>
            <w:r>
              <w:rPr>
                <w:rFonts w:ascii="Arial" w:cs="Arial" w:eastAsia="Arial" w:hAnsi="Arial"/>
                <w:sz w:val="13"/>
                <w:szCs w:val="13"/>
                <w:color w:val="auto"/>
              </w:rPr>
              <w:t>1/31/2021</w:t>
            </w:r>
          </w:p>
        </w:tc>
        <w:tc>
          <w:tcPr>
            <w:tcW w:w="400" w:type="dxa"/>
            <w:vAlign w:val="bottom"/>
            <w:shd w:val="clear" w:color="auto" w:fill="CCEEFF"/>
          </w:tcPr>
          <w:p>
            <w:pPr>
              <w:ind w:left="60"/>
              <w:spacing w:after="0" w:line="135" w:lineRule="exact"/>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line="135" w:lineRule="exact"/>
              <w:rPr>
                <w:sz w:val="20"/>
                <w:szCs w:val="20"/>
                <w:color w:val="auto"/>
              </w:rPr>
            </w:pPr>
            <w:r>
              <w:rPr>
                <w:rFonts w:ascii="Arial" w:cs="Arial" w:eastAsia="Arial" w:hAnsi="Arial"/>
                <w:sz w:val="13"/>
                <w:szCs w:val="13"/>
                <w:color w:val="auto"/>
              </w:rPr>
              <w:t>1,000,000</w:t>
            </w:r>
          </w:p>
        </w:tc>
        <w:tc>
          <w:tcPr>
            <w:tcW w:w="940" w:type="dxa"/>
            <w:vAlign w:val="bottom"/>
            <w:shd w:val="clear" w:color="auto" w:fill="CCEEFF"/>
          </w:tcPr>
          <w:p>
            <w:pPr>
              <w:jc w:val="right"/>
              <w:ind w:right="164"/>
              <w:spacing w:after="0" w:line="135" w:lineRule="exact"/>
              <w:rPr>
                <w:sz w:val="20"/>
                <w:szCs w:val="20"/>
                <w:color w:val="auto"/>
              </w:rPr>
            </w:pPr>
            <w:r>
              <w:rPr>
                <w:rFonts w:ascii="Arial" w:cs="Arial" w:eastAsia="Arial" w:hAnsi="Arial"/>
                <w:sz w:val="13"/>
                <w:szCs w:val="13"/>
                <w:color w:val="auto"/>
              </w:rPr>
              <w:t>973,715</w:t>
            </w:r>
          </w:p>
        </w:tc>
        <w:tc>
          <w:tcPr>
            <w:tcW w:w="780" w:type="dxa"/>
            <w:vAlign w:val="bottom"/>
            <w:shd w:val="clear" w:color="auto" w:fill="CCEEFF"/>
          </w:tcPr>
          <w:p>
            <w:pPr>
              <w:jc w:val="right"/>
              <w:ind w:right="24"/>
              <w:spacing w:after="0" w:line="135" w:lineRule="exact"/>
              <w:rPr>
                <w:sz w:val="20"/>
                <w:szCs w:val="20"/>
                <w:color w:val="auto"/>
              </w:rPr>
            </w:pPr>
            <w:r>
              <w:rPr>
                <w:rFonts w:ascii="Arial" w:cs="Arial" w:eastAsia="Arial" w:hAnsi="Arial"/>
                <w:sz w:val="13"/>
                <w:szCs w:val="13"/>
                <w:color w:val="auto"/>
              </w:rPr>
              <w:t>1,004,170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Valeant Pharmaceuticals</w:t>
            </w:r>
          </w:p>
        </w:tc>
        <w:tc>
          <w:tcPr>
            <w:tcW w:w="1760" w:type="dxa"/>
            <w:vAlign w:val="bottom"/>
          </w:tcPr>
          <w:p>
            <w:pPr>
              <w:ind w:left="80"/>
              <w:spacing w:after="0" w:line="121" w:lineRule="exact"/>
              <w:rPr>
                <w:sz w:val="20"/>
                <w:szCs w:val="20"/>
                <w:color w:val="auto"/>
              </w:rPr>
            </w:pPr>
            <w:r>
              <w:rPr>
                <w:rFonts w:ascii="Arial" w:cs="Arial" w:eastAsia="Arial" w:hAnsi="Arial"/>
                <w:sz w:val="13"/>
                <w:szCs w:val="13"/>
                <w:color w:val="auto"/>
              </w:rPr>
              <w:t>Drugs</w:t>
            </w:r>
          </w:p>
        </w:tc>
        <w:tc>
          <w:tcPr>
            <w:tcW w:w="1740" w:type="dxa"/>
            <w:vAlign w:val="bottom"/>
          </w:tcPr>
          <w:p>
            <w:pPr>
              <w:ind w:left="80"/>
              <w:spacing w:after="0" w:line="121" w:lineRule="exact"/>
              <w:rPr>
                <w:sz w:val="20"/>
                <w:szCs w:val="20"/>
                <w:color w:val="auto"/>
              </w:rPr>
            </w:pPr>
            <w:r>
              <w:rPr>
                <w:rFonts w:ascii="Arial" w:cs="Arial" w:eastAsia="Arial" w:hAnsi="Arial"/>
                <w:sz w:val="13"/>
                <w:szCs w:val="13"/>
                <w:color w:val="auto"/>
              </w:rPr>
              <w:t>Series D-1 Tranche B Term</w:t>
            </w:r>
          </w:p>
        </w:tc>
        <w:tc>
          <w:tcPr>
            <w:tcW w:w="88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40" w:type="dxa"/>
            <w:vAlign w:val="bottom"/>
            <w:gridSpan w:val="2"/>
          </w:tcPr>
          <w:p>
            <w:pPr>
              <w:ind w:left="160"/>
              <w:spacing w:after="0"/>
              <w:rPr>
                <w:sz w:val="20"/>
                <w:szCs w:val="20"/>
                <w:color w:val="auto"/>
              </w:rPr>
            </w:pPr>
            <w:r>
              <w:rPr>
                <w:rFonts w:ascii="Arial" w:cs="Arial" w:eastAsia="Arial" w:hAnsi="Arial"/>
                <w:sz w:val="13"/>
                <w:szCs w:val="13"/>
                <w:color w:val="auto"/>
              </w:rPr>
              <w:t>International, Inc.</w:t>
            </w:r>
          </w:p>
        </w:tc>
        <w:tc>
          <w:tcPr>
            <w:tcW w:w="1760" w:type="dxa"/>
            <w:vAlign w:val="bottom"/>
          </w:tcPr>
          <w:p>
            <w:pPr>
              <w:spacing w:after="0"/>
              <w:rPr>
                <w:sz w:val="12"/>
                <w:szCs w:val="12"/>
                <w:color w:val="auto"/>
              </w:rPr>
            </w:pPr>
          </w:p>
        </w:tc>
        <w:tc>
          <w:tcPr>
            <w:tcW w:w="1740" w:type="dxa"/>
            <w:vAlign w:val="bottom"/>
          </w:tcPr>
          <w:p>
            <w:pPr>
              <w:ind w:left="80"/>
              <w:spacing w:after="0"/>
              <w:rPr>
                <w:sz w:val="20"/>
                <w:szCs w:val="20"/>
                <w:color w:val="auto"/>
              </w:rPr>
            </w:pPr>
            <w:r>
              <w:rPr>
                <w:rFonts w:ascii="Arial" w:cs="Arial" w:eastAsia="Arial" w:hAnsi="Arial"/>
                <w:sz w:val="13"/>
                <w:szCs w:val="13"/>
                <w:color w:val="auto"/>
              </w:rPr>
              <w:t>Loan</w:t>
            </w:r>
          </w:p>
        </w:tc>
        <w:tc>
          <w:tcPr>
            <w:tcW w:w="880" w:type="dxa"/>
            <w:vAlign w:val="bottom"/>
          </w:tcPr>
          <w:p>
            <w:pPr>
              <w:spacing w:after="0"/>
              <w:rPr>
                <w:sz w:val="12"/>
                <w:szCs w:val="12"/>
                <w:color w:val="auto"/>
              </w:rPr>
            </w:pPr>
          </w:p>
        </w:tc>
        <w:tc>
          <w:tcPr>
            <w:tcW w:w="1080" w:type="dxa"/>
            <w:vAlign w:val="bottom"/>
          </w:tcPr>
          <w:p>
            <w:pPr>
              <w:jc w:val="right"/>
              <w:ind w:right="124"/>
              <w:spacing w:after="0"/>
              <w:rPr>
                <w:sz w:val="20"/>
                <w:szCs w:val="20"/>
                <w:color w:val="auto"/>
              </w:rPr>
            </w:pPr>
            <w:r>
              <w:rPr>
                <w:rFonts w:ascii="Arial" w:cs="Arial" w:eastAsia="Arial" w:hAnsi="Arial"/>
                <w:sz w:val="13"/>
                <w:szCs w:val="13"/>
                <w:color w:val="auto"/>
              </w:rPr>
              <w:t>3.50%</w:t>
            </w:r>
          </w:p>
        </w:tc>
        <w:tc>
          <w:tcPr>
            <w:tcW w:w="820" w:type="dxa"/>
            <w:vAlign w:val="bottom"/>
          </w:tcPr>
          <w:p>
            <w:pPr>
              <w:jc w:val="right"/>
              <w:ind w:right="24"/>
              <w:spacing w:after="0"/>
              <w:rPr>
                <w:sz w:val="20"/>
                <w:szCs w:val="20"/>
                <w:color w:val="auto"/>
              </w:rPr>
            </w:pPr>
            <w:r>
              <w:rPr>
                <w:rFonts w:ascii="Arial" w:cs="Arial" w:eastAsia="Arial" w:hAnsi="Arial"/>
                <w:sz w:val="13"/>
                <w:szCs w:val="13"/>
                <w:color w:val="auto"/>
              </w:rPr>
              <w:t>2/13/2019</w:t>
            </w:r>
          </w:p>
        </w:tc>
        <w:tc>
          <w:tcPr>
            <w:tcW w:w="400" w:type="dxa"/>
            <w:vAlign w:val="bottom"/>
          </w:tcPr>
          <w:p>
            <w:pPr>
              <w:ind w:left="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rPr>
                <w:sz w:val="20"/>
                <w:szCs w:val="20"/>
                <w:color w:val="auto"/>
              </w:rPr>
            </w:pPr>
            <w:r>
              <w:rPr>
                <w:rFonts w:ascii="Arial" w:cs="Arial" w:eastAsia="Arial" w:hAnsi="Arial"/>
                <w:sz w:val="13"/>
                <w:szCs w:val="13"/>
                <w:color w:val="auto"/>
              </w:rPr>
              <w:t>2,947,688</w:t>
            </w:r>
          </w:p>
        </w:tc>
        <w:tc>
          <w:tcPr>
            <w:tcW w:w="940" w:type="dxa"/>
            <w:vAlign w:val="bottom"/>
          </w:tcPr>
          <w:p>
            <w:pPr>
              <w:jc w:val="right"/>
              <w:ind w:right="164"/>
              <w:spacing w:after="0"/>
              <w:rPr>
                <w:sz w:val="20"/>
                <w:szCs w:val="20"/>
                <w:color w:val="auto"/>
              </w:rPr>
            </w:pPr>
            <w:r>
              <w:rPr>
                <w:rFonts w:ascii="Arial" w:cs="Arial" w:eastAsia="Arial" w:hAnsi="Arial"/>
                <w:sz w:val="13"/>
                <w:szCs w:val="13"/>
                <w:color w:val="auto"/>
              </w:rPr>
              <w:t>2,935,872</w:t>
            </w:r>
          </w:p>
        </w:tc>
        <w:tc>
          <w:tcPr>
            <w:tcW w:w="780" w:type="dxa"/>
            <w:vAlign w:val="bottom"/>
          </w:tcPr>
          <w:p>
            <w:pPr>
              <w:jc w:val="right"/>
              <w:ind w:right="24"/>
              <w:spacing w:after="0"/>
              <w:rPr>
                <w:sz w:val="20"/>
                <w:szCs w:val="20"/>
                <w:color w:val="auto"/>
              </w:rPr>
            </w:pPr>
            <w:r>
              <w:rPr>
                <w:rFonts w:ascii="Arial" w:cs="Arial" w:eastAsia="Arial" w:hAnsi="Arial"/>
                <w:sz w:val="13"/>
                <w:szCs w:val="13"/>
                <w:color w:val="auto"/>
              </w:rPr>
              <w:t>2,966,494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Verint Systems Inc.</w:t>
            </w:r>
          </w:p>
        </w:tc>
        <w:tc>
          <w:tcPr>
            <w:tcW w:w="176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Business Equipment and</w:t>
            </w:r>
          </w:p>
        </w:tc>
        <w:tc>
          <w:tcPr>
            <w:tcW w:w="17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Term Loan</w:t>
            </w:r>
          </w:p>
        </w:tc>
        <w:tc>
          <w:tcPr>
            <w:tcW w:w="8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Services</w:t>
            </w:r>
          </w:p>
        </w:tc>
        <w:tc>
          <w:tcPr>
            <w:tcW w:w="1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rPr>
              <w:t>4.00%</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9/6/2019</w:t>
            </w:r>
          </w:p>
        </w:tc>
        <w:tc>
          <w:tcPr>
            <w:tcW w:w="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3"/>
                <w:szCs w:val="13"/>
                <w:color w:val="auto"/>
              </w:rPr>
              <w:t>1,905,600</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3"/>
                <w:szCs w:val="13"/>
                <w:color w:val="auto"/>
              </w:rPr>
              <w:t>1,897,155</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1,912,269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tcPr>
          <w:p>
            <w:pPr>
              <w:spacing w:after="0" w:line="121" w:lineRule="exact"/>
              <w:rPr>
                <w:sz w:val="20"/>
                <w:szCs w:val="20"/>
                <w:color w:val="auto"/>
              </w:rPr>
            </w:pPr>
            <w:r>
              <w:rPr>
                <w:rFonts w:ascii="Arial" w:cs="Arial" w:eastAsia="Arial" w:hAnsi="Arial"/>
                <w:sz w:val="13"/>
                <w:szCs w:val="13"/>
                <w:color w:val="auto"/>
              </w:rPr>
              <w:t>Vertafore, Inc.</w:t>
            </w:r>
          </w:p>
        </w:tc>
        <w:tc>
          <w:tcPr>
            <w:tcW w:w="1760" w:type="dxa"/>
            <w:vAlign w:val="bottom"/>
          </w:tcPr>
          <w:p>
            <w:pPr>
              <w:ind w:left="80"/>
              <w:spacing w:after="0" w:line="121" w:lineRule="exact"/>
              <w:rPr>
                <w:sz w:val="20"/>
                <w:szCs w:val="20"/>
                <w:color w:val="auto"/>
              </w:rPr>
            </w:pPr>
            <w:r>
              <w:rPr>
                <w:rFonts w:ascii="Arial" w:cs="Arial" w:eastAsia="Arial" w:hAnsi="Arial"/>
                <w:sz w:val="13"/>
                <w:szCs w:val="13"/>
                <w:color w:val="auto"/>
              </w:rPr>
              <w:t>Business Equipment and</w:t>
            </w:r>
          </w:p>
        </w:tc>
        <w:tc>
          <w:tcPr>
            <w:tcW w:w="1740" w:type="dxa"/>
            <w:vAlign w:val="bottom"/>
          </w:tcPr>
          <w:p>
            <w:pPr>
              <w:ind w:left="80"/>
              <w:spacing w:after="0" w:line="121" w:lineRule="exact"/>
              <w:rPr>
                <w:sz w:val="20"/>
                <w:szCs w:val="20"/>
                <w:color w:val="auto"/>
              </w:rPr>
            </w:pPr>
            <w:r>
              <w:rPr>
                <w:rFonts w:ascii="Arial" w:cs="Arial" w:eastAsia="Arial" w:hAnsi="Arial"/>
                <w:sz w:val="13"/>
                <w:szCs w:val="13"/>
                <w:color w:val="auto"/>
              </w:rPr>
              <w:t>Term Loan (2013)</w:t>
            </w:r>
          </w:p>
        </w:tc>
        <w:tc>
          <w:tcPr>
            <w:tcW w:w="880" w:type="dxa"/>
            <w:vAlign w:val="bottom"/>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760" w:type="dxa"/>
            <w:vAlign w:val="bottom"/>
          </w:tcPr>
          <w:p>
            <w:pPr>
              <w:ind w:left="80"/>
              <w:spacing w:after="0"/>
              <w:rPr>
                <w:sz w:val="20"/>
                <w:szCs w:val="20"/>
                <w:color w:val="auto"/>
              </w:rPr>
            </w:pPr>
            <w:r>
              <w:rPr>
                <w:rFonts w:ascii="Arial" w:cs="Arial" w:eastAsia="Arial" w:hAnsi="Arial"/>
                <w:sz w:val="13"/>
                <w:szCs w:val="13"/>
                <w:color w:val="auto"/>
              </w:rPr>
              <w:t>Services</w:t>
            </w:r>
          </w:p>
        </w:tc>
        <w:tc>
          <w:tcPr>
            <w:tcW w:w="17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80" w:type="dxa"/>
            <w:vAlign w:val="bottom"/>
          </w:tcPr>
          <w:p>
            <w:pPr>
              <w:jc w:val="right"/>
              <w:ind w:right="124"/>
              <w:spacing w:after="0"/>
              <w:rPr>
                <w:sz w:val="20"/>
                <w:szCs w:val="20"/>
                <w:color w:val="auto"/>
              </w:rPr>
            </w:pPr>
            <w:r>
              <w:rPr>
                <w:rFonts w:ascii="Arial" w:cs="Arial" w:eastAsia="Arial" w:hAnsi="Arial"/>
                <w:sz w:val="13"/>
                <w:szCs w:val="13"/>
                <w:color w:val="auto"/>
              </w:rPr>
              <w:t>4.25%</w:t>
            </w:r>
          </w:p>
        </w:tc>
        <w:tc>
          <w:tcPr>
            <w:tcW w:w="820" w:type="dxa"/>
            <w:vAlign w:val="bottom"/>
          </w:tcPr>
          <w:p>
            <w:pPr>
              <w:jc w:val="right"/>
              <w:ind w:right="24"/>
              <w:spacing w:after="0"/>
              <w:rPr>
                <w:sz w:val="20"/>
                <w:szCs w:val="20"/>
                <w:color w:val="auto"/>
              </w:rPr>
            </w:pPr>
            <w:r>
              <w:rPr>
                <w:rFonts w:ascii="Arial" w:cs="Arial" w:eastAsia="Arial" w:hAnsi="Arial"/>
                <w:sz w:val="13"/>
                <w:szCs w:val="13"/>
                <w:color w:val="auto"/>
              </w:rPr>
              <w:t>10/3/2019</w:t>
            </w:r>
          </w:p>
        </w:tc>
        <w:tc>
          <w:tcPr>
            <w:tcW w:w="400" w:type="dxa"/>
            <w:vAlign w:val="bottom"/>
          </w:tcPr>
          <w:p>
            <w:pPr>
              <w:ind w:left="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rPr>
                <w:sz w:val="20"/>
                <w:szCs w:val="20"/>
                <w:color w:val="auto"/>
              </w:rPr>
            </w:pPr>
            <w:r>
              <w:rPr>
                <w:rFonts w:ascii="Arial" w:cs="Arial" w:eastAsia="Arial" w:hAnsi="Arial"/>
                <w:sz w:val="13"/>
                <w:szCs w:val="13"/>
                <w:color w:val="auto"/>
              </w:rPr>
              <w:t>2,962,285</w:t>
            </w:r>
          </w:p>
        </w:tc>
        <w:tc>
          <w:tcPr>
            <w:tcW w:w="940" w:type="dxa"/>
            <w:vAlign w:val="bottom"/>
          </w:tcPr>
          <w:p>
            <w:pPr>
              <w:jc w:val="right"/>
              <w:ind w:right="164"/>
              <w:spacing w:after="0"/>
              <w:rPr>
                <w:sz w:val="20"/>
                <w:szCs w:val="20"/>
                <w:color w:val="auto"/>
              </w:rPr>
            </w:pPr>
            <w:r>
              <w:rPr>
                <w:rFonts w:ascii="Arial" w:cs="Arial" w:eastAsia="Arial" w:hAnsi="Arial"/>
                <w:sz w:val="13"/>
                <w:szCs w:val="13"/>
                <w:color w:val="auto"/>
              </w:rPr>
              <w:t>2,962,285</w:t>
            </w:r>
          </w:p>
        </w:tc>
        <w:tc>
          <w:tcPr>
            <w:tcW w:w="780" w:type="dxa"/>
            <w:vAlign w:val="bottom"/>
          </w:tcPr>
          <w:p>
            <w:pPr>
              <w:jc w:val="right"/>
              <w:ind w:right="24"/>
              <w:spacing w:after="0"/>
              <w:rPr>
                <w:sz w:val="20"/>
                <w:szCs w:val="20"/>
                <w:color w:val="auto"/>
              </w:rPr>
            </w:pPr>
            <w:r>
              <w:rPr>
                <w:rFonts w:ascii="Arial" w:cs="Arial" w:eastAsia="Arial" w:hAnsi="Arial"/>
                <w:sz w:val="13"/>
                <w:szCs w:val="13"/>
                <w:color w:val="auto"/>
              </w:rPr>
              <w:t>2,985,747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040" w:type="dxa"/>
            <w:vAlign w:val="bottom"/>
            <w:gridSpan w:val="2"/>
            <w:shd w:val="clear" w:color="auto" w:fill="CCEEFF"/>
          </w:tcPr>
          <w:p>
            <w:pPr>
              <w:spacing w:after="0" w:line="121" w:lineRule="exact"/>
              <w:rPr>
                <w:sz w:val="20"/>
                <w:szCs w:val="20"/>
                <w:color w:val="auto"/>
              </w:rPr>
            </w:pPr>
            <w:r>
              <w:rPr>
                <w:rFonts w:ascii="Arial" w:cs="Arial" w:eastAsia="Arial" w:hAnsi="Arial"/>
                <w:sz w:val="13"/>
                <w:szCs w:val="13"/>
                <w:color w:val="auto"/>
              </w:rPr>
              <w:t>Visant Corporation (fka Jostens)</w:t>
            </w:r>
          </w:p>
        </w:tc>
        <w:tc>
          <w:tcPr>
            <w:tcW w:w="176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rPr>
              <w:t>Leisure</w:t>
            </w:r>
          </w:p>
        </w:tc>
        <w:tc>
          <w:tcPr>
            <w:tcW w:w="1740" w:type="dxa"/>
            <w:vAlign w:val="bottom"/>
            <w:shd w:val="clear" w:color="auto" w:fill="CCEEFF"/>
          </w:tcPr>
          <w:p>
            <w:pPr>
              <w:ind w:left="80"/>
              <w:spacing w:after="0" w:line="121" w:lineRule="exact"/>
              <w:rPr>
                <w:sz w:val="20"/>
                <w:szCs w:val="20"/>
                <w:color w:val="auto"/>
              </w:rPr>
            </w:pPr>
            <w:r>
              <w:rPr>
                <w:rFonts w:ascii="Arial" w:cs="Arial" w:eastAsia="Arial" w:hAnsi="Arial"/>
                <w:sz w:val="13"/>
                <w:szCs w:val="13"/>
                <w:color w:val="auto"/>
                <w:w w:val="97"/>
              </w:rPr>
              <w:t>Tranche B Term Loan (2011)</w:t>
            </w:r>
          </w:p>
        </w:tc>
        <w:tc>
          <w:tcPr>
            <w:tcW w:w="880" w:type="dxa"/>
            <w:vAlign w:val="bottom"/>
            <w:shd w:val="clear" w:color="auto" w:fill="CCEEFF"/>
          </w:tcPr>
          <w:p>
            <w:pPr>
              <w:ind w:left="100"/>
              <w:spacing w:after="0" w:line="121" w:lineRule="exact"/>
              <w:rPr>
                <w:sz w:val="20"/>
                <w:szCs w:val="20"/>
                <w:color w:val="auto"/>
              </w:rPr>
            </w:pPr>
            <w:r>
              <w:rPr>
                <w:rFonts w:ascii="Arial" w:cs="Arial" w:eastAsia="Arial" w:hAnsi="Arial"/>
                <w:sz w:val="13"/>
                <w:szCs w:val="13"/>
                <w:color w:val="auto"/>
              </w:rPr>
              <w:t>Loan</w:t>
            </w:r>
          </w:p>
        </w:tc>
        <w:tc>
          <w:tcPr>
            <w:tcW w:w="108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94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760" w:type="dxa"/>
            <w:vAlign w:val="bottom"/>
            <w:shd w:val="clear" w:color="auto" w:fill="CCEEFF"/>
          </w:tcPr>
          <w:p>
            <w:pPr>
              <w:ind w:left="80"/>
              <w:spacing w:after="0"/>
              <w:rPr>
                <w:sz w:val="20"/>
                <w:szCs w:val="20"/>
                <w:color w:val="auto"/>
              </w:rPr>
            </w:pPr>
            <w:r>
              <w:rPr>
                <w:rFonts w:ascii="Arial" w:cs="Arial" w:eastAsia="Arial" w:hAnsi="Arial"/>
                <w:sz w:val="13"/>
                <w:szCs w:val="13"/>
                <w:color w:val="auto"/>
              </w:rPr>
              <w:t>Goods/Activities/Movies</w:t>
            </w:r>
          </w:p>
        </w:tc>
        <w:tc>
          <w:tcPr>
            <w:tcW w:w="17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80" w:type="dxa"/>
            <w:vAlign w:val="bottom"/>
            <w:shd w:val="clear" w:color="auto" w:fill="CCEEFF"/>
          </w:tcPr>
          <w:p>
            <w:pPr>
              <w:jc w:val="right"/>
              <w:ind w:right="124"/>
              <w:spacing w:after="0"/>
              <w:rPr>
                <w:sz w:val="20"/>
                <w:szCs w:val="20"/>
                <w:color w:val="auto"/>
              </w:rPr>
            </w:pPr>
            <w:r>
              <w:rPr>
                <w:rFonts w:ascii="Arial" w:cs="Arial" w:eastAsia="Arial" w:hAnsi="Arial"/>
                <w:sz w:val="13"/>
                <w:szCs w:val="13"/>
                <w:color w:val="auto"/>
              </w:rPr>
              <w:t>5.25%</w:t>
            </w:r>
          </w:p>
        </w:tc>
        <w:tc>
          <w:tcPr>
            <w:tcW w:w="82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12/22/2016</w:t>
            </w:r>
          </w:p>
        </w:tc>
        <w:tc>
          <w:tcPr>
            <w:tcW w:w="400" w:type="dxa"/>
            <w:vAlign w:val="bottom"/>
            <w:shd w:val="clear" w:color="auto" w:fill="CCEEFF"/>
          </w:tcPr>
          <w:p>
            <w:pPr>
              <w:ind w:left="60"/>
              <w:spacing w:after="0"/>
              <w:rPr>
                <w:sz w:val="20"/>
                <w:szCs w:val="20"/>
                <w:color w:val="auto"/>
              </w:rPr>
            </w:pPr>
            <w:r>
              <w:rPr>
                <w:rFonts w:ascii="Arial" w:cs="Arial" w:eastAsia="Arial" w:hAnsi="Arial"/>
                <w:sz w:val="13"/>
                <w:szCs w:val="13"/>
                <w:color w:val="auto"/>
              </w:rPr>
              <w:t>$</w:t>
            </w:r>
          </w:p>
        </w:tc>
        <w:tc>
          <w:tcPr>
            <w:tcW w:w="960" w:type="dxa"/>
            <w:vAlign w:val="bottom"/>
            <w:shd w:val="clear" w:color="auto" w:fill="CCEEFF"/>
          </w:tcPr>
          <w:p>
            <w:pPr>
              <w:jc w:val="right"/>
              <w:ind w:right="144"/>
              <w:spacing w:after="0"/>
              <w:rPr>
                <w:sz w:val="20"/>
                <w:szCs w:val="20"/>
                <w:color w:val="auto"/>
              </w:rPr>
            </w:pPr>
            <w:r>
              <w:rPr>
                <w:rFonts w:ascii="Arial" w:cs="Arial" w:eastAsia="Arial" w:hAnsi="Arial"/>
                <w:sz w:val="13"/>
                <w:szCs w:val="13"/>
                <w:color w:val="auto"/>
              </w:rPr>
              <w:t>3,658,446</w:t>
            </w:r>
          </w:p>
        </w:tc>
        <w:tc>
          <w:tcPr>
            <w:tcW w:w="940" w:type="dxa"/>
            <w:vAlign w:val="bottom"/>
            <w:shd w:val="clear" w:color="auto" w:fill="CCEEFF"/>
          </w:tcPr>
          <w:p>
            <w:pPr>
              <w:jc w:val="right"/>
              <w:ind w:right="164"/>
              <w:spacing w:after="0"/>
              <w:rPr>
                <w:sz w:val="20"/>
                <w:szCs w:val="20"/>
                <w:color w:val="auto"/>
              </w:rPr>
            </w:pPr>
            <w:r>
              <w:rPr>
                <w:rFonts w:ascii="Arial" w:cs="Arial" w:eastAsia="Arial" w:hAnsi="Arial"/>
                <w:sz w:val="13"/>
                <w:szCs w:val="13"/>
                <w:color w:val="auto"/>
              </w:rPr>
              <w:t>3,658,446</w:t>
            </w:r>
          </w:p>
        </w:tc>
        <w:tc>
          <w:tcPr>
            <w:tcW w:w="780" w:type="dxa"/>
            <w:vAlign w:val="bottom"/>
            <w:shd w:val="clear" w:color="auto" w:fill="CCEEFF"/>
          </w:tcPr>
          <w:p>
            <w:pPr>
              <w:jc w:val="right"/>
              <w:ind w:right="24"/>
              <w:spacing w:after="0"/>
              <w:rPr>
                <w:sz w:val="20"/>
                <w:szCs w:val="20"/>
                <w:color w:val="auto"/>
              </w:rPr>
            </w:pPr>
            <w:r>
              <w:rPr>
                <w:rFonts w:ascii="Arial" w:cs="Arial" w:eastAsia="Arial" w:hAnsi="Arial"/>
                <w:sz w:val="13"/>
                <w:szCs w:val="13"/>
                <w:color w:val="auto"/>
              </w:rPr>
              <w:t>3,563,948</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2040" w:type="dxa"/>
            <w:vAlign w:val="bottom"/>
            <w:gridSpan w:val="2"/>
          </w:tcPr>
          <w:p>
            <w:pPr>
              <w:spacing w:after="0"/>
              <w:rPr>
                <w:sz w:val="20"/>
                <w:szCs w:val="20"/>
                <w:color w:val="auto"/>
              </w:rPr>
            </w:pPr>
            <w:r>
              <w:rPr>
                <w:rFonts w:ascii="Arial" w:cs="Arial" w:eastAsia="Arial" w:hAnsi="Arial"/>
                <w:sz w:val="13"/>
                <w:szCs w:val="13"/>
                <w:color w:val="auto"/>
              </w:rPr>
              <w:t>Washington Inventory Service</w:t>
            </w:r>
          </w:p>
        </w:tc>
        <w:tc>
          <w:tcPr>
            <w:tcW w:w="1760" w:type="dxa"/>
            <w:vAlign w:val="bottom"/>
          </w:tcPr>
          <w:p>
            <w:pPr>
              <w:ind w:left="80"/>
              <w:spacing w:after="0"/>
              <w:rPr>
                <w:sz w:val="20"/>
                <w:szCs w:val="20"/>
                <w:color w:val="auto"/>
              </w:rPr>
            </w:pPr>
            <w:r>
              <w:rPr>
                <w:rFonts w:ascii="Arial" w:cs="Arial" w:eastAsia="Arial" w:hAnsi="Arial"/>
                <w:sz w:val="13"/>
                <w:szCs w:val="13"/>
                <w:color w:val="auto"/>
              </w:rPr>
              <w:t>Business Equipment and</w:t>
            </w:r>
          </w:p>
        </w:tc>
        <w:tc>
          <w:tcPr>
            <w:tcW w:w="1740" w:type="dxa"/>
            <w:vAlign w:val="bottom"/>
          </w:tcPr>
          <w:p>
            <w:pPr>
              <w:ind w:left="80"/>
              <w:spacing w:after="0"/>
              <w:rPr>
                <w:sz w:val="20"/>
                <w:szCs w:val="20"/>
                <w:color w:val="auto"/>
              </w:rPr>
            </w:pPr>
            <w:r>
              <w:rPr>
                <w:rFonts w:ascii="Arial" w:cs="Arial" w:eastAsia="Arial" w:hAnsi="Arial"/>
                <w:sz w:val="13"/>
                <w:szCs w:val="13"/>
                <w:color w:val="auto"/>
              </w:rPr>
              <w:t>U.S. Term Loan (First Lien)</w:t>
            </w:r>
          </w:p>
        </w:tc>
        <w:tc>
          <w:tcPr>
            <w:tcW w:w="880" w:type="dxa"/>
            <w:vAlign w:val="bottom"/>
          </w:tcPr>
          <w:p>
            <w:pPr>
              <w:ind w:left="100"/>
              <w:spacing w:after="0"/>
              <w:rPr>
                <w:sz w:val="20"/>
                <w:szCs w:val="20"/>
                <w:color w:val="auto"/>
              </w:rPr>
            </w:pPr>
            <w:r>
              <w:rPr>
                <w:rFonts w:ascii="Arial" w:cs="Arial" w:eastAsia="Arial" w:hAnsi="Arial"/>
                <w:sz w:val="13"/>
                <w:szCs w:val="13"/>
                <w:color w:val="auto"/>
              </w:rPr>
              <w:t>Loan</w:t>
            </w:r>
          </w:p>
        </w:tc>
        <w:tc>
          <w:tcPr>
            <w:tcW w:w="1080" w:type="dxa"/>
            <w:vAlign w:val="bottom"/>
          </w:tcPr>
          <w:p>
            <w:pPr>
              <w:jc w:val="right"/>
              <w:ind w:right="124"/>
              <w:spacing w:after="0"/>
              <w:rPr>
                <w:sz w:val="20"/>
                <w:szCs w:val="20"/>
                <w:color w:val="auto"/>
              </w:rPr>
            </w:pPr>
            <w:r>
              <w:rPr>
                <w:rFonts w:ascii="Arial" w:cs="Arial" w:eastAsia="Arial" w:hAnsi="Arial"/>
                <w:sz w:val="13"/>
                <w:szCs w:val="13"/>
                <w:color w:val="auto"/>
              </w:rPr>
              <w:t>5.75%</w:t>
            </w:r>
          </w:p>
        </w:tc>
        <w:tc>
          <w:tcPr>
            <w:tcW w:w="820" w:type="dxa"/>
            <w:vAlign w:val="bottom"/>
          </w:tcPr>
          <w:p>
            <w:pPr>
              <w:jc w:val="right"/>
              <w:ind w:right="24"/>
              <w:spacing w:after="0"/>
              <w:rPr>
                <w:sz w:val="20"/>
                <w:szCs w:val="20"/>
                <w:color w:val="auto"/>
              </w:rPr>
            </w:pPr>
            <w:r>
              <w:rPr>
                <w:rFonts w:ascii="Arial" w:cs="Arial" w:eastAsia="Arial" w:hAnsi="Arial"/>
                <w:sz w:val="13"/>
                <w:szCs w:val="13"/>
                <w:color w:val="auto"/>
              </w:rPr>
              <w:t>12/20/2018</w:t>
            </w:r>
          </w:p>
        </w:tc>
        <w:tc>
          <w:tcPr>
            <w:tcW w:w="400" w:type="dxa"/>
            <w:vAlign w:val="bottom"/>
          </w:tcPr>
          <w:p>
            <w:pPr>
              <w:ind w:left="60"/>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44"/>
              <w:spacing w:after="0"/>
              <w:rPr>
                <w:sz w:val="20"/>
                <w:szCs w:val="20"/>
                <w:color w:val="auto"/>
              </w:rPr>
            </w:pPr>
            <w:r>
              <w:rPr>
                <w:rFonts w:ascii="Arial" w:cs="Arial" w:eastAsia="Arial" w:hAnsi="Arial"/>
                <w:sz w:val="13"/>
                <w:szCs w:val="13"/>
                <w:color w:val="auto"/>
              </w:rPr>
              <w:t>1,985,000</w:t>
            </w:r>
          </w:p>
        </w:tc>
        <w:tc>
          <w:tcPr>
            <w:tcW w:w="940" w:type="dxa"/>
            <w:vAlign w:val="bottom"/>
          </w:tcPr>
          <w:p>
            <w:pPr>
              <w:jc w:val="right"/>
              <w:ind w:right="164"/>
              <w:spacing w:after="0"/>
              <w:rPr>
                <w:sz w:val="20"/>
                <w:szCs w:val="20"/>
                <w:color w:val="auto"/>
              </w:rPr>
            </w:pPr>
            <w:r>
              <w:rPr>
                <w:rFonts w:ascii="Arial" w:cs="Arial" w:eastAsia="Arial" w:hAnsi="Arial"/>
                <w:sz w:val="13"/>
                <w:szCs w:val="13"/>
                <w:color w:val="auto"/>
              </w:rPr>
              <w:t>2,010,492</w:t>
            </w:r>
          </w:p>
        </w:tc>
        <w:tc>
          <w:tcPr>
            <w:tcW w:w="780" w:type="dxa"/>
            <w:vAlign w:val="bottom"/>
          </w:tcPr>
          <w:p>
            <w:pPr>
              <w:jc w:val="right"/>
              <w:ind w:right="24"/>
              <w:spacing w:after="0"/>
              <w:rPr>
                <w:sz w:val="20"/>
                <w:szCs w:val="20"/>
                <w:color w:val="auto"/>
              </w:rPr>
            </w:pPr>
            <w:r>
              <w:rPr>
                <w:rFonts w:ascii="Arial" w:cs="Arial" w:eastAsia="Arial" w:hAnsi="Arial"/>
                <w:sz w:val="13"/>
                <w:szCs w:val="13"/>
                <w:color w:val="auto"/>
              </w:rPr>
              <w:t>1,985,000</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-3799205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-3799205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17" w:name="page18"/>
    <w:bookmarkEnd w:id="1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760" w:type="dxa"/>
            <w:vAlign w:val="bottom"/>
            <w:gridSpan w:val="2"/>
          </w:tcPr>
          <w:p>
            <w:pPr>
              <w:ind w:left="180"/>
              <w:spacing w:after="0"/>
              <w:rPr>
                <w:sz w:val="20"/>
                <w:szCs w:val="20"/>
                <w:color w:val="auto"/>
              </w:rPr>
            </w:pPr>
            <w:r>
              <w:rPr>
                <w:rFonts w:ascii="Arial" w:cs="Arial" w:eastAsia="Arial" w:hAnsi="Arial"/>
                <w:sz w:val="13"/>
                <w:szCs w:val="13"/>
                <w:color w:val="auto"/>
              </w:rPr>
              <w:t>Services</w:t>
            </w:r>
          </w:p>
        </w:tc>
        <w:tc>
          <w:tcPr>
            <w:tcW w:w="1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Wendy’s International, Inc</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Food Services</w:t>
            </w:r>
          </w:p>
        </w:tc>
        <w:tc>
          <w:tcPr>
            <w:tcW w:w="16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Term B Loan</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Loan</w:t>
            </w:r>
          </w:p>
        </w:tc>
        <w:tc>
          <w:tcPr>
            <w:tcW w:w="102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3.25%</w:t>
            </w:r>
          </w:p>
        </w:tc>
        <w:tc>
          <w:tcPr>
            <w:tcW w:w="980" w:type="dxa"/>
            <w:vAlign w:val="bottom"/>
            <w:gridSpan w:val="3"/>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5/15/2019</w:t>
            </w:r>
          </w:p>
        </w:tc>
        <w:tc>
          <w:tcPr>
            <w:tcW w:w="260" w:type="dxa"/>
            <w:vAlign w:val="bottom"/>
            <w:shd w:val="clear" w:color="auto" w:fill="CCEEFF"/>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682,179</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675,977</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681,968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gridSpan w:val="2"/>
          </w:tcPr>
          <w:p>
            <w:pPr>
              <w:spacing w:after="0" w:line="135" w:lineRule="exact"/>
              <w:rPr>
                <w:sz w:val="20"/>
                <w:szCs w:val="20"/>
                <w:color w:val="auto"/>
              </w:rPr>
            </w:pPr>
            <w:r>
              <w:rPr>
                <w:rFonts w:ascii="Arial" w:cs="Arial" w:eastAsia="Arial" w:hAnsi="Arial"/>
                <w:sz w:val="13"/>
                <w:szCs w:val="13"/>
                <w:color w:val="auto"/>
              </w:rPr>
              <w:t>West Corporation</w:t>
            </w:r>
          </w:p>
        </w:tc>
        <w:tc>
          <w:tcPr>
            <w:tcW w:w="140" w:type="dxa"/>
            <w:vAlign w:val="bottom"/>
          </w:tcPr>
          <w:p>
            <w:pPr>
              <w:spacing w:after="0"/>
              <w:rPr>
                <w:sz w:val="11"/>
                <w:szCs w:val="11"/>
                <w:color w:val="auto"/>
              </w:rPr>
            </w:pPr>
          </w:p>
        </w:tc>
        <w:tc>
          <w:tcPr>
            <w:tcW w:w="176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Telecommunications</w:t>
            </w:r>
          </w:p>
        </w:tc>
        <w:tc>
          <w:tcPr>
            <w:tcW w:w="1600" w:type="dxa"/>
            <w:vAlign w:val="bottom"/>
          </w:tcPr>
          <w:p>
            <w:pPr>
              <w:ind w:left="180"/>
              <w:spacing w:after="0" w:line="135" w:lineRule="exact"/>
              <w:rPr>
                <w:sz w:val="20"/>
                <w:szCs w:val="20"/>
                <w:color w:val="auto"/>
              </w:rPr>
            </w:pPr>
            <w:r>
              <w:rPr>
                <w:rFonts w:ascii="Arial" w:cs="Arial" w:eastAsia="Arial" w:hAnsi="Arial"/>
                <w:sz w:val="13"/>
                <w:szCs w:val="13"/>
                <w:color w:val="auto"/>
              </w:rPr>
              <w:t>Term B-8 Loan</w:t>
            </w:r>
          </w:p>
        </w:tc>
        <w:tc>
          <w:tcPr>
            <w:tcW w:w="160" w:type="dxa"/>
            <w:vAlign w:val="bottom"/>
          </w:tcPr>
          <w:p>
            <w:pPr>
              <w:spacing w:after="0"/>
              <w:rPr>
                <w:sz w:val="11"/>
                <w:szCs w:val="11"/>
                <w:color w:val="auto"/>
              </w:rPr>
            </w:pPr>
          </w:p>
        </w:tc>
        <w:tc>
          <w:tcPr>
            <w:tcW w:w="840" w:type="dxa"/>
            <w:vAlign w:val="bottom"/>
            <w:gridSpan w:val="2"/>
          </w:tcPr>
          <w:p>
            <w:pPr>
              <w:ind w:left="180"/>
              <w:spacing w:after="0" w:line="135" w:lineRule="exact"/>
              <w:rPr>
                <w:sz w:val="20"/>
                <w:szCs w:val="20"/>
                <w:color w:val="auto"/>
              </w:rPr>
            </w:pPr>
            <w:r>
              <w:rPr>
                <w:rFonts w:ascii="Arial" w:cs="Arial" w:eastAsia="Arial" w:hAnsi="Arial"/>
                <w:sz w:val="13"/>
                <w:szCs w:val="13"/>
                <w:color w:val="auto"/>
              </w:rPr>
              <w:t>Loan</w:t>
            </w:r>
          </w:p>
        </w:tc>
        <w:tc>
          <w:tcPr>
            <w:tcW w:w="102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3.75%</w:t>
            </w:r>
          </w:p>
        </w:tc>
        <w:tc>
          <w:tcPr>
            <w:tcW w:w="980" w:type="dxa"/>
            <w:vAlign w:val="bottom"/>
            <w:gridSpan w:val="3"/>
          </w:tcPr>
          <w:p>
            <w:pPr>
              <w:jc w:val="right"/>
              <w:ind w:right="33"/>
              <w:spacing w:after="0" w:line="135" w:lineRule="exact"/>
              <w:rPr>
                <w:sz w:val="20"/>
                <w:szCs w:val="20"/>
                <w:color w:val="auto"/>
              </w:rPr>
            </w:pPr>
            <w:r>
              <w:rPr>
                <w:rFonts w:ascii="Arial" w:cs="Arial" w:eastAsia="Arial" w:hAnsi="Arial"/>
                <w:sz w:val="13"/>
                <w:szCs w:val="13"/>
                <w:color w:val="auto"/>
              </w:rPr>
              <w:t>6/30/2018</w:t>
            </w:r>
          </w:p>
        </w:tc>
        <w:tc>
          <w:tcPr>
            <w:tcW w:w="260" w:type="dxa"/>
            <w:vAlign w:val="bottom"/>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tcPr>
          <w:p>
            <w:pPr>
              <w:jc w:val="right"/>
              <w:ind w:right="60"/>
              <w:spacing w:after="0" w:line="135" w:lineRule="exact"/>
              <w:rPr>
                <w:sz w:val="20"/>
                <w:szCs w:val="20"/>
                <w:color w:val="auto"/>
              </w:rPr>
            </w:pPr>
            <w:r>
              <w:rPr>
                <w:rFonts w:ascii="Arial" w:cs="Arial" w:eastAsia="Arial" w:hAnsi="Arial"/>
                <w:sz w:val="13"/>
                <w:szCs w:val="13"/>
                <w:color w:val="auto"/>
              </w:rPr>
              <w:t>2,926,111</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2,969,883</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line="135" w:lineRule="exact"/>
              <w:rPr>
                <w:sz w:val="20"/>
                <w:szCs w:val="20"/>
                <w:color w:val="auto"/>
              </w:rPr>
            </w:pPr>
            <w:r>
              <w:rPr>
                <w:rFonts w:ascii="Arial" w:cs="Arial" w:eastAsia="Arial" w:hAnsi="Arial"/>
                <w:sz w:val="13"/>
                <w:szCs w:val="13"/>
                <w:color w:val="auto"/>
              </w:rPr>
              <w:t>2,936,674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800" w:type="dxa"/>
            <w:vAlign w:val="bottom"/>
            <w:gridSpan w:val="2"/>
            <w:shd w:val="clear" w:color="auto" w:fill="CCEEFF"/>
          </w:tcPr>
          <w:p>
            <w:pPr>
              <w:spacing w:after="0" w:line="135" w:lineRule="exact"/>
              <w:rPr>
                <w:sz w:val="20"/>
                <w:szCs w:val="20"/>
                <w:color w:val="auto"/>
              </w:rPr>
            </w:pPr>
            <w:r>
              <w:rPr>
                <w:rFonts w:ascii="Arial" w:cs="Arial" w:eastAsia="Arial" w:hAnsi="Arial"/>
                <w:sz w:val="13"/>
                <w:szCs w:val="13"/>
                <w:color w:val="auto"/>
              </w:rPr>
              <w:t>Western Refining, Inc.</w:t>
            </w:r>
          </w:p>
        </w:tc>
        <w:tc>
          <w:tcPr>
            <w:tcW w:w="140" w:type="dxa"/>
            <w:vAlign w:val="bottom"/>
            <w:shd w:val="clear" w:color="auto" w:fill="CCEEFF"/>
          </w:tcPr>
          <w:p>
            <w:pPr>
              <w:spacing w:after="0"/>
              <w:rPr>
                <w:sz w:val="11"/>
                <w:szCs w:val="11"/>
                <w:color w:val="auto"/>
              </w:rPr>
            </w:pPr>
          </w:p>
        </w:tc>
        <w:tc>
          <w:tcPr>
            <w:tcW w:w="176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Oil &amp; Gas</w:t>
            </w:r>
          </w:p>
        </w:tc>
        <w:tc>
          <w:tcPr>
            <w:tcW w:w="1600" w:type="dxa"/>
            <w:vAlign w:val="bottom"/>
            <w:shd w:val="clear" w:color="auto" w:fill="CCEEFF"/>
          </w:tcPr>
          <w:p>
            <w:pPr>
              <w:ind w:left="180"/>
              <w:spacing w:after="0" w:line="135" w:lineRule="exact"/>
              <w:rPr>
                <w:sz w:val="20"/>
                <w:szCs w:val="20"/>
                <w:color w:val="auto"/>
              </w:rPr>
            </w:pPr>
            <w:r>
              <w:rPr>
                <w:rFonts w:ascii="Arial" w:cs="Arial" w:eastAsia="Arial" w:hAnsi="Arial"/>
                <w:sz w:val="13"/>
                <w:szCs w:val="13"/>
                <w:color w:val="auto"/>
              </w:rPr>
              <w:t>Term Loan 2013</w:t>
            </w:r>
          </w:p>
        </w:tc>
        <w:tc>
          <w:tcPr>
            <w:tcW w:w="160" w:type="dxa"/>
            <w:vAlign w:val="bottom"/>
            <w:shd w:val="clear" w:color="auto" w:fill="CCEEFF"/>
          </w:tcPr>
          <w:p>
            <w:pPr>
              <w:spacing w:after="0"/>
              <w:rPr>
                <w:sz w:val="11"/>
                <w:szCs w:val="11"/>
                <w:color w:val="auto"/>
              </w:rPr>
            </w:pPr>
          </w:p>
        </w:tc>
        <w:tc>
          <w:tcPr>
            <w:tcW w:w="840" w:type="dxa"/>
            <w:vAlign w:val="bottom"/>
            <w:gridSpan w:val="2"/>
            <w:shd w:val="clear" w:color="auto" w:fill="CCEEFF"/>
          </w:tcPr>
          <w:p>
            <w:pPr>
              <w:ind w:left="180"/>
              <w:spacing w:after="0" w:line="135" w:lineRule="exact"/>
              <w:rPr>
                <w:sz w:val="20"/>
                <w:szCs w:val="20"/>
                <w:color w:val="auto"/>
              </w:rPr>
            </w:pPr>
            <w:r>
              <w:rPr>
                <w:rFonts w:ascii="Arial" w:cs="Arial" w:eastAsia="Arial" w:hAnsi="Arial"/>
                <w:sz w:val="13"/>
                <w:szCs w:val="13"/>
                <w:color w:val="auto"/>
              </w:rPr>
              <w:t>Loan</w:t>
            </w:r>
          </w:p>
        </w:tc>
        <w:tc>
          <w:tcPr>
            <w:tcW w:w="1020" w:type="dxa"/>
            <w:vAlign w:val="bottom"/>
            <w:tcBorders>
              <w:right w:val="single" w:sz="8" w:color="CCEEFF"/>
            </w:tcBorders>
            <w:gridSpan w:val="2"/>
            <w:shd w:val="clear" w:color="auto" w:fill="CCEEFF"/>
          </w:tcPr>
          <w:p>
            <w:pPr>
              <w:jc w:val="right"/>
              <w:spacing w:after="0" w:line="135" w:lineRule="exact"/>
              <w:rPr>
                <w:sz w:val="20"/>
                <w:szCs w:val="20"/>
                <w:color w:val="auto"/>
              </w:rPr>
            </w:pPr>
            <w:r>
              <w:rPr>
                <w:rFonts w:ascii="Arial" w:cs="Arial" w:eastAsia="Arial" w:hAnsi="Arial"/>
                <w:sz w:val="13"/>
                <w:szCs w:val="13"/>
                <w:color w:val="auto"/>
              </w:rPr>
              <w:t>4.25%</w:t>
            </w:r>
          </w:p>
        </w:tc>
        <w:tc>
          <w:tcPr>
            <w:tcW w:w="980" w:type="dxa"/>
            <w:vAlign w:val="bottom"/>
            <w:gridSpan w:val="3"/>
            <w:shd w:val="clear" w:color="auto" w:fill="CCEEFF"/>
          </w:tcPr>
          <w:p>
            <w:pPr>
              <w:jc w:val="right"/>
              <w:ind w:right="33"/>
              <w:spacing w:after="0" w:line="135" w:lineRule="exact"/>
              <w:rPr>
                <w:sz w:val="20"/>
                <w:szCs w:val="20"/>
                <w:color w:val="auto"/>
              </w:rPr>
            </w:pPr>
            <w:r>
              <w:rPr>
                <w:rFonts w:ascii="Arial" w:cs="Arial" w:eastAsia="Arial" w:hAnsi="Arial"/>
                <w:sz w:val="13"/>
                <w:szCs w:val="13"/>
                <w:color w:val="auto"/>
              </w:rPr>
              <w:t>11/12/2020</w:t>
            </w:r>
          </w:p>
        </w:tc>
        <w:tc>
          <w:tcPr>
            <w:tcW w:w="260" w:type="dxa"/>
            <w:vAlign w:val="bottom"/>
            <w:shd w:val="clear" w:color="auto" w:fill="CCEEFF"/>
          </w:tcPr>
          <w:p>
            <w:pPr>
              <w:jc w:val="right"/>
              <w:ind w:right="39"/>
              <w:spacing w:after="0" w:line="135" w:lineRule="exact"/>
              <w:rPr>
                <w:sz w:val="20"/>
                <w:szCs w:val="20"/>
                <w:color w:val="auto"/>
              </w:rPr>
            </w:pPr>
            <w:r>
              <w:rPr>
                <w:rFonts w:ascii="Arial" w:cs="Arial" w:eastAsia="Arial" w:hAnsi="Arial"/>
                <w:sz w:val="13"/>
                <w:szCs w:val="13"/>
                <w:color w:val="auto"/>
              </w:rPr>
              <w:t>$</w:t>
            </w:r>
          </w:p>
        </w:tc>
        <w:tc>
          <w:tcPr>
            <w:tcW w:w="980" w:type="dxa"/>
            <w:vAlign w:val="bottom"/>
            <w:gridSpan w:val="2"/>
            <w:shd w:val="clear" w:color="auto" w:fill="CCEEFF"/>
          </w:tcPr>
          <w:p>
            <w:pPr>
              <w:jc w:val="right"/>
              <w:ind w:right="60"/>
              <w:spacing w:after="0" w:line="135" w:lineRule="exact"/>
              <w:rPr>
                <w:sz w:val="20"/>
                <w:szCs w:val="20"/>
                <w:color w:val="auto"/>
              </w:rPr>
            </w:pPr>
            <w:r>
              <w:rPr>
                <w:rFonts w:ascii="Arial" w:cs="Arial" w:eastAsia="Arial" w:hAnsi="Arial"/>
                <w:sz w:val="13"/>
                <w:szCs w:val="13"/>
                <w:color w:val="auto"/>
              </w:rPr>
              <w:t>250,000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250,000</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252,032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1"/>
              </w:rPr>
              <w:t>298,318,837</w:t>
            </w:r>
          </w:p>
        </w:tc>
        <w:tc>
          <w:tcPr>
            <w:tcW w:w="140" w:type="dxa"/>
            <w:vAlign w:val="bottom"/>
          </w:tcPr>
          <w:p>
            <w:pPr>
              <w:spacing w:after="0"/>
              <w:rPr>
                <w:sz w:val="11"/>
                <w:szCs w:val="11"/>
                <w:color w:val="auto"/>
              </w:rPr>
            </w:pP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3"/>
                <w:szCs w:val="13"/>
                <w:b w:val="1"/>
                <w:bCs w:val="1"/>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b w:val="1"/>
                <w:bCs w:val="1"/>
                <w:color w:val="auto"/>
                <w:w w:val="91"/>
              </w:rPr>
              <w:t>299,763,643</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gridSpan w:val="2"/>
            <w:vMerge w:val="restart"/>
          </w:tcPr>
          <w:p>
            <w:pPr>
              <w:jc w:val="center"/>
              <w:ind w:right="1"/>
              <w:spacing w:after="0"/>
              <w:rPr>
                <w:sz w:val="20"/>
                <w:szCs w:val="20"/>
                <w:color w:val="auto"/>
              </w:rPr>
            </w:pPr>
            <w:r>
              <w:rPr>
                <w:rFonts w:ascii="Arial" w:cs="Arial" w:eastAsia="Arial" w:hAnsi="Arial"/>
                <w:sz w:val="18"/>
                <w:szCs w:val="18"/>
                <w:color w:val="auto"/>
                <w:w w:val="89"/>
              </w:rPr>
              <w:t>25</w:t>
            </w: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8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6"/>
          </w:tcPr>
          <w:p>
            <w:pPr>
              <w:jc w:val="center"/>
              <w:ind w:left="325"/>
              <w:spacing w:after="0"/>
              <w:rPr>
                <w:sz w:val="20"/>
                <w:szCs w:val="20"/>
                <w:color w:val="auto"/>
              </w:rPr>
            </w:pPr>
            <w:r>
              <w:rPr>
                <w:rFonts w:ascii="Arial" w:cs="Arial" w:eastAsia="Arial" w:hAnsi="Arial"/>
                <w:sz w:val="18"/>
                <w:szCs w:val="18"/>
                <w:b w:val="1"/>
                <w:bCs w:val="1"/>
                <w:color w:val="auto"/>
                <w:w w:val="93"/>
              </w:rPr>
              <w:t>GSC Investment Corp. CLO 2007</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6"/>
          </w:tcPr>
          <w:p>
            <w:pPr>
              <w:jc w:val="center"/>
              <w:ind w:left="305"/>
              <w:spacing w:after="0"/>
              <w:rPr>
                <w:sz w:val="20"/>
                <w:szCs w:val="20"/>
                <w:color w:val="auto"/>
              </w:rPr>
            </w:pPr>
            <w:r>
              <w:rPr>
                <w:rFonts w:ascii="Arial" w:cs="Arial" w:eastAsia="Arial" w:hAnsi="Arial"/>
                <w:sz w:val="18"/>
                <w:szCs w:val="18"/>
                <w:b w:val="1"/>
                <w:bCs w:val="1"/>
                <w:color w:val="auto"/>
                <w:w w:val="87"/>
              </w:rPr>
              <w:t>Schedule of Investments</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20" w:type="dxa"/>
            <w:vAlign w:val="bottom"/>
            <w:gridSpan w:val="6"/>
          </w:tcPr>
          <w:p>
            <w:pPr>
              <w:jc w:val="center"/>
              <w:ind w:left="325"/>
              <w:spacing w:after="0"/>
              <w:rPr>
                <w:sz w:val="20"/>
                <w:szCs w:val="20"/>
                <w:color w:val="auto"/>
              </w:rPr>
            </w:pPr>
            <w:r>
              <w:rPr>
                <w:rFonts w:ascii="Arial" w:cs="Arial" w:eastAsia="Arial" w:hAnsi="Arial"/>
                <w:sz w:val="18"/>
                <w:szCs w:val="18"/>
                <w:b w:val="1"/>
                <w:bCs w:val="1"/>
                <w:color w:val="auto"/>
                <w:w w:val="92"/>
              </w:rPr>
              <w:t>February 28, 2013</w:t>
            </w: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gridSpan w:val="3"/>
          </w:tcPr>
          <w:p>
            <w:pPr>
              <w:jc w:val="right"/>
              <w:ind w:right="200"/>
              <w:spacing w:after="0"/>
              <w:rPr>
                <w:sz w:val="20"/>
                <w:szCs w:val="20"/>
                <w:color w:val="auto"/>
              </w:rPr>
            </w:pPr>
            <w:r>
              <w:rPr>
                <w:rFonts w:ascii="Arial" w:cs="Arial" w:eastAsia="Arial" w:hAnsi="Arial"/>
                <w:sz w:val="11"/>
                <w:szCs w:val="11"/>
                <w:b w:val="1"/>
                <w:bCs w:val="1"/>
                <w:color w:val="auto"/>
                <w:w w:val="92"/>
              </w:rPr>
              <w:t>Principal / Number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1820" w:type="dxa"/>
            <w:vAlign w:val="bottom"/>
            <w:gridSpan w:val="3"/>
          </w:tcPr>
          <w:p>
            <w:pPr>
              <w:spacing w:after="0"/>
              <w:rPr>
                <w:sz w:val="20"/>
                <w:szCs w:val="20"/>
                <w:color w:val="auto"/>
              </w:rPr>
            </w:pPr>
            <w:r>
              <w:rPr>
                <w:rFonts w:ascii="Arial" w:cs="Arial" w:eastAsia="Arial" w:hAnsi="Arial"/>
                <w:sz w:val="11"/>
                <w:szCs w:val="11"/>
                <w:b w:val="1"/>
                <w:bCs w:val="1"/>
                <w:color w:val="auto"/>
              </w:rPr>
              <w:t>Issuer Name</w:t>
            </w:r>
          </w:p>
        </w:tc>
        <w:tc>
          <w:tcPr>
            <w:tcW w:w="140" w:type="dxa"/>
            <w:vAlign w:val="bottom"/>
          </w:tcPr>
          <w:p>
            <w:pPr>
              <w:spacing w:after="0"/>
              <w:rPr>
                <w:sz w:val="11"/>
                <w:szCs w:val="11"/>
                <w:color w:val="auto"/>
              </w:rPr>
            </w:pPr>
          </w:p>
        </w:tc>
        <w:tc>
          <w:tcPr>
            <w:tcW w:w="1760" w:type="dxa"/>
            <w:vAlign w:val="bottom"/>
            <w:gridSpan w:val="2"/>
          </w:tcPr>
          <w:p>
            <w:pPr>
              <w:ind w:left="600"/>
              <w:spacing w:after="0"/>
              <w:rPr>
                <w:sz w:val="20"/>
                <w:szCs w:val="20"/>
                <w:color w:val="auto"/>
              </w:rPr>
            </w:pPr>
            <w:r>
              <w:rPr>
                <w:rFonts w:ascii="Arial" w:cs="Arial" w:eastAsia="Arial" w:hAnsi="Arial"/>
                <w:sz w:val="11"/>
                <w:szCs w:val="11"/>
                <w:b w:val="1"/>
                <w:bCs w:val="1"/>
                <w:color w:val="auto"/>
              </w:rPr>
              <w:t>Industry</w:t>
            </w:r>
          </w:p>
        </w:tc>
        <w:tc>
          <w:tcPr>
            <w:tcW w:w="1600" w:type="dxa"/>
            <w:vAlign w:val="bottom"/>
          </w:tcPr>
          <w:p>
            <w:pPr>
              <w:ind w:left="540"/>
              <w:spacing w:after="0"/>
              <w:rPr>
                <w:sz w:val="20"/>
                <w:szCs w:val="20"/>
                <w:color w:val="auto"/>
              </w:rPr>
            </w:pPr>
            <w:r>
              <w:rPr>
                <w:rFonts w:ascii="Arial" w:cs="Arial" w:eastAsia="Arial" w:hAnsi="Arial"/>
                <w:sz w:val="11"/>
                <w:szCs w:val="11"/>
                <w:b w:val="1"/>
                <w:bCs w:val="1"/>
                <w:color w:val="auto"/>
              </w:rPr>
              <w:t>Asset Name</w:t>
            </w:r>
          </w:p>
        </w:tc>
        <w:tc>
          <w:tcPr>
            <w:tcW w:w="16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Asset Type</w:t>
            </w:r>
          </w:p>
        </w:tc>
        <w:tc>
          <w:tcPr>
            <w:tcW w:w="1020" w:type="dxa"/>
            <w:vAlign w:val="bottom"/>
            <w:gridSpan w:val="2"/>
          </w:tcPr>
          <w:p>
            <w:pPr>
              <w:jc w:val="right"/>
              <w:ind w:right="340"/>
              <w:spacing w:after="0"/>
              <w:rPr>
                <w:sz w:val="20"/>
                <w:szCs w:val="20"/>
                <w:color w:val="auto"/>
              </w:rPr>
            </w:pPr>
            <w:r>
              <w:rPr>
                <w:rFonts w:ascii="Arial" w:cs="Arial" w:eastAsia="Arial" w:hAnsi="Arial"/>
                <w:sz w:val="11"/>
                <w:szCs w:val="11"/>
                <w:b w:val="1"/>
                <w:bCs w:val="1"/>
                <w:color w:val="auto"/>
                <w:w w:val="98"/>
              </w:rPr>
              <w:t>Current Rate</w:t>
            </w:r>
          </w:p>
        </w:tc>
        <w:tc>
          <w:tcPr>
            <w:tcW w:w="900" w:type="dxa"/>
            <w:vAlign w:val="bottom"/>
            <w:gridSpan w:val="2"/>
          </w:tcPr>
          <w:p>
            <w:pPr>
              <w:jc w:val="right"/>
              <w:ind w:right="220"/>
              <w:spacing w:after="0"/>
              <w:rPr>
                <w:sz w:val="20"/>
                <w:szCs w:val="20"/>
                <w:color w:val="auto"/>
              </w:rPr>
            </w:pPr>
            <w:r>
              <w:rPr>
                <w:rFonts w:ascii="Arial" w:cs="Arial" w:eastAsia="Arial" w:hAnsi="Arial"/>
                <w:sz w:val="11"/>
                <w:szCs w:val="11"/>
                <w:b w:val="1"/>
                <w:bCs w:val="1"/>
                <w:color w:val="auto"/>
                <w:w w:val="94"/>
              </w:rPr>
              <w:t>Maturity Date</w:t>
            </w: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gridSpan w:val="2"/>
          </w:tcPr>
          <w:p>
            <w:pPr>
              <w:jc w:val="right"/>
              <w:ind w:right="54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1"/>
                <w:szCs w:val="11"/>
                <w:b w:val="1"/>
                <w:bCs w:val="1"/>
                <w:color w:val="auto"/>
              </w:rPr>
              <w:t>Cost</w:t>
            </w:r>
          </w:p>
        </w:tc>
        <w:tc>
          <w:tcPr>
            <w:tcW w:w="100" w:type="dxa"/>
            <w:vAlign w:val="bottom"/>
          </w:tcPr>
          <w:p>
            <w:pPr>
              <w:spacing w:after="0"/>
              <w:rPr>
                <w:sz w:val="11"/>
                <w:szCs w:val="11"/>
                <w:color w:val="auto"/>
              </w:rPr>
            </w:pP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Fair Value</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2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vMerge w:val="restart"/>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Borders>
              <w:right w:val="single" w:sz="8" w:color="auto"/>
            </w:tcBorders>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15" w:lineRule="exact"/>
              <w:rPr>
                <w:sz w:val="20"/>
                <w:szCs w:val="20"/>
                <w:color w:val="auto"/>
              </w:rPr>
            </w:pPr>
            <w:r>
              <w:rPr>
                <w:rFonts w:ascii="Arial" w:cs="Arial" w:eastAsia="Arial" w:hAnsi="Arial"/>
                <w:sz w:val="11"/>
                <w:szCs w:val="11"/>
                <w:color w:val="auto"/>
              </w:rPr>
              <w:t>Elyria Foundry Company, LLC</w:t>
            </w:r>
          </w:p>
        </w:tc>
        <w:tc>
          <w:tcPr>
            <w:tcW w:w="140" w:type="dxa"/>
            <w:vAlign w:val="bottom"/>
            <w:vMerge w:val="continue"/>
            <w:shd w:val="clear" w:color="auto" w:fill="CCEEFF"/>
          </w:tcPr>
          <w:p>
            <w:pPr>
              <w:spacing w:after="0"/>
              <w:rPr>
                <w:sz w:val="10"/>
                <w:szCs w:val="10"/>
                <w:color w:val="auto"/>
              </w:rPr>
            </w:pPr>
          </w:p>
        </w:tc>
        <w:tc>
          <w:tcPr>
            <w:tcW w:w="162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Industrial Equipment</w:t>
            </w:r>
          </w:p>
        </w:tc>
        <w:tc>
          <w:tcPr>
            <w:tcW w:w="140" w:type="dxa"/>
            <w:vAlign w:val="bottom"/>
            <w:vMerge w:val="continue"/>
            <w:shd w:val="clear" w:color="auto" w:fill="CCEEFF"/>
          </w:tcPr>
          <w:p>
            <w:pPr>
              <w:spacing w:after="0"/>
              <w:rPr>
                <w:sz w:val="10"/>
                <w:szCs w:val="10"/>
                <w:color w:val="auto"/>
              </w:rPr>
            </w:pPr>
          </w:p>
        </w:tc>
        <w:tc>
          <w:tcPr>
            <w:tcW w:w="16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Warrants</w:t>
            </w:r>
          </w:p>
        </w:tc>
        <w:tc>
          <w:tcPr>
            <w:tcW w:w="160" w:type="dxa"/>
            <w:vAlign w:val="bottom"/>
            <w:vMerge w:val="continue"/>
            <w:shd w:val="clear" w:color="auto" w:fill="CCEEFF"/>
          </w:tcPr>
          <w:p>
            <w:pPr>
              <w:spacing w:after="0"/>
              <w:rPr>
                <w:sz w:val="10"/>
                <w:szCs w:val="10"/>
                <w:color w:val="auto"/>
              </w:rPr>
            </w:pPr>
          </w:p>
        </w:tc>
        <w:tc>
          <w:tcPr>
            <w:tcW w:w="68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Equity</w:t>
            </w:r>
          </w:p>
        </w:tc>
        <w:tc>
          <w:tcPr>
            <w:tcW w:w="160" w:type="dxa"/>
            <w:vAlign w:val="bottom"/>
            <w:vMerge w:val="continue"/>
            <w:shd w:val="clear" w:color="auto" w:fill="CCEEFF"/>
          </w:tcPr>
          <w:p>
            <w:pPr>
              <w:spacing w:after="0"/>
              <w:rPr>
                <w:sz w:val="10"/>
                <w:szCs w:val="10"/>
                <w:color w:val="auto"/>
              </w:rPr>
            </w:pPr>
          </w:p>
        </w:tc>
        <w:tc>
          <w:tcPr>
            <w:tcW w:w="1020" w:type="dxa"/>
            <w:vAlign w:val="bottom"/>
            <w:tcBorders>
              <w:right w:val="single" w:sz="8" w:color="CCEEFF"/>
            </w:tcBorders>
            <w:gridSpan w:val="2"/>
            <w:shd w:val="clear" w:color="auto" w:fill="CCEEFF"/>
          </w:tcPr>
          <w:p>
            <w:pPr>
              <w:jc w:val="right"/>
              <w:ind w:right="200"/>
              <w:spacing w:after="0" w:line="115" w:lineRule="exact"/>
              <w:rPr>
                <w:sz w:val="20"/>
                <w:szCs w:val="20"/>
                <w:color w:val="auto"/>
              </w:rPr>
            </w:pPr>
            <w:r>
              <w:rPr>
                <w:rFonts w:ascii="Arial" w:cs="Arial" w:eastAsia="Arial" w:hAnsi="Arial"/>
                <w:sz w:val="11"/>
                <w:szCs w:val="11"/>
                <w:color w:val="auto"/>
              </w:rPr>
              <w:t>0.00%</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vMerge w:val="continue"/>
            <w:shd w:val="clear" w:color="auto" w:fill="CCEEFF"/>
          </w:tcPr>
          <w:p>
            <w:pPr>
              <w:spacing w:after="0"/>
              <w:rPr>
                <w:sz w:val="10"/>
                <w:szCs w:val="10"/>
                <w:color w:val="auto"/>
              </w:rPr>
            </w:pPr>
          </w:p>
        </w:tc>
        <w:tc>
          <w:tcPr>
            <w:tcW w:w="8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140" w:type="dxa"/>
            <w:vAlign w:val="bottom"/>
            <w:vMerge w:val="continue"/>
            <w:shd w:val="clear" w:color="auto" w:fill="CCEEFF"/>
          </w:tcPr>
          <w:p>
            <w:pPr>
              <w:spacing w:after="0"/>
              <w:rPr>
                <w:sz w:val="10"/>
                <w:szCs w:val="10"/>
                <w:color w:val="auto"/>
              </w:rPr>
            </w:pPr>
          </w:p>
        </w:tc>
        <w:tc>
          <w:tcPr>
            <w:tcW w:w="100" w:type="dxa"/>
            <w:vAlign w:val="bottom"/>
            <w:shd w:val="clear" w:color="auto" w:fill="CCEEFF"/>
          </w:tcPr>
          <w:p>
            <w:pPr>
              <w:spacing w:after="0" w:line="115" w:lineRule="exact"/>
              <w:rPr>
                <w:sz w:val="20"/>
                <w:szCs w:val="20"/>
                <w:color w:val="auto"/>
              </w:rPr>
            </w:pPr>
            <w:r>
              <w:rPr>
                <w:rFonts w:ascii="Arial" w:cs="Arial" w:eastAsia="Arial" w:hAnsi="Arial"/>
                <w:sz w:val="11"/>
                <w:szCs w:val="11"/>
                <w:color w:val="auto"/>
              </w:rPr>
              <w:t>$</w:t>
            </w:r>
          </w:p>
        </w:tc>
        <w:tc>
          <w:tcPr>
            <w:tcW w:w="680" w:type="dxa"/>
            <w:vAlign w:val="bottom"/>
            <w:shd w:val="clear" w:color="auto" w:fill="CCEEFF"/>
          </w:tcPr>
          <w:p>
            <w:pPr>
              <w:jc w:val="right"/>
              <w:spacing w:after="0" w:line="115" w:lineRule="exact"/>
              <w:rPr>
                <w:sz w:val="20"/>
                <w:szCs w:val="20"/>
                <w:color w:val="auto"/>
              </w:rPr>
            </w:pPr>
            <w:r>
              <w:rPr>
                <w:rFonts w:ascii="Arial" w:cs="Arial" w:eastAsia="Arial" w:hAnsi="Arial"/>
                <w:sz w:val="11"/>
                <w:szCs w:val="11"/>
                <w:color w:val="auto"/>
              </w:rPr>
              <w:t>—</w:t>
            </w:r>
          </w:p>
        </w:tc>
        <w:tc>
          <w:tcPr>
            <w:tcW w:w="80" w:type="dxa"/>
            <w:vAlign w:val="bottom"/>
            <w:vMerge w:val="continue"/>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Network Communications,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Common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Equity</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0.00%</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169,143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169,143</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659,658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OLD AII, Inc (fka Aleris International</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Conglomerate</w:t>
            </w:r>
          </w:p>
        </w:tc>
        <w:tc>
          <w:tcPr>
            <w:tcW w:w="16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Common</w:t>
            </w:r>
          </w:p>
        </w:tc>
        <w:tc>
          <w:tcPr>
            <w:tcW w:w="1000" w:type="dxa"/>
            <w:vAlign w:val="bottom"/>
            <w:gridSpan w:val="3"/>
            <w:shd w:val="clear" w:color="auto" w:fill="CCEEFF"/>
          </w:tcPr>
          <w:p>
            <w:pPr>
              <w:ind w:left="160"/>
              <w:spacing w:after="0" w:line="112" w:lineRule="exact"/>
              <w:rPr>
                <w:sz w:val="20"/>
                <w:szCs w:val="20"/>
                <w:color w:val="auto"/>
              </w:rPr>
            </w:pPr>
            <w:r>
              <w:rPr>
                <w:rFonts w:ascii="Arial" w:cs="Arial" w:eastAsia="Arial" w:hAnsi="Arial"/>
                <w:sz w:val="11"/>
                <w:szCs w:val="11"/>
                <w:color w:val="auto"/>
              </w:rPr>
              <w:t>Equity</w:t>
            </w:r>
          </w:p>
        </w:tc>
        <w:tc>
          <w:tcPr>
            <w:tcW w:w="74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Inc.)</w:t>
            </w:r>
          </w:p>
        </w:tc>
        <w:tc>
          <w:tcPr>
            <w:tcW w:w="1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0.00%</w:t>
            </w: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2,624</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224,656</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128,576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PATS Aircraft, LLC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Common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Equity</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0.00%</w:t>
            </w: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51,813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282,326</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282,329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SuperMedia Inc. (fka Idearc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Publishing</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Common Stock</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Equity</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0.00%</w:t>
            </w:r>
          </w:p>
        </w:tc>
        <w:tc>
          <w:tcPr>
            <w:tcW w:w="7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10,821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28,784</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5,411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Academy, LTD.</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Retailers (Except Food and Drugs)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Initial Term Loan (2012)</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4.75%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8/3/2018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1,980,037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1,966,002</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2,000,927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ACCO Brands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B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4.25%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5/1/2019</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351,944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348,847</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354,584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Acosta,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D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4,183,659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4,120,774</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4,216,082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Aderant North America,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Loan (First Lien)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6.25%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12/20/2018</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3,500,000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3,495,662</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3,552,500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Aeroflex Incorporated</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Tranche B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5.75%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5/9/2018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3,345,517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3,333,081</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3,369,204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Alcatel-Lucent USA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Telecommunications/Cellular</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US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0.00%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1/30/2019</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1,075,000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1,069,625</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1,087,008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Alere Inc. (fka IM US Holdings, LLC)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Incremental B-1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4.75%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6/30/2017</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1,980,000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1,941,348</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1,999,444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Aptalis Pharma, Inc. (fka Axcan</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Drugs</w:t>
            </w:r>
          </w:p>
        </w:tc>
        <w:tc>
          <w:tcPr>
            <w:tcW w:w="16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Term B-1 Loan</w:t>
            </w:r>
          </w:p>
        </w:tc>
        <w:tc>
          <w:tcPr>
            <w:tcW w:w="1000" w:type="dxa"/>
            <w:vAlign w:val="bottom"/>
            <w:gridSpan w:val="3"/>
            <w:shd w:val="clear" w:color="auto" w:fill="CCEEFF"/>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Intermediate Holdings Inc.)</w:t>
            </w:r>
          </w:p>
        </w:tc>
        <w:tc>
          <w:tcPr>
            <w:tcW w:w="1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5.50%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2/10/2017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1,960,000</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1,953,535</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1,963,920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Aramark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LC-2 Facility</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3.45%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79,187</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79,187</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79,600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LC-3 Facility</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3.45%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43,961</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43,961</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44,190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Aramark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U.S. Term B Loan (Extending)</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3.45%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1,204,093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1,204,093</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1,210,366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Aramark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U.S. Term C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3.52%</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7/26/2016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2,545,700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2,545,700</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2,558,963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Armstrong World Industries,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Building and Development</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Loan B-1</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4.00%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3/10/2018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2,122,931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2,109,740</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2,124,268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3"/>
              </w:rPr>
              <w:t>Asurion, LLC (fka Asurion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Insurance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Amortizing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4.75%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7/23/2017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968,750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960,226</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973,594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w w:val="93"/>
              </w:rPr>
              <w:t>Asurion, LLC (fka Asurion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Insurance</w:t>
            </w:r>
          </w:p>
        </w:tc>
        <w:tc>
          <w:tcPr>
            <w:tcW w:w="1600" w:type="dxa"/>
            <w:vAlign w:val="bottom"/>
          </w:tcPr>
          <w:p>
            <w:pPr>
              <w:spacing w:after="0" w:line="122" w:lineRule="exact"/>
              <w:rPr>
                <w:sz w:val="20"/>
                <w:szCs w:val="20"/>
                <w:color w:val="auto"/>
              </w:rPr>
            </w:pPr>
            <w:r>
              <w:rPr>
                <w:rFonts w:ascii="Arial" w:cs="Arial" w:eastAsia="Arial" w:hAnsi="Arial"/>
                <w:sz w:val="11"/>
                <w:szCs w:val="11"/>
                <w:color w:val="auto"/>
                <w:w w:val="89"/>
              </w:rPr>
              <w:t>Incremental Tranche B-1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4.50%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5/24/2019</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5,659,091</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5,602,698</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5,674,144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Auction.Com,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Loan A-4</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4.96%</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8/30/2016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1,018,699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1,017,479</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1,013,606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Aurora Diagnostics, LLC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Tranche B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6.25%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5/26/2016</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3,188,889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3,198,281</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3,077,278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Autotrader.com,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Automotive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Tranche B-1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4.00%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12/15/2016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3,830,768</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3,830,768</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3,853,522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tcPr>
          <w:p>
            <w:pPr>
              <w:spacing w:after="0" w:line="112" w:lineRule="exact"/>
              <w:rPr>
                <w:sz w:val="20"/>
                <w:szCs w:val="20"/>
                <w:color w:val="auto"/>
              </w:rPr>
            </w:pPr>
            <w:r>
              <w:rPr>
                <w:rFonts w:ascii="Arial" w:cs="Arial" w:eastAsia="Arial" w:hAnsi="Arial"/>
                <w:sz w:val="11"/>
                <w:szCs w:val="11"/>
                <w:color w:val="auto"/>
              </w:rPr>
              <w:t>Avantor Performance Materials</w:t>
            </w:r>
          </w:p>
        </w:tc>
        <w:tc>
          <w:tcPr>
            <w:tcW w:w="1900" w:type="dxa"/>
            <w:vAlign w:val="bottom"/>
            <w:gridSpan w:val="3"/>
          </w:tcPr>
          <w:p>
            <w:pPr>
              <w:ind w:left="140"/>
              <w:spacing w:after="0" w:line="112" w:lineRule="exact"/>
              <w:rPr>
                <w:sz w:val="20"/>
                <w:szCs w:val="20"/>
                <w:color w:val="auto"/>
              </w:rPr>
            </w:pPr>
            <w:r>
              <w:rPr>
                <w:rFonts w:ascii="Arial" w:cs="Arial" w:eastAsia="Arial" w:hAnsi="Arial"/>
                <w:sz w:val="11"/>
                <w:szCs w:val="11"/>
                <w:color w:val="auto"/>
              </w:rPr>
              <w:t>Chemicals/Plastics</w:t>
            </w: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Term Loan</w:t>
            </w:r>
          </w:p>
        </w:tc>
        <w:tc>
          <w:tcPr>
            <w:tcW w:w="1000" w:type="dxa"/>
            <w:vAlign w:val="bottom"/>
            <w:gridSpan w:val="3"/>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gridSpan w:val="2"/>
          </w:tcPr>
          <w:p>
            <w:pPr>
              <w:ind w:left="160"/>
              <w:spacing w:after="0"/>
              <w:rPr>
                <w:sz w:val="20"/>
                <w:szCs w:val="20"/>
                <w:color w:val="auto"/>
              </w:rPr>
            </w:pPr>
            <w:r>
              <w:rPr>
                <w:rFonts w:ascii="Arial" w:cs="Arial" w:eastAsia="Arial" w:hAnsi="Arial"/>
                <w:sz w:val="11"/>
                <w:szCs w:val="11"/>
                <w:color w:val="auto"/>
              </w:rPr>
              <w:t>Holdings, Inc.</w:t>
            </w: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5.25%</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6/24/2017</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1"/>
                <w:szCs w:val="1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4,925,000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4,907,124</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4,925,000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AZ Chem US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5.25%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12/22/2017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1,570,579</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1,532,447</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1,585,170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Biomet,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Dollar Term B-1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4.00%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7/25/2017</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1,990,013</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1,990,013</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2,003,445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4"/>
              </w:rPr>
              <w:t>Bombardier Recreational Products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Leisure Goods/Activities/Movies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B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5.00%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1/30/2019</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1,000,000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990,101</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1,007,500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Brock Holdings III,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Industrial Equipment</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Loan (First Lien)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0.00%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3/16/2017</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2,000,000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2,022,500</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2,013,340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Burlington Coat Factory Warehouse</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Retailers (Except Food and Drugs)</w:t>
            </w:r>
          </w:p>
        </w:tc>
        <w:tc>
          <w:tcPr>
            <w:tcW w:w="16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Term B-1 Loan</w:t>
            </w:r>
          </w:p>
        </w:tc>
        <w:tc>
          <w:tcPr>
            <w:tcW w:w="1000" w:type="dxa"/>
            <w:vAlign w:val="bottom"/>
            <w:gridSpan w:val="3"/>
            <w:shd w:val="clear" w:color="auto" w:fill="CCEEFF"/>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Corporation</w:t>
            </w:r>
          </w:p>
        </w:tc>
        <w:tc>
          <w:tcPr>
            <w:tcW w:w="1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5.50%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2/23/2017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2,776,843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2,767,803</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2,802,306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C.H.I. Overhead Doors, Inc. (CHI)</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Home Furnishings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Loan (First Lien)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7.25%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8/17/2017</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2,976,290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2,931,556</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2,983,730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7"/>
              </w:rPr>
              <w:t>Camp International Holding Company</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w w:val="94"/>
              </w:rPr>
              <w:t>Refinanced Term Loan (First Lien)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5.25%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5/31/2019</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997,500</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988,136</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1,005,400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Capital Automotive L.P.</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Tranche B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5.25%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3/11/2017</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2,811,086</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2,817,777</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2,823,961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Capstone Logistics,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Note A</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7.50%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9/16/2016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2,699,305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2,669,394</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2,658,816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Capsugel Holdings US,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Drugs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Initial Term Loan (New)</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4.75%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8/1/2018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3,605,198</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3,595,976</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3,641,214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Celanese US Holdings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Dollar Term C Loan (Extended)</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3.06%</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10/31/2016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2,198,534</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2,219,212</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2,208,911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Cenveo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Publishing</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B Facility</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7.00%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12/21/2016</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2,437,399</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2,421,925</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2,444,516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89"/>
              </w:rPr>
              <w:t>Charter Communications Operating,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Cable and Satellite Television</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C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3.46%</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9/6/2016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2,047,547</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2,044,048</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2,057,785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w w:val="89"/>
              </w:rPr>
              <w:t>Charter Communications Operating, LLC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Cable and Satellite Television</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D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4.00%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5/15/2019</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1,985,000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1,976,313</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2,000,503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4"/>
              </w:rPr>
              <w:t>CHS/ Community Health Systems,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Extended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3.79%</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1/25/2017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4,064,516</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3,963,653</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4,090,935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Cinedigm Digital Funding I, LLC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5.75%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2/28/2018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1,066,260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1,059,429</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1,068,925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Contec,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Electronics/Electric</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Second Lien Term Notes</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10.00%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11/2/2016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401,202</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2,400,891</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2,578,210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Covanta Energy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Ecological Services and Equipment</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4.00%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3/28/2019</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496,250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494,095</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501,833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CPI International Acquisition, Inc. (f/k/a</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Electronics/Electric</w:t>
            </w:r>
          </w:p>
        </w:tc>
        <w:tc>
          <w:tcPr>
            <w:tcW w:w="16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Term B Loan</w:t>
            </w:r>
          </w:p>
        </w:tc>
        <w:tc>
          <w:tcPr>
            <w:tcW w:w="1000" w:type="dxa"/>
            <w:vAlign w:val="bottom"/>
            <w:gridSpan w:val="3"/>
            <w:shd w:val="clear" w:color="auto" w:fill="CCEEFF"/>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Catalyst Holdings, Inc.)</w:t>
            </w:r>
          </w:p>
        </w:tc>
        <w:tc>
          <w:tcPr>
            <w:tcW w:w="1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5.00%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2/13/2017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4,805,833</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4,789,964</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4,829,862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Crown Castle Operating Company</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Telecommunications/Cellular</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Tranche B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4.00%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1/31/2019</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1,980,000</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1,963,120</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1,989,484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Dollar Loan (First Lien)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6.25%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12/19/2017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8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795,675</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20" w:type="dxa"/>
            <w:vAlign w:val="bottom"/>
            <w:gridSpan w:val="2"/>
            <w:shd w:val="clear" w:color="auto" w:fill="CCEEFF"/>
          </w:tcPr>
          <w:p>
            <w:pPr>
              <w:jc w:val="right"/>
              <w:ind w:right="140"/>
              <w:spacing w:after="0" w:line="122" w:lineRule="exact"/>
              <w:rPr>
                <w:sz w:val="20"/>
                <w:szCs w:val="20"/>
                <w:color w:val="auto"/>
              </w:rPr>
            </w:pPr>
            <w:r>
              <w:rPr>
                <w:rFonts w:ascii="Arial" w:cs="Arial" w:eastAsia="Arial" w:hAnsi="Arial"/>
                <w:sz w:val="11"/>
                <w:szCs w:val="11"/>
                <w:color w:val="auto"/>
              </w:rPr>
              <w:t>732,459</w:t>
            </w: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729,372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Culligan International Company</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Dollar Loan (Second Lien)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9.50%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6/19/2018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8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783,162</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720,189</w:t>
            </w: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604,343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9"/>
              </w:rPr>
              <w:t>DaVita HealthCare Partners Inc. (fka</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Tranche B Term Loan</w:t>
            </w:r>
          </w:p>
        </w:tc>
        <w:tc>
          <w:tcPr>
            <w:tcW w:w="1000" w:type="dxa"/>
            <w:vAlign w:val="bottom"/>
            <w:gridSpan w:val="3"/>
            <w:shd w:val="clear" w:color="auto" w:fill="CCEEFF"/>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DaVita Inc.)</w:t>
            </w:r>
          </w:p>
        </w:tc>
        <w:tc>
          <w:tcPr>
            <w:tcW w:w="1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4.50%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10/20/2016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3,949,622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3,949,622</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3,977,822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00" w:type="dxa"/>
            <w:vAlign w:val="bottom"/>
            <w:gridSpan w:val="2"/>
          </w:tcPr>
          <w:p>
            <w:pPr>
              <w:spacing w:after="0"/>
              <w:rPr>
                <w:sz w:val="20"/>
                <w:szCs w:val="20"/>
                <w:color w:val="auto"/>
              </w:rPr>
            </w:pPr>
            <w:r>
              <w:rPr>
                <w:rFonts w:ascii="Arial" w:cs="Arial" w:eastAsia="Arial" w:hAnsi="Arial"/>
                <w:sz w:val="11"/>
                <w:szCs w:val="11"/>
                <w:color w:val="auto"/>
              </w:rPr>
              <w:t>DCS Business Services, Inc.</w:t>
            </w:r>
          </w:p>
        </w:tc>
        <w:tc>
          <w:tcPr>
            <w:tcW w:w="1900" w:type="dxa"/>
            <w:vAlign w:val="bottom"/>
            <w:gridSpan w:val="3"/>
          </w:tcPr>
          <w:p>
            <w:pPr>
              <w:ind w:left="140"/>
              <w:spacing w:after="0"/>
              <w:rPr>
                <w:sz w:val="20"/>
                <w:szCs w:val="20"/>
                <w:color w:val="auto"/>
              </w:rPr>
            </w:pPr>
            <w:r>
              <w:rPr>
                <w:rFonts w:ascii="Arial" w:cs="Arial" w:eastAsia="Arial" w:hAnsi="Arial"/>
                <w:sz w:val="11"/>
                <w:szCs w:val="11"/>
                <w:color w:val="auto"/>
              </w:rPr>
              <w:t>Financial Intermediaries</w:t>
            </w:r>
          </w:p>
        </w:tc>
        <w:tc>
          <w:tcPr>
            <w:tcW w:w="1600" w:type="dxa"/>
            <w:vAlign w:val="bottom"/>
          </w:tcPr>
          <w:p>
            <w:pPr>
              <w:spacing w:after="0"/>
              <w:rPr>
                <w:sz w:val="20"/>
                <w:szCs w:val="20"/>
                <w:color w:val="auto"/>
              </w:rPr>
            </w:pPr>
            <w:r>
              <w:rPr>
                <w:rFonts w:ascii="Arial" w:cs="Arial" w:eastAsia="Arial" w:hAnsi="Arial"/>
                <w:sz w:val="11"/>
                <w:szCs w:val="11"/>
                <w:color w:val="auto"/>
              </w:rPr>
              <w:t>Term B Loan</w:t>
            </w:r>
          </w:p>
        </w:tc>
        <w:tc>
          <w:tcPr>
            <w:tcW w:w="1000" w:type="dxa"/>
            <w:vAlign w:val="bottom"/>
            <w:gridSpan w:val="3"/>
          </w:tcPr>
          <w:p>
            <w:pPr>
              <w:ind w:left="160"/>
              <w:spacing w:after="0"/>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7.25%</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3/19/2018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1"/>
                <w:szCs w:val="11"/>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1"/>
                <w:szCs w:val="11"/>
                <w:color w:val="auto"/>
              </w:rPr>
              <w:t>3,970,010</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3,919,904</w:t>
            </w: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3,910,460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40" w:type="dxa"/>
            <w:vAlign w:val="bottom"/>
            <w:gridSpan w:val="2"/>
          </w:tcPr>
          <w:p>
            <w:pPr>
              <w:jc w:val="center"/>
              <w:ind w:right="1"/>
              <w:spacing w:after="0"/>
              <w:rPr>
                <w:sz w:val="20"/>
                <w:szCs w:val="20"/>
                <w:color w:val="auto"/>
              </w:rPr>
            </w:pPr>
            <w:r>
              <w:rPr>
                <w:rFonts w:ascii="Arial" w:cs="Arial" w:eastAsia="Arial" w:hAnsi="Arial"/>
                <w:sz w:val="18"/>
                <w:szCs w:val="18"/>
                <w:color w:val="auto"/>
                <w:w w:val="89"/>
              </w:rPr>
              <w:t>26</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54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2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60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740" w:type="dxa"/>
            <w:vAlign w:val="bottom"/>
            <w:tcBorders>
              <w:bottom w:val="single" w:sz="8" w:color="010101"/>
            </w:tcBorders>
          </w:tcPr>
          <w:p>
            <w:pPr>
              <w:spacing w:after="0"/>
              <w:rPr>
                <w:sz w:val="11"/>
                <w:szCs w:val="11"/>
                <w:color w:val="auto"/>
              </w:rPr>
            </w:pPr>
          </w:p>
        </w:tc>
        <w:tc>
          <w:tcPr>
            <w:tcW w:w="16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260" w:type="dxa"/>
            <w:vAlign w:val="bottom"/>
            <w:tcBorders>
              <w:bottom w:val="single" w:sz="8" w:color="010101"/>
            </w:tcBorders>
          </w:tcPr>
          <w:p>
            <w:pPr>
              <w:spacing w:after="0"/>
              <w:rPr>
                <w:sz w:val="11"/>
                <w:szCs w:val="11"/>
                <w:color w:val="auto"/>
              </w:rPr>
            </w:pPr>
          </w:p>
        </w:tc>
        <w:tc>
          <w:tcPr>
            <w:tcW w:w="90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8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82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Del Monte Foods Company</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Food Products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Initial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4.00%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3/8/2018</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4,438,139</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4,473,061</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4,443,687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tcPr>
          <w:p>
            <w:pPr>
              <w:spacing w:after="0" w:line="112" w:lineRule="exact"/>
              <w:rPr>
                <w:sz w:val="20"/>
                <w:szCs w:val="20"/>
                <w:color w:val="auto"/>
              </w:rPr>
            </w:pPr>
            <w:r>
              <w:rPr>
                <w:rFonts w:ascii="Arial" w:cs="Arial" w:eastAsia="Arial" w:hAnsi="Arial"/>
                <w:sz w:val="11"/>
                <w:szCs w:val="11"/>
                <w:color w:val="auto"/>
              </w:rPr>
              <w:t>Delphi Corporation</w:t>
            </w:r>
          </w:p>
        </w:tc>
        <w:tc>
          <w:tcPr>
            <w:tcW w:w="1900" w:type="dxa"/>
            <w:vAlign w:val="bottom"/>
            <w:gridSpan w:val="3"/>
          </w:tcPr>
          <w:p>
            <w:pPr>
              <w:ind w:left="140"/>
              <w:spacing w:after="0" w:line="112" w:lineRule="exact"/>
              <w:rPr>
                <w:sz w:val="20"/>
                <w:szCs w:val="20"/>
                <w:color w:val="auto"/>
              </w:rPr>
            </w:pPr>
            <w:r>
              <w:rPr>
                <w:rFonts w:ascii="Arial" w:cs="Arial" w:eastAsia="Arial" w:hAnsi="Arial"/>
                <w:sz w:val="11"/>
                <w:szCs w:val="11"/>
                <w:color w:val="auto"/>
              </w:rPr>
              <w:t>Electronics/Electric</w:t>
            </w: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Tranche A Term Loan Retired</w:t>
            </w:r>
          </w:p>
        </w:tc>
        <w:tc>
          <w:tcPr>
            <w:tcW w:w="1000" w:type="dxa"/>
            <w:vAlign w:val="bottom"/>
            <w:gridSpan w:val="3"/>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20"/>
                <w:szCs w:val="20"/>
                <w:color w:val="auto"/>
              </w:rPr>
            </w:pPr>
            <w:r>
              <w:rPr>
                <w:rFonts w:ascii="Arial" w:cs="Arial" w:eastAsia="Arial" w:hAnsi="Arial"/>
                <w:sz w:val="11"/>
                <w:szCs w:val="11"/>
                <w:color w:val="auto"/>
              </w:rPr>
              <w:t>03/01/2013</w:t>
            </w: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4.25%</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3/31/2016</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1,683,357</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1,685,403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1,682,650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Digitalglobe,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Ecological Services and Equipment</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0.00%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1/31/2020</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250,000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250,783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DS Waters of America,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Beverage and Tobacco</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Loan (First Lien)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10.50%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8/29/2017</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2,977,500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2,928,511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3,037,050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Dunkin’ Brands,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Food Services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B-3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0.00%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2/14/2020</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4,000,000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3,990,000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3,990,000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DynCorp International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6.25%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7/7/2016</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574,161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567,732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577,606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Education Management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Leisure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Tranche C-2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4.31%</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6/1/2016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3,925,006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3,727,372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3,263,878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vMerge w:val="restart"/>
          </w:tcPr>
          <w:p>
            <w:pPr>
              <w:spacing w:after="0"/>
              <w:rPr>
                <w:sz w:val="10"/>
                <w:szCs w:val="10"/>
                <w:color w:val="auto"/>
              </w:rPr>
            </w:pPr>
          </w:p>
        </w:tc>
        <w:tc>
          <w:tcPr>
            <w:tcW w:w="1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900" w:type="dxa"/>
            <w:vAlign w:val="bottom"/>
            <w:gridSpan w:val="3"/>
          </w:tcPr>
          <w:p>
            <w:pPr>
              <w:spacing w:after="0"/>
              <w:rPr>
                <w:sz w:val="10"/>
                <w:szCs w:val="10"/>
                <w:color w:val="auto"/>
              </w:rPr>
            </w:pPr>
          </w:p>
        </w:tc>
        <w:tc>
          <w:tcPr>
            <w:tcW w:w="1600" w:type="dxa"/>
            <w:vAlign w:val="bottom"/>
          </w:tcPr>
          <w:p>
            <w:pPr>
              <w:spacing w:after="0"/>
              <w:rPr>
                <w:sz w:val="10"/>
                <w:szCs w:val="10"/>
                <w:color w:val="auto"/>
              </w:rPr>
            </w:pPr>
          </w:p>
        </w:tc>
        <w:tc>
          <w:tcPr>
            <w:tcW w:w="1000" w:type="dxa"/>
            <w:vAlign w:val="bottom"/>
            <w:gridSpan w:val="3"/>
          </w:tcPr>
          <w:p>
            <w:pPr>
              <w:spacing w:after="0"/>
              <w:rPr>
                <w:sz w:val="10"/>
                <w:szCs w:val="10"/>
                <w:color w:val="auto"/>
              </w:rPr>
            </w:pPr>
          </w:p>
        </w:tc>
        <w:tc>
          <w:tcPr>
            <w:tcW w:w="7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eInstruction Corporation</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Goods/Activities/Movies</w:t>
            </w:r>
          </w:p>
        </w:tc>
        <w:tc>
          <w:tcPr>
            <w:tcW w:w="16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Initial Term Loan</w:t>
            </w:r>
          </w:p>
        </w:tc>
        <w:tc>
          <w:tcPr>
            <w:tcW w:w="1000" w:type="dxa"/>
            <w:vAlign w:val="bottom"/>
            <w:gridSpan w:val="3"/>
            <w:shd w:val="clear" w:color="auto" w:fill="CCEEFF"/>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900" w:type="dxa"/>
            <w:vAlign w:val="bottom"/>
            <w:gridSpan w:val="3"/>
            <w:shd w:val="clear" w:color="auto" w:fill="CCEEFF"/>
          </w:tcPr>
          <w:p>
            <w:pPr>
              <w:ind w:left="140"/>
              <w:spacing w:after="0"/>
              <w:rPr>
                <w:sz w:val="20"/>
                <w:szCs w:val="20"/>
                <w:color w:val="auto"/>
              </w:rPr>
            </w:pPr>
            <w:r>
              <w:rPr>
                <w:rFonts w:ascii="Arial" w:cs="Arial" w:eastAsia="Arial" w:hAnsi="Arial"/>
                <w:sz w:val="11"/>
                <w:szCs w:val="11"/>
                <w:color w:val="auto"/>
              </w:rPr>
              <w:t>Electronics/Electric</w:t>
            </w:r>
          </w:p>
        </w:tc>
        <w:tc>
          <w:tcPr>
            <w:tcW w:w="16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0.00%</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7/2/2013</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2,997,722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2,931,236</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899,317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w w:val="90"/>
              </w:rPr>
              <w:t>Electrical Components International,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Electronics/Electric</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Synthetic Revolving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6.75%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2/4/2016</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117,647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116,611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117,647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0"/>
              </w:rPr>
              <w:t>Electrical Components International,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Electronics/Electric</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6.75%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2/4/2017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1,786,475</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1,768,892</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1,786,475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Evergreen Acqco 1 LP</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Retailers (Except Food and Drugs)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New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5.00%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7/9/2019</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497,503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492,828</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501,702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Federal-Mogul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Automotive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Tranche B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2.14%</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12/29/2014</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2,589,036</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2,498,894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2,467,351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Federal-Mogul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Automotive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Tranche C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2.14%</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12/28/2015</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1,320,937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1,264,234</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1,258,853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First Data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Financial Intermediaries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2017 Dollar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5.20%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3/24/2017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2,111,028</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2,027,434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2,111,914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First Data Corporation</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Financial Intermediaries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2018 Dollar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4.20%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3/23/2018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2,290,451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2,216,829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2,261,591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Freescale Semiconductor, Inc.</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Electronics/Electric</w:t>
            </w:r>
          </w:p>
        </w:tc>
        <w:tc>
          <w:tcPr>
            <w:tcW w:w="16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Tranche B-1 Term Loan Retired</w:t>
            </w:r>
          </w:p>
        </w:tc>
        <w:tc>
          <w:tcPr>
            <w:tcW w:w="1000" w:type="dxa"/>
            <w:vAlign w:val="bottom"/>
            <w:gridSpan w:val="3"/>
            <w:shd w:val="clear" w:color="auto" w:fill="CCEEFF"/>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1"/>
                <w:szCs w:val="11"/>
                <w:color w:val="auto"/>
              </w:rPr>
              <w:t>03/01/2013</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4.45%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12/1/2016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2,534,348</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2,450,139</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2,535,945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FTD Group,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Retailers (Except Food and Drugs)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Initial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4.75%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6/11/2018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3,715,723</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3,683,533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3,715,723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Generac Power Systems,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Industrial Equipment</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6.25%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5/30/2018</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906,111</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890,154</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923,590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General Nutrition Centers,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Retailers (Except Food and Drugs)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Amended Tranche B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3.75%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3/2/2018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4,746,591</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4,757,841</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4,774,548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Global Tel*Link Corporation</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Business Equipment and Services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Replacement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6.00%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12/14/2017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1,964,912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1,960,077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1,967,368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w w:val="91"/>
              </w:rPr>
              <w:t>Goodyear Tire &amp; Rubber Company, The</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Loan (Second Lien)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4.75%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4/30/2019</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4,000,000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3,929,629</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4,015,000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Grifols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Drugs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New U.S. Tranche B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4.25%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6/1/2017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3,465,982</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3,457,357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3,481,371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tcPr>
          <w:p>
            <w:pPr>
              <w:spacing w:after="0" w:line="112" w:lineRule="exact"/>
              <w:rPr>
                <w:sz w:val="20"/>
                <w:szCs w:val="20"/>
                <w:color w:val="auto"/>
              </w:rPr>
            </w:pPr>
            <w:r>
              <w:rPr>
                <w:rFonts w:ascii="Arial" w:cs="Arial" w:eastAsia="Arial" w:hAnsi="Arial"/>
                <w:sz w:val="11"/>
                <w:szCs w:val="11"/>
                <w:color w:val="auto"/>
              </w:rPr>
              <w:t>Grosvenor Capital Management</w:t>
            </w:r>
          </w:p>
        </w:tc>
        <w:tc>
          <w:tcPr>
            <w:tcW w:w="1900" w:type="dxa"/>
            <w:vAlign w:val="bottom"/>
            <w:gridSpan w:val="3"/>
          </w:tcPr>
          <w:p>
            <w:pPr>
              <w:ind w:left="140"/>
              <w:spacing w:after="0" w:line="112" w:lineRule="exact"/>
              <w:rPr>
                <w:sz w:val="20"/>
                <w:szCs w:val="20"/>
                <w:color w:val="auto"/>
              </w:rPr>
            </w:pPr>
            <w:r>
              <w:rPr>
                <w:rFonts w:ascii="Arial" w:cs="Arial" w:eastAsia="Arial" w:hAnsi="Arial"/>
                <w:sz w:val="11"/>
                <w:szCs w:val="11"/>
                <w:color w:val="auto"/>
                <w:w w:val="98"/>
              </w:rPr>
              <w:t>Brokers/Dealers/Investment Houses</w:t>
            </w: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Tranche C Term Loan</w:t>
            </w:r>
          </w:p>
        </w:tc>
        <w:tc>
          <w:tcPr>
            <w:tcW w:w="1000" w:type="dxa"/>
            <w:vAlign w:val="bottom"/>
            <w:gridSpan w:val="3"/>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gridSpan w:val="2"/>
          </w:tcPr>
          <w:p>
            <w:pPr>
              <w:ind w:left="160"/>
              <w:spacing w:after="0"/>
              <w:rPr>
                <w:sz w:val="20"/>
                <w:szCs w:val="20"/>
                <w:color w:val="auto"/>
              </w:rPr>
            </w:pPr>
            <w:r>
              <w:rPr>
                <w:rFonts w:ascii="Arial" w:cs="Arial" w:eastAsia="Arial" w:hAnsi="Arial"/>
                <w:sz w:val="11"/>
                <w:szCs w:val="11"/>
                <w:color w:val="auto"/>
              </w:rPr>
              <w:t>Holdings, LLLP</w:t>
            </w: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4.25%</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12/5/2016</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3,336,378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3,252,391</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3,311,355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Hanger Orthopedic Group,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C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4.00%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12/1/2016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3,910,667</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3,920,277</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3,925,332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HCA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Tranche B-3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3.45%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5/1/2018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5,734,690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5,440,293</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5,764,912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9"/>
              </w:rPr>
              <w:t>Health Management Associates,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Term B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4.50%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11/16/2018</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2,970,000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2,945,366</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2,993,344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Hertz Corporation, The</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Automotive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Tranche B-1 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0.00%</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3/11/2018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3,000,000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3,045,000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3,045,000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HIBU PLC (fka Yell Group PLC)</w:t>
            </w:r>
          </w:p>
        </w:tc>
        <w:tc>
          <w:tcPr>
            <w:tcW w:w="1900" w:type="dxa"/>
            <w:vAlign w:val="bottom"/>
            <w:gridSpan w:val="3"/>
            <w:shd w:val="clear" w:color="auto" w:fill="CCEEFF"/>
          </w:tcPr>
          <w:p>
            <w:pPr>
              <w:ind w:left="140"/>
              <w:spacing w:after="0" w:line="112" w:lineRule="exact"/>
              <w:rPr>
                <w:sz w:val="20"/>
                <w:szCs w:val="20"/>
                <w:color w:val="auto"/>
              </w:rPr>
            </w:pPr>
            <w:r>
              <w:rPr>
                <w:rFonts w:ascii="Arial" w:cs="Arial" w:eastAsia="Arial" w:hAnsi="Arial"/>
                <w:sz w:val="11"/>
                <w:szCs w:val="11"/>
                <w:color w:val="auto"/>
              </w:rPr>
              <w:t>Business Equipment and Services</w:t>
            </w:r>
          </w:p>
        </w:tc>
        <w:tc>
          <w:tcPr>
            <w:tcW w:w="1600" w:type="dxa"/>
            <w:vAlign w:val="bottom"/>
            <w:shd w:val="clear" w:color="auto" w:fill="CCEEFF"/>
          </w:tcPr>
          <w:p>
            <w:pPr>
              <w:spacing w:after="0" w:line="112" w:lineRule="exact"/>
              <w:rPr>
                <w:sz w:val="20"/>
                <w:szCs w:val="20"/>
                <w:color w:val="auto"/>
              </w:rPr>
            </w:pPr>
            <w:r>
              <w:rPr>
                <w:rFonts w:ascii="Arial" w:cs="Arial" w:eastAsia="Arial" w:hAnsi="Arial"/>
                <w:sz w:val="11"/>
                <w:szCs w:val="11"/>
                <w:color w:val="auto"/>
              </w:rPr>
              <w:t>Facility B1 - YB (USA) LLC</w:t>
            </w:r>
          </w:p>
        </w:tc>
        <w:tc>
          <w:tcPr>
            <w:tcW w:w="1000" w:type="dxa"/>
            <w:vAlign w:val="bottom"/>
            <w:gridSpan w:val="3"/>
            <w:shd w:val="clear" w:color="auto" w:fill="CCEEFF"/>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shd w:val="clear" w:color="auto" w:fill="CCEEFF"/>
          </w:tcPr>
          <w:p>
            <w:pPr>
              <w:spacing w:after="0"/>
              <w:rPr>
                <w:sz w:val="9"/>
                <w:szCs w:val="9"/>
                <w:color w:val="auto"/>
              </w:rPr>
            </w:pPr>
          </w:p>
        </w:tc>
        <w:tc>
          <w:tcPr>
            <w:tcW w:w="280" w:type="dxa"/>
            <w:vAlign w:val="bottom"/>
            <w:tcBorders>
              <w:right w:val="single" w:sz="8" w:color="CCEEFF"/>
            </w:tcBorders>
            <w:shd w:val="clear" w:color="auto" w:fill="CCEEFF"/>
          </w:tcPr>
          <w:p>
            <w:pPr>
              <w:spacing w:after="0"/>
              <w:rPr>
                <w:sz w:val="9"/>
                <w:szCs w:val="9"/>
                <w:color w:val="auto"/>
              </w:rPr>
            </w:pPr>
          </w:p>
        </w:tc>
        <w:tc>
          <w:tcPr>
            <w:tcW w:w="74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90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6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0" w:type="dxa"/>
            <w:vAlign w:val="bottom"/>
            <w:shd w:val="clear" w:color="auto" w:fill="CCEEFF"/>
          </w:tcPr>
          <w:p>
            <w:pPr>
              <w:spacing w:after="0"/>
              <w:rPr>
                <w:sz w:val="20"/>
                <w:szCs w:val="20"/>
                <w:color w:val="auto"/>
              </w:rPr>
            </w:pPr>
            <w:r>
              <w:rPr>
                <w:rFonts w:ascii="Arial" w:cs="Arial" w:eastAsia="Arial" w:hAnsi="Arial"/>
                <w:sz w:val="11"/>
                <w:szCs w:val="11"/>
                <w:color w:val="auto"/>
              </w:rPr>
              <w:t>(11/2009)</w:t>
            </w:r>
          </w:p>
        </w:tc>
        <w:tc>
          <w:tcPr>
            <w:tcW w:w="16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2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1"/>
                <w:szCs w:val="11"/>
                <w:color w:val="auto"/>
              </w:rPr>
              <w:t>3.95%</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1"/>
                <w:szCs w:val="11"/>
                <w:color w:val="auto"/>
              </w:rPr>
              <w:t>7/31/2014</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1"/>
                <w:szCs w:val="11"/>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3,030,606</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2,983,167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1"/>
                <w:szCs w:val="11"/>
                <w:color w:val="auto"/>
              </w:rPr>
              <w:t>530,356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HMH Holdings (Delaware)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Conglomerate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Loan (Exit Facility)</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7.25%</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5/22/2018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992,500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974,925</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997,463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Hologic, Inc.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Healthcare</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Tranche A Term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3.20%</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8/1/2017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2,437,500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2,432,069</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2,439,328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tcPr>
          <w:p>
            <w:pPr>
              <w:spacing w:after="0" w:line="122" w:lineRule="exact"/>
              <w:rPr>
                <w:sz w:val="20"/>
                <w:szCs w:val="20"/>
                <w:color w:val="auto"/>
              </w:rPr>
            </w:pPr>
            <w:r>
              <w:rPr>
                <w:rFonts w:ascii="Arial" w:cs="Arial" w:eastAsia="Arial" w:hAnsi="Arial"/>
                <w:sz w:val="11"/>
                <w:szCs w:val="11"/>
                <w:color w:val="auto"/>
              </w:rPr>
              <w:t>Hunter Defense Technologies, Inc.</w:t>
            </w:r>
          </w:p>
        </w:tc>
        <w:tc>
          <w:tcPr>
            <w:tcW w:w="1900" w:type="dxa"/>
            <w:vAlign w:val="bottom"/>
            <w:gridSpan w:val="3"/>
          </w:tcPr>
          <w:p>
            <w:pPr>
              <w:ind w:left="140"/>
              <w:spacing w:after="0" w:line="122" w:lineRule="exact"/>
              <w:rPr>
                <w:sz w:val="20"/>
                <w:szCs w:val="20"/>
                <w:color w:val="auto"/>
              </w:rPr>
            </w:pPr>
            <w:r>
              <w:rPr>
                <w:rFonts w:ascii="Arial" w:cs="Arial" w:eastAsia="Arial" w:hAnsi="Arial"/>
                <w:sz w:val="11"/>
                <w:szCs w:val="11"/>
                <w:color w:val="auto"/>
              </w:rPr>
              <w:t>Aerospace and Defense</w:t>
            </w:r>
          </w:p>
        </w:tc>
        <w:tc>
          <w:tcPr>
            <w:tcW w:w="1600" w:type="dxa"/>
            <w:vAlign w:val="bottom"/>
          </w:tcPr>
          <w:p>
            <w:pPr>
              <w:spacing w:after="0" w:line="122" w:lineRule="exact"/>
              <w:rPr>
                <w:sz w:val="20"/>
                <w:szCs w:val="20"/>
                <w:color w:val="auto"/>
              </w:rPr>
            </w:pPr>
            <w:r>
              <w:rPr>
                <w:rFonts w:ascii="Arial" w:cs="Arial" w:eastAsia="Arial" w:hAnsi="Arial"/>
                <w:sz w:val="11"/>
                <w:szCs w:val="11"/>
                <w:color w:val="auto"/>
              </w:rPr>
              <w:t>Term Loan</w:t>
            </w:r>
          </w:p>
        </w:tc>
        <w:tc>
          <w:tcPr>
            <w:tcW w:w="1000" w:type="dxa"/>
            <w:vAlign w:val="bottom"/>
            <w:gridSpan w:val="3"/>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gridSpan w:val="2"/>
          </w:tcPr>
          <w:p>
            <w:pPr>
              <w:jc w:val="right"/>
              <w:ind w:right="200"/>
              <w:spacing w:after="0" w:line="122" w:lineRule="exact"/>
              <w:rPr>
                <w:sz w:val="20"/>
                <w:szCs w:val="20"/>
                <w:color w:val="auto"/>
              </w:rPr>
            </w:pPr>
            <w:r>
              <w:rPr>
                <w:rFonts w:ascii="Arial" w:cs="Arial" w:eastAsia="Arial" w:hAnsi="Arial"/>
                <w:sz w:val="11"/>
                <w:szCs w:val="11"/>
                <w:color w:val="auto"/>
              </w:rPr>
              <w:t>3.54%</w:t>
            </w:r>
          </w:p>
        </w:tc>
        <w:tc>
          <w:tcPr>
            <w:tcW w:w="900" w:type="dxa"/>
            <w:vAlign w:val="bottom"/>
            <w:gridSpan w:val="2"/>
          </w:tcPr>
          <w:p>
            <w:pPr>
              <w:jc w:val="right"/>
              <w:ind w:right="160"/>
              <w:spacing w:after="0" w:line="122" w:lineRule="exact"/>
              <w:rPr>
                <w:sz w:val="20"/>
                <w:szCs w:val="20"/>
                <w:color w:val="auto"/>
              </w:rPr>
            </w:pPr>
            <w:r>
              <w:rPr>
                <w:rFonts w:ascii="Arial" w:cs="Arial" w:eastAsia="Arial" w:hAnsi="Arial"/>
                <w:sz w:val="11"/>
                <w:szCs w:val="11"/>
                <w:color w:val="auto"/>
              </w:rPr>
              <w:t>8/22/2014</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0"/>
                <w:szCs w:val="10"/>
                <w:color w:val="auto"/>
              </w:rPr>
            </w:pPr>
          </w:p>
        </w:tc>
        <w:tc>
          <w:tcPr>
            <w:tcW w:w="900" w:type="dxa"/>
            <w:vAlign w:val="bottom"/>
          </w:tcPr>
          <w:p>
            <w:pPr>
              <w:jc w:val="right"/>
              <w:spacing w:after="0" w:line="122" w:lineRule="exact"/>
              <w:rPr>
                <w:sz w:val="20"/>
                <w:szCs w:val="20"/>
                <w:color w:val="auto"/>
              </w:rPr>
            </w:pPr>
            <w:r>
              <w:rPr>
                <w:rFonts w:ascii="Arial" w:cs="Arial" w:eastAsia="Arial" w:hAnsi="Arial"/>
                <w:sz w:val="11"/>
                <w:szCs w:val="11"/>
                <w:color w:val="auto"/>
              </w:rPr>
              <w:t>3,679,939</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Arial" w:cs="Arial" w:eastAsia="Arial" w:hAnsi="Arial"/>
                <w:sz w:val="11"/>
                <w:szCs w:val="11"/>
                <w:color w:val="auto"/>
              </w:rPr>
              <w:t>3,647,610</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3,385,544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Huntsman International LLC</w:t>
            </w:r>
          </w:p>
        </w:tc>
        <w:tc>
          <w:tcPr>
            <w:tcW w:w="1900" w:type="dxa"/>
            <w:vAlign w:val="bottom"/>
            <w:gridSpan w:val="3"/>
            <w:shd w:val="clear" w:color="auto" w:fill="CCEEFF"/>
          </w:tcPr>
          <w:p>
            <w:pPr>
              <w:ind w:left="140"/>
              <w:spacing w:after="0" w:line="122" w:lineRule="exact"/>
              <w:rPr>
                <w:sz w:val="20"/>
                <w:szCs w:val="20"/>
                <w:color w:val="auto"/>
              </w:rPr>
            </w:pPr>
            <w:r>
              <w:rPr>
                <w:rFonts w:ascii="Arial" w:cs="Arial" w:eastAsia="Arial" w:hAnsi="Arial"/>
                <w:sz w:val="11"/>
                <w:szCs w:val="11"/>
                <w:color w:val="auto"/>
              </w:rPr>
              <w:t>Chemicals/Plastics</w:t>
            </w:r>
          </w:p>
        </w:tc>
        <w:tc>
          <w:tcPr>
            <w:tcW w:w="1600" w:type="dxa"/>
            <w:vAlign w:val="bottom"/>
            <w:shd w:val="clear" w:color="auto" w:fill="CCEEFF"/>
          </w:tcPr>
          <w:p>
            <w:pPr>
              <w:spacing w:after="0" w:line="122" w:lineRule="exact"/>
              <w:rPr>
                <w:sz w:val="20"/>
                <w:szCs w:val="20"/>
                <w:color w:val="auto"/>
              </w:rPr>
            </w:pPr>
            <w:r>
              <w:rPr>
                <w:rFonts w:ascii="Arial" w:cs="Arial" w:eastAsia="Arial" w:hAnsi="Arial"/>
                <w:sz w:val="11"/>
                <w:szCs w:val="11"/>
                <w:color w:val="auto"/>
              </w:rPr>
              <w:t>Extended Term B Loan</w:t>
            </w:r>
          </w:p>
        </w:tc>
        <w:tc>
          <w:tcPr>
            <w:tcW w:w="1000" w:type="dxa"/>
            <w:vAlign w:val="bottom"/>
            <w:gridSpan w:val="3"/>
            <w:shd w:val="clear" w:color="auto" w:fill="CCEEFF"/>
          </w:tcPr>
          <w:p>
            <w:pPr>
              <w:ind w:left="160"/>
              <w:spacing w:after="0" w:line="122"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2" w:lineRule="exact"/>
              <w:rPr>
                <w:sz w:val="20"/>
                <w:szCs w:val="20"/>
                <w:color w:val="auto"/>
              </w:rPr>
            </w:pPr>
            <w:r>
              <w:rPr>
                <w:rFonts w:ascii="Arial" w:cs="Arial" w:eastAsia="Arial" w:hAnsi="Arial"/>
                <w:sz w:val="11"/>
                <w:szCs w:val="11"/>
                <w:color w:val="auto"/>
              </w:rPr>
              <w:t>2.75%</w:t>
            </w:r>
          </w:p>
        </w:tc>
        <w:tc>
          <w:tcPr>
            <w:tcW w:w="900" w:type="dxa"/>
            <w:vAlign w:val="bottom"/>
            <w:gridSpan w:val="2"/>
            <w:shd w:val="clear" w:color="auto" w:fill="CCEEFF"/>
          </w:tcPr>
          <w:p>
            <w:pPr>
              <w:jc w:val="right"/>
              <w:ind w:right="160"/>
              <w:spacing w:after="0" w:line="122" w:lineRule="exact"/>
              <w:rPr>
                <w:sz w:val="20"/>
                <w:szCs w:val="20"/>
                <w:color w:val="auto"/>
              </w:rPr>
            </w:pPr>
            <w:r>
              <w:rPr>
                <w:rFonts w:ascii="Arial" w:cs="Arial" w:eastAsia="Arial" w:hAnsi="Arial"/>
                <w:sz w:val="11"/>
                <w:szCs w:val="11"/>
                <w:color w:val="auto"/>
              </w:rPr>
              <w:t>4/19/2017</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3,920,000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2" w:lineRule="exact"/>
              <w:rPr>
                <w:sz w:val="20"/>
                <w:szCs w:val="20"/>
                <w:color w:val="auto"/>
              </w:rPr>
            </w:pPr>
            <w:r>
              <w:rPr>
                <w:rFonts w:ascii="Arial" w:cs="Arial" w:eastAsia="Arial" w:hAnsi="Arial"/>
                <w:sz w:val="11"/>
                <w:szCs w:val="11"/>
                <w:color w:val="auto"/>
              </w:rPr>
              <w:t>3,883,690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2" w:lineRule="exact"/>
              <w:rPr>
                <w:sz w:val="20"/>
                <w:szCs w:val="20"/>
                <w:color w:val="auto"/>
              </w:rPr>
            </w:pPr>
            <w:r>
              <w:rPr>
                <w:rFonts w:ascii="Arial" w:cs="Arial" w:eastAsia="Arial" w:hAnsi="Arial"/>
                <w:sz w:val="11"/>
                <w:szCs w:val="11"/>
                <w:color w:val="auto"/>
              </w:rPr>
              <w:t>3,920,000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00" w:type="dxa"/>
            <w:vAlign w:val="bottom"/>
            <w:gridSpan w:val="2"/>
          </w:tcPr>
          <w:p>
            <w:pPr>
              <w:spacing w:after="0" w:line="112" w:lineRule="exact"/>
              <w:rPr>
                <w:sz w:val="20"/>
                <w:szCs w:val="20"/>
                <w:color w:val="auto"/>
              </w:rPr>
            </w:pPr>
            <w:r>
              <w:rPr>
                <w:rFonts w:ascii="Arial" w:cs="Arial" w:eastAsia="Arial" w:hAnsi="Arial"/>
                <w:sz w:val="11"/>
                <w:szCs w:val="11"/>
                <w:color w:val="auto"/>
                <w:w w:val="96"/>
              </w:rPr>
              <w:t>Infor (US), Inc. ((fka Lawson Software</w:t>
            </w:r>
          </w:p>
        </w:tc>
        <w:tc>
          <w:tcPr>
            <w:tcW w:w="1900" w:type="dxa"/>
            <w:vAlign w:val="bottom"/>
            <w:gridSpan w:val="3"/>
          </w:tcPr>
          <w:p>
            <w:pPr>
              <w:ind w:left="140"/>
              <w:spacing w:after="0" w:line="112" w:lineRule="exact"/>
              <w:rPr>
                <w:sz w:val="20"/>
                <w:szCs w:val="20"/>
                <w:color w:val="auto"/>
              </w:rPr>
            </w:pPr>
            <w:r>
              <w:rPr>
                <w:rFonts w:ascii="Arial" w:cs="Arial" w:eastAsia="Arial" w:hAnsi="Arial"/>
                <w:sz w:val="11"/>
                <w:szCs w:val="11"/>
                <w:color w:val="auto"/>
              </w:rPr>
              <w:t>Business Equipment and Services</w:t>
            </w:r>
          </w:p>
        </w:tc>
        <w:tc>
          <w:tcPr>
            <w:tcW w:w="1600" w:type="dxa"/>
            <w:vAlign w:val="bottom"/>
          </w:tcPr>
          <w:p>
            <w:pPr>
              <w:spacing w:after="0" w:line="112" w:lineRule="exact"/>
              <w:rPr>
                <w:sz w:val="20"/>
                <w:szCs w:val="20"/>
                <w:color w:val="auto"/>
              </w:rPr>
            </w:pPr>
            <w:r>
              <w:rPr>
                <w:rFonts w:ascii="Arial" w:cs="Arial" w:eastAsia="Arial" w:hAnsi="Arial"/>
                <w:sz w:val="11"/>
                <w:szCs w:val="11"/>
                <w:color w:val="auto"/>
              </w:rPr>
              <w:t>Tranche B-2 Term Loan</w:t>
            </w:r>
          </w:p>
        </w:tc>
        <w:tc>
          <w:tcPr>
            <w:tcW w:w="1000" w:type="dxa"/>
            <w:vAlign w:val="bottom"/>
            <w:gridSpan w:val="3"/>
          </w:tcPr>
          <w:p>
            <w:pPr>
              <w:ind w:left="160"/>
              <w:spacing w:after="0" w:line="112" w:lineRule="exact"/>
              <w:rPr>
                <w:sz w:val="20"/>
                <w:szCs w:val="20"/>
                <w:color w:val="auto"/>
              </w:rPr>
            </w:pPr>
            <w:r>
              <w:rPr>
                <w:rFonts w:ascii="Arial" w:cs="Arial" w:eastAsia="Arial" w:hAnsi="Arial"/>
                <w:sz w:val="11"/>
                <w:szCs w:val="11"/>
                <w:color w:val="auto"/>
              </w:rPr>
              <w:t>Loan</w:t>
            </w:r>
          </w:p>
        </w:tc>
        <w:tc>
          <w:tcPr>
            <w:tcW w:w="7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00" w:type="dxa"/>
            <w:vAlign w:val="bottom"/>
            <w:gridSpan w:val="2"/>
          </w:tcPr>
          <w:p>
            <w:pPr>
              <w:ind w:left="160"/>
              <w:spacing w:after="0"/>
              <w:rPr>
                <w:sz w:val="20"/>
                <w:szCs w:val="20"/>
                <w:color w:val="auto"/>
              </w:rPr>
            </w:pPr>
            <w:r>
              <w:rPr>
                <w:rFonts w:ascii="Arial" w:cs="Arial" w:eastAsia="Arial" w:hAnsi="Arial"/>
                <w:sz w:val="11"/>
                <w:szCs w:val="11"/>
                <w:color w:val="auto"/>
              </w:rPr>
              <w:t>Inc.)</w:t>
            </w:r>
          </w:p>
        </w:tc>
        <w:tc>
          <w:tcPr>
            <w:tcW w:w="140" w:type="dxa"/>
            <w:vAlign w:val="bottom"/>
          </w:tcPr>
          <w:p>
            <w:pPr>
              <w:spacing w:after="0"/>
              <w:rPr>
                <w:sz w:val="11"/>
                <w:szCs w:val="11"/>
                <w:color w:val="auto"/>
              </w:rPr>
            </w:pPr>
          </w:p>
        </w:tc>
        <w:tc>
          <w:tcPr>
            <w:tcW w:w="1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1"/>
                <w:szCs w:val="11"/>
                <w:color w:val="auto"/>
              </w:rPr>
              <w:t>5.25%</w:t>
            </w:r>
          </w:p>
        </w:tc>
        <w:tc>
          <w:tcPr>
            <w:tcW w:w="900" w:type="dxa"/>
            <w:vAlign w:val="bottom"/>
            <w:gridSpan w:val="2"/>
          </w:tcPr>
          <w:p>
            <w:pPr>
              <w:jc w:val="right"/>
              <w:ind w:right="160"/>
              <w:spacing w:after="0"/>
              <w:rPr>
                <w:sz w:val="20"/>
                <w:szCs w:val="20"/>
                <w:color w:val="auto"/>
              </w:rPr>
            </w:pPr>
            <w:r>
              <w:rPr>
                <w:rFonts w:ascii="Arial" w:cs="Arial" w:eastAsia="Arial" w:hAnsi="Arial"/>
                <w:sz w:val="11"/>
                <w:szCs w:val="11"/>
                <w:color w:val="auto"/>
              </w:rPr>
              <w:t>4/5/2018</w:t>
            </w:r>
          </w:p>
        </w:tc>
        <w:tc>
          <w:tcPr>
            <w:tcW w:w="80" w:type="dxa"/>
            <w:vAlign w:val="bottom"/>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1"/>
                <w:szCs w:val="11"/>
                <w:color w:val="auto"/>
              </w:rPr>
              <w:t>1,990,013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spacing w:after="0"/>
              <w:rPr>
                <w:sz w:val="20"/>
                <w:szCs w:val="20"/>
                <w:color w:val="auto"/>
              </w:rPr>
            </w:pPr>
            <w:r>
              <w:rPr>
                <w:rFonts w:ascii="Arial" w:cs="Arial" w:eastAsia="Arial" w:hAnsi="Arial"/>
                <w:sz w:val="11"/>
                <w:szCs w:val="11"/>
                <w:color w:val="auto"/>
              </w:rPr>
              <w:t>1,971,642</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1"/>
                <w:szCs w:val="11"/>
                <w:color w:val="auto"/>
              </w:rPr>
              <w:t>2,011,166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1800" w:type="dxa"/>
            <w:vAlign w:val="bottom"/>
            <w:gridSpan w:val="2"/>
            <w:shd w:val="clear" w:color="auto" w:fill="CCEEFF"/>
          </w:tcPr>
          <w:p>
            <w:pPr>
              <w:spacing w:after="0" w:line="124" w:lineRule="exact"/>
              <w:rPr>
                <w:sz w:val="20"/>
                <w:szCs w:val="20"/>
                <w:color w:val="auto"/>
              </w:rPr>
            </w:pPr>
            <w:r>
              <w:rPr>
                <w:rFonts w:ascii="Arial" w:cs="Arial" w:eastAsia="Arial" w:hAnsi="Arial"/>
                <w:sz w:val="11"/>
                <w:szCs w:val="11"/>
                <w:color w:val="auto"/>
              </w:rPr>
              <w:t>Inventiv Health, Inc. (fka Ventive</w:t>
            </w:r>
          </w:p>
        </w:tc>
        <w:tc>
          <w:tcPr>
            <w:tcW w:w="1900" w:type="dxa"/>
            <w:vAlign w:val="bottom"/>
            <w:gridSpan w:val="3"/>
            <w:shd w:val="clear" w:color="auto" w:fill="CCEEFF"/>
          </w:tcPr>
          <w:p>
            <w:pPr>
              <w:ind w:left="140"/>
              <w:spacing w:after="0" w:line="124" w:lineRule="exact"/>
              <w:rPr>
                <w:sz w:val="20"/>
                <w:szCs w:val="20"/>
                <w:color w:val="auto"/>
              </w:rPr>
            </w:pPr>
            <w:r>
              <w:rPr>
                <w:rFonts w:ascii="Arial" w:cs="Arial" w:eastAsia="Arial" w:hAnsi="Arial"/>
                <w:sz w:val="11"/>
                <w:szCs w:val="11"/>
                <w:color w:val="auto"/>
              </w:rPr>
              <w:t>Conglomerate</w:t>
            </w:r>
          </w:p>
        </w:tc>
        <w:tc>
          <w:tcPr>
            <w:tcW w:w="1600" w:type="dxa"/>
            <w:vAlign w:val="bottom"/>
            <w:shd w:val="clear" w:color="auto" w:fill="CCEEFF"/>
          </w:tcPr>
          <w:p>
            <w:pPr>
              <w:spacing w:after="0" w:line="124" w:lineRule="exact"/>
              <w:rPr>
                <w:sz w:val="20"/>
                <w:szCs w:val="20"/>
                <w:color w:val="auto"/>
              </w:rPr>
            </w:pPr>
            <w:r>
              <w:rPr>
                <w:rFonts w:ascii="Arial" w:cs="Arial" w:eastAsia="Arial" w:hAnsi="Arial"/>
                <w:sz w:val="11"/>
                <w:szCs w:val="11"/>
                <w:color w:val="auto"/>
              </w:rPr>
              <w:t>Consolidated Term Loan</w:t>
            </w:r>
          </w:p>
        </w:tc>
        <w:tc>
          <w:tcPr>
            <w:tcW w:w="1000" w:type="dxa"/>
            <w:vAlign w:val="bottom"/>
            <w:gridSpan w:val="3"/>
            <w:shd w:val="clear" w:color="auto" w:fill="CCEEFF"/>
          </w:tcPr>
          <w:p>
            <w:pPr>
              <w:ind w:left="160"/>
              <w:spacing w:after="0" w:line="124" w:lineRule="exact"/>
              <w:rPr>
                <w:sz w:val="20"/>
                <w:szCs w:val="20"/>
                <w:color w:val="auto"/>
              </w:rPr>
            </w:pPr>
            <w:r>
              <w:rPr>
                <w:rFonts w:ascii="Arial" w:cs="Arial" w:eastAsia="Arial" w:hAnsi="Arial"/>
                <w:sz w:val="11"/>
                <w:szCs w:val="11"/>
                <w:color w:val="auto"/>
              </w:rPr>
              <w:t>Loan</w:t>
            </w:r>
          </w:p>
        </w:tc>
        <w:tc>
          <w:tcPr>
            <w:tcW w:w="1020" w:type="dxa"/>
            <w:vAlign w:val="bottom"/>
            <w:tcBorders>
              <w:right w:val="single" w:sz="8" w:color="CCEEFF"/>
            </w:tcBorders>
            <w:gridSpan w:val="2"/>
            <w:shd w:val="clear" w:color="auto" w:fill="CCEEFF"/>
          </w:tcPr>
          <w:p>
            <w:pPr>
              <w:jc w:val="right"/>
              <w:ind w:right="200"/>
              <w:spacing w:after="0" w:line="124" w:lineRule="exact"/>
              <w:rPr>
                <w:sz w:val="20"/>
                <w:szCs w:val="20"/>
                <w:color w:val="auto"/>
              </w:rPr>
            </w:pPr>
            <w:r>
              <w:rPr>
                <w:rFonts w:ascii="Arial" w:cs="Arial" w:eastAsia="Arial" w:hAnsi="Arial"/>
                <w:sz w:val="11"/>
                <w:szCs w:val="11"/>
                <w:color w:val="auto"/>
              </w:rPr>
              <w:t>7.50%</w:t>
            </w:r>
          </w:p>
        </w:tc>
        <w:tc>
          <w:tcPr>
            <w:tcW w:w="900" w:type="dxa"/>
            <w:vAlign w:val="bottom"/>
            <w:gridSpan w:val="2"/>
            <w:shd w:val="clear" w:color="auto" w:fill="CCEEFF"/>
          </w:tcPr>
          <w:p>
            <w:pPr>
              <w:jc w:val="right"/>
              <w:ind w:right="160"/>
              <w:spacing w:after="0" w:line="124" w:lineRule="exact"/>
              <w:rPr>
                <w:sz w:val="20"/>
                <w:szCs w:val="20"/>
                <w:color w:val="auto"/>
              </w:rPr>
            </w:pPr>
            <w:r>
              <w:rPr>
                <w:rFonts w:ascii="Arial" w:cs="Arial" w:eastAsia="Arial" w:hAnsi="Arial"/>
                <w:sz w:val="11"/>
                <w:szCs w:val="11"/>
                <w:color w:val="auto"/>
              </w:rPr>
              <w:t>8/4/2016</w:t>
            </w:r>
          </w:p>
        </w:tc>
        <w:tc>
          <w:tcPr>
            <w:tcW w:w="80" w:type="dxa"/>
            <w:vAlign w:val="bottom"/>
            <w:shd w:val="clear" w:color="auto" w:fill="CCEEFF"/>
          </w:tcPr>
          <w:p>
            <w:pPr>
              <w:jc w:val="right"/>
              <w:ind w:right="13"/>
              <w:spacing w:after="0"/>
              <w:rPr>
                <w:sz w:val="20"/>
                <w:szCs w:val="20"/>
                <w:color w:val="auto"/>
              </w:rPr>
            </w:pPr>
            <w:r>
              <w:rPr>
                <w:rFonts w:ascii="Arial" w:cs="Arial" w:eastAsia="Arial" w:hAnsi="Arial"/>
                <w:sz w:val="5"/>
                <w:szCs w:val="5"/>
                <w:color w:val="auto"/>
                <w:w w:val="70"/>
              </w:rPr>
              <w:t>$</w:t>
            </w:r>
          </w:p>
        </w:tc>
        <w:tc>
          <w:tcPr>
            <w:tcW w:w="260" w:type="dxa"/>
            <w:vAlign w:val="bottom"/>
            <w:shd w:val="clear" w:color="auto" w:fill="CCEEFF"/>
          </w:tcPr>
          <w:p>
            <w:pPr>
              <w:spacing w:after="0"/>
              <w:rPr>
                <w:sz w:val="10"/>
                <w:szCs w:val="10"/>
                <w:color w:val="auto"/>
              </w:rPr>
            </w:pPr>
          </w:p>
        </w:tc>
        <w:tc>
          <w:tcPr>
            <w:tcW w:w="90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492,090</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jc w:val="right"/>
              <w:spacing w:after="0" w:line="124" w:lineRule="exact"/>
              <w:rPr>
                <w:sz w:val="20"/>
                <w:szCs w:val="20"/>
                <w:color w:val="auto"/>
              </w:rPr>
            </w:pPr>
            <w:r>
              <w:rPr>
                <w:rFonts w:ascii="Arial" w:cs="Arial" w:eastAsia="Arial" w:hAnsi="Arial"/>
                <w:sz w:val="11"/>
                <w:szCs w:val="11"/>
                <w:color w:val="auto"/>
              </w:rPr>
              <w:t>492,090</w:t>
            </w:r>
          </w:p>
        </w:tc>
        <w:tc>
          <w:tcPr>
            <w:tcW w:w="1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60" w:type="dxa"/>
            <w:vAlign w:val="bottom"/>
            <w:gridSpan w:val="2"/>
            <w:shd w:val="clear" w:color="auto" w:fill="CCEEFF"/>
          </w:tcPr>
          <w:p>
            <w:pPr>
              <w:jc w:val="right"/>
              <w:ind w:right="80"/>
              <w:spacing w:after="0" w:line="124" w:lineRule="exact"/>
              <w:rPr>
                <w:sz w:val="20"/>
                <w:szCs w:val="20"/>
                <w:color w:val="auto"/>
              </w:rPr>
            </w:pPr>
            <w:r>
              <w:rPr>
                <w:rFonts w:ascii="Arial" w:cs="Arial" w:eastAsia="Arial" w:hAnsi="Arial"/>
                <w:sz w:val="11"/>
                <w:szCs w:val="11"/>
                <w:color w:val="auto"/>
              </w:rPr>
              <w:t>484,093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-9711055</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-9711055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-3690620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-3690620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18" w:name="page19"/>
    <w:bookmarkEnd w:id="18"/>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Health, Inc)</w:t>
            </w:r>
          </w:p>
        </w:tc>
        <w:tc>
          <w:tcPr>
            <w:tcW w:w="1720" w:type="dxa"/>
            <w:vAlign w:val="bottom"/>
            <w:shd w:val="clear" w:color="auto" w:fill="CCEEFF"/>
          </w:tcPr>
          <w:p>
            <w:pPr>
              <w:spacing w:after="0"/>
              <w:rPr>
                <w:sz w:val="10"/>
                <w:szCs w:val="10"/>
                <w:color w:val="auto"/>
              </w:rPr>
            </w:pPr>
          </w:p>
        </w:tc>
        <w:tc>
          <w:tcPr>
            <w:tcW w:w="180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1080" w:type="dxa"/>
            <w:vAlign w:val="bottom"/>
            <w:shd w:val="clear" w:color="auto" w:fill="CCEEFF"/>
          </w:tcPr>
          <w:p>
            <w:pPr>
              <w:spacing w:after="0"/>
              <w:rPr>
                <w:sz w:val="10"/>
                <w:szCs w:val="10"/>
                <w:color w:val="auto"/>
              </w:rPr>
            </w:pPr>
          </w:p>
        </w:tc>
        <w:tc>
          <w:tcPr>
            <w:tcW w:w="9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J. Crew Group,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B-1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3/7/2018</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982,500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982,500</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982,726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JFB Firth Rixson Inc.</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Industrial Equipment</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2013 Replacement Dollar Term</w:t>
            </w:r>
          </w:p>
        </w:tc>
        <w:tc>
          <w:tcPr>
            <w:tcW w:w="9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Facility Loan</w:t>
            </w:r>
          </w:p>
        </w:tc>
        <w:tc>
          <w:tcPr>
            <w:tcW w:w="9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4.25%</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6/30/2017</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2,590,213</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2,577,375</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2,598,838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Kalispel Tribal Economic Authority</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Lodging and Casinos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7.50%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2/24/2017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3,625,323</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3,577,074</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3,634,387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Kinetic Concepts,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Dollar Term C-1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5.50%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5/4/2018</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495,000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478,661</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501,034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Kronos Worldwide,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Initial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7.00%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6/13/2018</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500,000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500,000</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504,065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MetroPCS Wireless,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Telecommunications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Tranche B-2 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4.07%</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11/3/2016</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2,489,192</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2,491,685</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2,495,938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Michaels Stores,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B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1/28/2020</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500,000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500,000</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501,110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Microsemi Corporation</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2/20/2020</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2,688,796</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2,682,872</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2,697,212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National CineMedia,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Leisure Goods/Activities/Movies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3.46%</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11/26/2019</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1,086,207</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1,050,910</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1,089,607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Newsday,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Publishing</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10/12/2016</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3,000,000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2,996,317</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2,992,500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Novelis,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Conglomerate</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B-2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3/10/2017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987,500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968,539</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988,734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Novelis,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3/10/2017</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3,920,009</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3,946,297</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3,924,909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NPC International,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Food Services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4.50%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12/28/2018</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490,833</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490,833</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495,128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NRG Energy,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Utilities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3.25%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7/1/2018</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3,940,000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3,910,795</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3,958,557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NuSil Technology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4/7/2017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820,339</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820,339</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824,695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OEP Pearl Dutch Acquisition B.V.</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Initial BV 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6.50%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3/30/2018</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148,875</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146,330</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149,992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On Assignment,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Initial Term B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5/15/2019</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2,413,048</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2,399,166</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2,434,114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Onex Carestream Finance LP</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2/25/2017</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4,909,816</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4,893,453</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4,916,739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OpenLink International,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Initial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7.75%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10/30/2017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990,000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974,594</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988,763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P.F. Chang’s China Bistro, Inc. (Wok</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Food/Drug Retailers</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Borrowing</w:t>
            </w:r>
          </w:p>
        </w:tc>
        <w:tc>
          <w:tcPr>
            <w:tcW w:w="9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Acquisition Corp.)</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5.25%</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6/22/2019</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997,500</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988,412</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1,007,475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PATS Aircraft,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8.50%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10/6/2016</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357,331</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239,023</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276,932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Penn National Gaming,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Lodging and Casinos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A Facility</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1.72%</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7/14/2016</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2,775,888</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2,719,125</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2,776,748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2"/>
          </w:tcPr>
          <w:p>
            <w:pPr>
              <w:spacing w:after="0"/>
              <w:rPr>
                <w:sz w:val="20"/>
                <w:szCs w:val="20"/>
                <w:color w:val="auto"/>
              </w:rPr>
            </w:pPr>
            <w:r>
              <w:rPr>
                <w:rFonts w:ascii="Arial" w:cs="Arial" w:eastAsia="Arial" w:hAnsi="Arial"/>
                <w:sz w:val="11"/>
                <w:szCs w:val="11"/>
                <w:color w:val="auto"/>
              </w:rPr>
              <w:t>Penn National Gaming, Inc.</w:t>
            </w:r>
          </w:p>
        </w:tc>
        <w:tc>
          <w:tcPr>
            <w:tcW w:w="1720" w:type="dxa"/>
            <w:vAlign w:val="bottom"/>
          </w:tcPr>
          <w:p>
            <w:pPr>
              <w:ind w:left="80"/>
              <w:spacing w:after="0"/>
              <w:rPr>
                <w:sz w:val="20"/>
                <w:szCs w:val="20"/>
                <w:color w:val="auto"/>
              </w:rPr>
            </w:pPr>
            <w:r>
              <w:rPr>
                <w:rFonts w:ascii="Arial" w:cs="Arial" w:eastAsia="Arial" w:hAnsi="Arial"/>
                <w:sz w:val="11"/>
                <w:szCs w:val="11"/>
                <w:color w:val="auto"/>
              </w:rPr>
              <w:t>Lodging and Casinos</w:t>
            </w:r>
          </w:p>
        </w:tc>
        <w:tc>
          <w:tcPr>
            <w:tcW w:w="1800" w:type="dxa"/>
            <w:vAlign w:val="bottom"/>
          </w:tcPr>
          <w:p>
            <w:pPr>
              <w:ind w:left="120"/>
              <w:spacing w:after="0"/>
              <w:rPr>
                <w:sz w:val="20"/>
                <w:szCs w:val="20"/>
                <w:color w:val="auto"/>
              </w:rPr>
            </w:pPr>
            <w:r>
              <w:rPr>
                <w:rFonts w:ascii="Arial" w:cs="Arial" w:eastAsia="Arial" w:hAnsi="Arial"/>
                <w:sz w:val="11"/>
                <w:szCs w:val="11"/>
                <w:color w:val="auto"/>
              </w:rPr>
              <w:t>Term B Facility</w:t>
            </w:r>
          </w:p>
        </w:tc>
        <w:tc>
          <w:tcPr>
            <w:tcW w:w="920" w:type="dxa"/>
            <w:vAlign w:val="bottom"/>
          </w:tcPr>
          <w:p>
            <w:pPr>
              <w:ind w:left="80"/>
              <w:spacing w:after="0"/>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rPr>
                <w:sz w:val="20"/>
                <w:szCs w:val="20"/>
                <w:color w:val="auto"/>
              </w:rPr>
            </w:pPr>
            <w:r>
              <w:rPr>
                <w:rFonts w:ascii="Arial" w:cs="Arial" w:eastAsia="Arial" w:hAnsi="Arial"/>
                <w:sz w:val="11"/>
                <w:szCs w:val="11"/>
                <w:color w:val="auto"/>
              </w:rPr>
              <w:t>3.75%</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7/16/2018</w:t>
            </w:r>
          </w:p>
        </w:tc>
        <w:tc>
          <w:tcPr>
            <w:tcW w:w="5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rPr>
                <w:sz w:val="20"/>
                <w:szCs w:val="20"/>
                <w:color w:val="auto"/>
              </w:rPr>
            </w:pPr>
            <w:r>
              <w:rPr>
                <w:rFonts w:ascii="Arial" w:cs="Arial" w:eastAsia="Arial" w:hAnsi="Arial"/>
                <w:sz w:val="11"/>
                <w:szCs w:val="11"/>
                <w:color w:val="auto"/>
              </w:rPr>
              <w:t>985,013</w:t>
            </w:r>
          </w:p>
        </w:tc>
        <w:tc>
          <w:tcPr>
            <w:tcW w:w="920" w:type="dxa"/>
            <w:vAlign w:val="bottom"/>
          </w:tcPr>
          <w:p>
            <w:pPr>
              <w:jc w:val="right"/>
              <w:ind w:right="206"/>
              <w:spacing w:after="0"/>
              <w:rPr>
                <w:sz w:val="20"/>
                <w:szCs w:val="20"/>
                <w:color w:val="auto"/>
              </w:rPr>
            </w:pPr>
            <w:r>
              <w:rPr>
                <w:rFonts w:ascii="Arial" w:cs="Arial" w:eastAsia="Arial" w:hAnsi="Arial"/>
                <w:sz w:val="11"/>
                <w:szCs w:val="11"/>
                <w:color w:val="auto"/>
              </w:rPr>
              <w:t>983,123</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988,431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7"/>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27</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8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PetCo Animal Supplies,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New Loans</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11/24/2017</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1,496,173</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1,494,329</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1,501,784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tcPr>
          <w:p>
            <w:pPr>
              <w:spacing w:after="0" w:line="112" w:lineRule="exact"/>
              <w:rPr>
                <w:sz w:val="20"/>
                <w:szCs w:val="20"/>
                <w:color w:val="auto"/>
              </w:rPr>
            </w:pPr>
            <w:r>
              <w:rPr>
                <w:rFonts w:ascii="Arial" w:cs="Arial" w:eastAsia="Arial" w:hAnsi="Arial"/>
                <w:sz w:val="11"/>
                <w:szCs w:val="11"/>
                <w:color w:val="auto"/>
                <w:w w:val="98"/>
              </w:rPr>
              <w:t>Pharmaceutical Product Development,</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800" w:type="dxa"/>
            <w:vAlign w:val="bottom"/>
          </w:tcPr>
          <w:p>
            <w:pPr>
              <w:ind w:left="120"/>
              <w:spacing w:after="0" w:line="112" w:lineRule="exact"/>
              <w:rPr>
                <w:sz w:val="20"/>
                <w:szCs w:val="20"/>
                <w:color w:val="auto"/>
              </w:rPr>
            </w:pPr>
            <w:r>
              <w:rPr>
                <w:rFonts w:ascii="Arial" w:cs="Arial" w:eastAsia="Arial" w:hAnsi="Arial"/>
                <w:sz w:val="11"/>
                <w:szCs w:val="11"/>
                <w:color w:val="auto"/>
              </w:rPr>
              <w:t>2013 Term Loan</w:t>
            </w: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tcPr>
          <w:p>
            <w:pPr>
              <w:ind w:left="160"/>
              <w:spacing w:after="0"/>
              <w:rPr>
                <w:sz w:val="20"/>
                <w:szCs w:val="20"/>
                <w:color w:val="auto"/>
              </w:rPr>
            </w:pPr>
            <w:r>
              <w:rPr>
                <w:rFonts w:ascii="Arial" w:cs="Arial" w:eastAsia="Arial" w:hAnsi="Arial"/>
                <w:sz w:val="11"/>
                <w:szCs w:val="11"/>
                <w:color w:val="auto"/>
              </w:rPr>
              <w:t>Inc. (Jaguar Holdings, LLC)</w:t>
            </w: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rPr>
                <w:sz w:val="20"/>
                <w:szCs w:val="20"/>
                <w:color w:val="auto"/>
              </w:rPr>
            </w:pPr>
            <w:r>
              <w:rPr>
                <w:rFonts w:ascii="Arial" w:cs="Arial" w:eastAsia="Arial" w:hAnsi="Arial"/>
                <w:sz w:val="11"/>
                <w:szCs w:val="11"/>
                <w:color w:val="auto"/>
              </w:rPr>
              <w:t>4.25%</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12/5/2018</w:t>
            </w:r>
          </w:p>
        </w:tc>
        <w:tc>
          <w:tcPr>
            <w:tcW w:w="5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rPr>
                <w:sz w:val="20"/>
                <w:szCs w:val="20"/>
                <w:color w:val="auto"/>
              </w:rPr>
            </w:pPr>
            <w:r>
              <w:rPr>
                <w:rFonts w:ascii="Arial" w:cs="Arial" w:eastAsia="Arial" w:hAnsi="Arial"/>
                <w:sz w:val="11"/>
                <w:szCs w:val="11"/>
                <w:color w:val="auto"/>
              </w:rPr>
              <w:t>1,980,000</w:t>
            </w:r>
          </w:p>
        </w:tc>
        <w:tc>
          <w:tcPr>
            <w:tcW w:w="920" w:type="dxa"/>
            <w:vAlign w:val="bottom"/>
          </w:tcPr>
          <w:p>
            <w:pPr>
              <w:jc w:val="right"/>
              <w:ind w:right="206"/>
              <w:spacing w:after="0"/>
              <w:rPr>
                <w:sz w:val="20"/>
                <w:szCs w:val="20"/>
                <w:color w:val="auto"/>
              </w:rPr>
            </w:pPr>
            <w:r>
              <w:rPr>
                <w:rFonts w:ascii="Arial" w:cs="Arial" w:eastAsia="Arial" w:hAnsi="Arial"/>
                <w:sz w:val="11"/>
                <w:szCs w:val="11"/>
                <w:color w:val="auto"/>
              </w:rPr>
              <w:t>1,950,704</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1,989,583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Physician Oncology Services, LP</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Healthcare</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Delayed Draw 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7.75%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1/31/2017</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51,020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50,682</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50,765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Physician Oncology Services, LP</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Effective Date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7.75%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1/31/2017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419,961</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417,178</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417,861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Pinnacle Foods Finance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Products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Extended Initial 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10/2/2016</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5,726,579</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5,491,534</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5,761,168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Preferred Proppants,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B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7.50%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12/15/2016</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1,980,000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1,949,170</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1,841,400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Prestige Brands,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Drugs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B-1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3.76%</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1/31/2019</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679,545</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669,390</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683,507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Pro Mach,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7/6/2017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1,956,155</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1,941,853</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1,961,045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Quintiles Transnational Corp.</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Conglomerate</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B-2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4.50%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6/8/2018</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3,681,541</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3,653,803</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3,716,810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Ranpak Corp.</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Food/Drug Retailers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USD Term Loan (First Lien)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4.75%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4/20/2017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2,396,012</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2,387,700</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2,384,032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Rexnord LLC/RBS Global,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B Loan Refinancing</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4.50%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4/1/2018</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1,995,000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1,995,000</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2,005,454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Reynolds Group Holdings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U.S.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4.75%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9/28/2018</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1,995,000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1,995,000</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2,017,244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Rocket Software,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 (First Lien)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5.75%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2/8/2018</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1,980,000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1,947,152</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1,986,197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Roundy’s Supermarkets,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Food/Drug Retailers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Tranche B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5.75%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2/13/2019</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992,500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979,782</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937,297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Rovi Solutions Corporation / Rovi</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Tranche A-2 Loan</w:t>
            </w:r>
          </w:p>
        </w:tc>
        <w:tc>
          <w:tcPr>
            <w:tcW w:w="9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Guides, Inc.</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2.46%</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3/29/2017</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1,860,226</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1,843,739</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1,855,576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tcPr>
          <w:p>
            <w:pPr>
              <w:spacing w:after="0" w:line="112" w:lineRule="exact"/>
              <w:rPr>
                <w:sz w:val="20"/>
                <w:szCs w:val="20"/>
                <w:color w:val="auto"/>
              </w:rPr>
            </w:pPr>
            <w:r>
              <w:rPr>
                <w:rFonts w:ascii="Arial" w:cs="Arial" w:eastAsia="Arial" w:hAnsi="Arial"/>
                <w:sz w:val="11"/>
                <w:szCs w:val="11"/>
                <w:color w:val="auto"/>
              </w:rPr>
              <w:t>Rovi Solutions Corporation / Rovi</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800" w:type="dxa"/>
            <w:vAlign w:val="bottom"/>
          </w:tcPr>
          <w:p>
            <w:pPr>
              <w:ind w:left="120"/>
              <w:spacing w:after="0" w:line="112" w:lineRule="exact"/>
              <w:rPr>
                <w:sz w:val="20"/>
                <w:szCs w:val="20"/>
                <w:color w:val="auto"/>
              </w:rPr>
            </w:pPr>
            <w:r>
              <w:rPr>
                <w:rFonts w:ascii="Arial" w:cs="Arial" w:eastAsia="Arial" w:hAnsi="Arial"/>
                <w:sz w:val="11"/>
                <w:szCs w:val="11"/>
                <w:color w:val="auto"/>
              </w:rPr>
              <w:t>Tranche B-2 Loan</w:t>
            </w: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tcPr>
          <w:p>
            <w:pPr>
              <w:ind w:left="160"/>
              <w:spacing w:after="0"/>
              <w:rPr>
                <w:sz w:val="20"/>
                <w:szCs w:val="20"/>
                <w:color w:val="auto"/>
              </w:rPr>
            </w:pPr>
            <w:r>
              <w:rPr>
                <w:rFonts w:ascii="Arial" w:cs="Arial" w:eastAsia="Arial" w:hAnsi="Arial"/>
                <w:sz w:val="11"/>
                <w:szCs w:val="11"/>
                <w:color w:val="auto"/>
              </w:rPr>
              <w:t>Guides, Inc.</w:t>
            </w: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rPr>
                <w:sz w:val="20"/>
                <w:szCs w:val="20"/>
                <w:color w:val="auto"/>
              </w:rPr>
            </w:pPr>
            <w:r>
              <w:rPr>
                <w:rFonts w:ascii="Arial" w:cs="Arial" w:eastAsia="Arial" w:hAnsi="Arial"/>
                <w:sz w:val="11"/>
                <w:szCs w:val="11"/>
                <w:color w:val="auto"/>
              </w:rPr>
              <w:t>4.00%</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3/29/2019</w:t>
            </w:r>
          </w:p>
        </w:tc>
        <w:tc>
          <w:tcPr>
            <w:tcW w:w="5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rPr>
                <w:sz w:val="20"/>
                <w:szCs w:val="20"/>
                <w:color w:val="auto"/>
              </w:rPr>
            </w:pPr>
            <w:r>
              <w:rPr>
                <w:rFonts w:ascii="Arial" w:cs="Arial" w:eastAsia="Arial" w:hAnsi="Arial"/>
                <w:sz w:val="11"/>
                <w:szCs w:val="11"/>
                <w:color w:val="auto"/>
              </w:rPr>
              <w:t>1,384,706</w:t>
            </w:r>
          </w:p>
        </w:tc>
        <w:tc>
          <w:tcPr>
            <w:tcW w:w="920" w:type="dxa"/>
            <w:vAlign w:val="bottom"/>
          </w:tcPr>
          <w:p>
            <w:pPr>
              <w:jc w:val="right"/>
              <w:ind w:right="206"/>
              <w:spacing w:after="0"/>
              <w:rPr>
                <w:sz w:val="20"/>
                <w:szCs w:val="20"/>
                <w:color w:val="auto"/>
              </w:rPr>
            </w:pPr>
            <w:r>
              <w:rPr>
                <w:rFonts w:ascii="Arial" w:cs="Arial" w:eastAsia="Arial" w:hAnsi="Arial"/>
                <w:sz w:val="11"/>
                <w:szCs w:val="11"/>
                <w:color w:val="auto"/>
              </w:rPr>
              <w:t>1,378,679</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1,389,899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Royal Adhesives and Sealants,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A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7.25%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11/29/2015</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4,498,210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4,459,450</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4,432,399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RPI Finance Trust</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Drugs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6.75 Year Term Loan(2012)</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3.50%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5/9/2018</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5,398,833</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5,373,794</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5,449,474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Scientific Games International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Tranche B-1 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3.21%</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6/30/2015</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1,977,810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1,965,672</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1,985,226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Scitor Corporation</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2/15/2017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463,977</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462,444</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460,692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Securus Technologies Holdings, Inc (fka</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Telecommunications</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Tranche 2 Term Loan (First Lien)</w:t>
            </w:r>
          </w:p>
        </w:tc>
        <w:tc>
          <w:tcPr>
            <w:tcW w:w="9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Securus Technologies, Inc.)</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6.50%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5/31/2017</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1,985,000</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1,967,961</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1,975,075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tcPr>
          <w:p>
            <w:pPr>
              <w:spacing w:after="0" w:line="112" w:lineRule="exact"/>
              <w:rPr>
                <w:sz w:val="20"/>
                <w:szCs w:val="20"/>
                <w:color w:val="auto"/>
              </w:rPr>
            </w:pPr>
            <w:r>
              <w:rPr>
                <w:rFonts w:ascii="Arial" w:cs="Arial" w:eastAsia="Arial" w:hAnsi="Arial"/>
                <w:sz w:val="11"/>
                <w:szCs w:val="11"/>
                <w:color w:val="auto"/>
              </w:rPr>
              <w:t>Sensata Technology BV/Sensata</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Electronics/Electric</w:t>
            </w:r>
          </w:p>
        </w:tc>
        <w:tc>
          <w:tcPr>
            <w:tcW w:w="1800" w:type="dxa"/>
            <w:vAlign w:val="bottom"/>
          </w:tcPr>
          <w:p>
            <w:pPr>
              <w:ind w:left="120"/>
              <w:spacing w:after="0" w:line="112" w:lineRule="exact"/>
              <w:rPr>
                <w:sz w:val="20"/>
                <w:szCs w:val="20"/>
                <w:color w:val="auto"/>
              </w:rPr>
            </w:pPr>
            <w:r>
              <w:rPr>
                <w:rFonts w:ascii="Arial" w:cs="Arial" w:eastAsia="Arial" w:hAnsi="Arial"/>
                <w:sz w:val="11"/>
                <w:szCs w:val="11"/>
                <w:color w:val="auto"/>
              </w:rPr>
              <w:t>Term Loan</w:t>
            </w: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tcPr>
          <w:p>
            <w:pPr>
              <w:ind w:left="160"/>
              <w:spacing w:after="0"/>
              <w:rPr>
                <w:sz w:val="20"/>
                <w:szCs w:val="20"/>
                <w:color w:val="auto"/>
              </w:rPr>
            </w:pPr>
            <w:r>
              <w:rPr>
                <w:rFonts w:ascii="Arial" w:cs="Arial" w:eastAsia="Arial" w:hAnsi="Arial"/>
                <w:sz w:val="11"/>
                <w:szCs w:val="11"/>
                <w:color w:val="auto"/>
                <w:w w:val="95"/>
              </w:rPr>
              <w:t>Technology Finance Company, LLC</w:t>
            </w: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rPr>
                <w:sz w:val="20"/>
                <w:szCs w:val="20"/>
                <w:color w:val="auto"/>
              </w:rPr>
            </w:pPr>
            <w:r>
              <w:rPr>
                <w:rFonts w:ascii="Arial" w:cs="Arial" w:eastAsia="Arial" w:hAnsi="Arial"/>
                <w:sz w:val="11"/>
                <w:szCs w:val="11"/>
                <w:color w:val="auto"/>
              </w:rPr>
              <w:t>3.75%</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5/12/2018</w:t>
            </w:r>
          </w:p>
        </w:tc>
        <w:tc>
          <w:tcPr>
            <w:tcW w:w="5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rPr>
                <w:sz w:val="20"/>
                <w:szCs w:val="20"/>
                <w:color w:val="auto"/>
              </w:rPr>
            </w:pPr>
            <w:r>
              <w:rPr>
                <w:rFonts w:ascii="Arial" w:cs="Arial" w:eastAsia="Arial" w:hAnsi="Arial"/>
                <w:sz w:val="11"/>
                <w:szCs w:val="11"/>
                <w:color w:val="auto"/>
              </w:rPr>
              <w:t>2,969,849</w:t>
            </w:r>
          </w:p>
        </w:tc>
        <w:tc>
          <w:tcPr>
            <w:tcW w:w="920" w:type="dxa"/>
            <w:vAlign w:val="bottom"/>
          </w:tcPr>
          <w:p>
            <w:pPr>
              <w:jc w:val="right"/>
              <w:ind w:right="206"/>
              <w:spacing w:after="0"/>
              <w:rPr>
                <w:sz w:val="20"/>
                <w:szCs w:val="20"/>
                <w:color w:val="auto"/>
              </w:rPr>
            </w:pPr>
            <w:r>
              <w:rPr>
                <w:rFonts w:ascii="Arial" w:cs="Arial" w:eastAsia="Arial" w:hAnsi="Arial"/>
                <w:sz w:val="11"/>
                <w:szCs w:val="11"/>
                <w:color w:val="auto"/>
              </w:rPr>
              <w:t>2,969,849</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2,986,540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6"/>
              </w:rPr>
              <w:t>Sensus USA Inc. (fka Sensus Metering</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Utilities</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Loan (First Lien)</w:t>
            </w:r>
          </w:p>
        </w:tc>
        <w:tc>
          <w:tcPr>
            <w:tcW w:w="9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Systems)</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4.75%</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5/9/2017</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1,965,000</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1,958,111</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1,961,070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ServiceMaster Company, The</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Conglomerate</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Tranche B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4.45%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1/31/2017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2,851,387</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2,861,398</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2,857,089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SI Organization, Inc., The</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New Tranche B 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4.50%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11/22/2016</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3,920,000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3,895,621</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3,906,946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Sonneborn, LLC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Initial US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6.50%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3/30/2018</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843,625</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829,202</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849,952</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Sophia, L.P.</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Electronics/Electric</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B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4.50%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7/19/2018</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969,244</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954,866</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976,310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SRA International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6.50%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7/20/2018</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3,268,571</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3,165,384</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3,154,171</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SRAM, LLC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 (First Lien)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4.77%</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6/7/2018</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3,441,181</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3,411,986</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3,458,386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tcPr>
          <w:p>
            <w:pPr>
              <w:spacing w:after="0" w:line="112" w:lineRule="exact"/>
              <w:rPr>
                <w:sz w:val="20"/>
                <w:szCs w:val="20"/>
                <w:color w:val="auto"/>
              </w:rPr>
            </w:pPr>
            <w:r>
              <w:rPr>
                <w:rFonts w:ascii="Arial" w:cs="Arial" w:eastAsia="Arial" w:hAnsi="Arial"/>
                <w:sz w:val="11"/>
                <w:szCs w:val="11"/>
                <w:color w:val="auto"/>
              </w:rPr>
              <w:t>SS&amp;C Technologies, Inc., /Sunshine</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tcPr>
          <w:p>
            <w:pPr>
              <w:ind w:left="120"/>
              <w:spacing w:after="0" w:line="112" w:lineRule="exact"/>
              <w:rPr>
                <w:sz w:val="20"/>
                <w:szCs w:val="20"/>
                <w:color w:val="auto"/>
              </w:rPr>
            </w:pPr>
            <w:r>
              <w:rPr>
                <w:rFonts w:ascii="Arial" w:cs="Arial" w:eastAsia="Arial" w:hAnsi="Arial"/>
                <w:sz w:val="11"/>
                <w:szCs w:val="11"/>
                <w:color w:val="auto"/>
              </w:rPr>
              <w:t>Funded Term B-1 Loan</w:t>
            </w: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tcPr>
          <w:p>
            <w:pPr>
              <w:ind w:left="160"/>
              <w:spacing w:after="0"/>
              <w:rPr>
                <w:sz w:val="20"/>
                <w:szCs w:val="20"/>
                <w:color w:val="auto"/>
              </w:rPr>
            </w:pPr>
            <w:r>
              <w:rPr>
                <w:rFonts w:ascii="Arial" w:cs="Arial" w:eastAsia="Arial" w:hAnsi="Arial"/>
                <w:sz w:val="11"/>
                <w:szCs w:val="11"/>
                <w:color w:val="auto"/>
              </w:rPr>
              <w:t>Acquisition II, Inc.</w:t>
            </w: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rPr>
                <w:sz w:val="20"/>
                <w:szCs w:val="20"/>
                <w:color w:val="auto"/>
              </w:rPr>
            </w:pPr>
            <w:r>
              <w:rPr>
                <w:rFonts w:ascii="Arial" w:cs="Arial" w:eastAsia="Arial" w:hAnsi="Arial"/>
                <w:sz w:val="11"/>
                <w:szCs w:val="11"/>
                <w:color w:val="auto"/>
              </w:rPr>
              <w:t>5.00%</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6/7/2019</w:t>
            </w:r>
          </w:p>
        </w:tc>
        <w:tc>
          <w:tcPr>
            <w:tcW w:w="5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rPr>
                <w:sz w:val="20"/>
                <w:szCs w:val="20"/>
                <w:color w:val="auto"/>
              </w:rPr>
            </w:pPr>
            <w:r>
              <w:rPr>
                <w:rFonts w:ascii="Arial" w:cs="Arial" w:eastAsia="Arial" w:hAnsi="Arial"/>
                <w:sz w:val="11"/>
                <w:szCs w:val="11"/>
                <w:color w:val="auto"/>
              </w:rPr>
              <w:t>811,071</w:t>
            </w:r>
          </w:p>
        </w:tc>
        <w:tc>
          <w:tcPr>
            <w:tcW w:w="920" w:type="dxa"/>
            <w:vAlign w:val="bottom"/>
          </w:tcPr>
          <w:p>
            <w:pPr>
              <w:jc w:val="right"/>
              <w:ind w:right="206"/>
              <w:spacing w:after="0"/>
              <w:rPr>
                <w:sz w:val="20"/>
                <w:szCs w:val="20"/>
                <w:color w:val="auto"/>
              </w:rPr>
            </w:pPr>
            <w:r>
              <w:rPr>
                <w:rFonts w:ascii="Arial" w:cs="Arial" w:eastAsia="Arial" w:hAnsi="Arial"/>
                <w:sz w:val="11"/>
                <w:szCs w:val="11"/>
                <w:color w:val="auto"/>
              </w:rPr>
              <w:t>803,796</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817,138</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SS&amp;C Technologies, Inc., /Sunshine</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Funded Term B-2 Loan</w:t>
            </w:r>
          </w:p>
        </w:tc>
        <w:tc>
          <w:tcPr>
            <w:tcW w:w="9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Acquisition II, Inc.</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6/7/2019</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83,904</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83,151</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84,531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SunCoke Energy,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Tranche B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7/26/2018</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1,367,311</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1,357,359</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1,370,729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0"/>
              </w:rPr>
              <w:t>SunGard Data Systems Inc (Solar Capital</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Conglomerate</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Tranche B U.S. Term Loan</w:t>
            </w:r>
          </w:p>
        </w:tc>
        <w:tc>
          <w:tcPr>
            <w:tcW w:w="9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Corp.)</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3.85%</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2/28/2016</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4,253,748</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4,184,167</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4,260,086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tcPr>
          <w:p>
            <w:pPr>
              <w:spacing w:after="0" w:line="112" w:lineRule="exact"/>
              <w:rPr>
                <w:sz w:val="20"/>
                <w:szCs w:val="20"/>
                <w:color w:val="auto"/>
              </w:rPr>
            </w:pPr>
            <w:r>
              <w:rPr>
                <w:rFonts w:ascii="Arial" w:cs="Arial" w:eastAsia="Arial" w:hAnsi="Arial"/>
                <w:sz w:val="11"/>
                <w:szCs w:val="11"/>
                <w:color w:val="auto"/>
                <w:w w:val="90"/>
              </w:rPr>
              <w:t>SunGard Data Systems Inc (Solar Capital</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Conglomerate</w:t>
            </w:r>
          </w:p>
        </w:tc>
        <w:tc>
          <w:tcPr>
            <w:tcW w:w="1800" w:type="dxa"/>
            <w:vAlign w:val="bottom"/>
          </w:tcPr>
          <w:p>
            <w:pPr>
              <w:ind w:left="120"/>
              <w:spacing w:after="0" w:line="112" w:lineRule="exact"/>
              <w:rPr>
                <w:sz w:val="20"/>
                <w:szCs w:val="20"/>
                <w:color w:val="auto"/>
              </w:rPr>
            </w:pPr>
            <w:r>
              <w:rPr>
                <w:rFonts w:ascii="Arial" w:cs="Arial" w:eastAsia="Arial" w:hAnsi="Arial"/>
                <w:sz w:val="11"/>
                <w:szCs w:val="11"/>
                <w:color w:val="auto"/>
              </w:rPr>
              <w:t>Tranche C Term Loan</w:t>
            </w: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tcPr>
          <w:p>
            <w:pPr>
              <w:ind w:left="160"/>
              <w:spacing w:after="0"/>
              <w:rPr>
                <w:sz w:val="20"/>
                <w:szCs w:val="20"/>
                <w:color w:val="auto"/>
              </w:rPr>
            </w:pPr>
            <w:r>
              <w:rPr>
                <w:rFonts w:ascii="Arial" w:cs="Arial" w:eastAsia="Arial" w:hAnsi="Arial"/>
                <w:sz w:val="11"/>
                <w:szCs w:val="11"/>
                <w:color w:val="auto"/>
              </w:rPr>
              <w:t>Corp.)</w:t>
            </w: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rPr>
                <w:sz w:val="20"/>
                <w:szCs w:val="20"/>
                <w:color w:val="auto"/>
              </w:rPr>
            </w:pPr>
            <w:r>
              <w:rPr>
                <w:rFonts w:ascii="Arial" w:cs="Arial" w:eastAsia="Arial" w:hAnsi="Arial"/>
                <w:sz w:val="11"/>
                <w:szCs w:val="11"/>
                <w:color w:val="auto"/>
              </w:rPr>
              <w:t>3.95%</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2/28/2017</w:t>
            </w:r>
          </w:p>
        </w:tc>
        <w:tc>
          <w:tcPr>
            <w:tcW w:w="5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rPr>
                <w:sz w:val="20"/>
                <w:szCs w:val="20"/>
                <w:color w:val="auto"/>
              </w:rPr>
            </w:pPr>
            <w:r>
              <w:rPr>
                <w:rFonts w:ascii="Arial" w:cs="Arial" w:eastAsia="Arial" w:hAnsi="Arial"/>
                <w:sz w:val="11"/>
                <w:szCs w:val="11"/>
                <w:color w:val="auto"/>
              </w:rPr>
              <w:t>497,687</w:t>
            </w:r>
          </w:p>
        </w:tc>
        <w:tc>
          <w:tcPr>
            <w:tcW w:w="920" w:type="dxa"/>
            <w:vAlign w:val="bottom"/>
          </w:tcPr>
          <w:p>
            <w:pPr>
              <w:jc w:val="right"/>
              <w:ind w:right="206"/>
              <w:spacing w:after="0"/>
              <w:rPr>
                <w:sz w:val="20"/>
                <w:szCs w:val="20"/>
                <w:color w:val="auto"/>
              </w:rPr>
            </w:pPr>
            <w:r>
              <w:rPr>
                <w:rFonts w:ascii="Arial" w:cs="Arial" w:eastAsia="Arial" w:hAnsi="Arial"/>
                <w:sz w:val="11"/>
                <w:szCs w:val="11"/>
                <w:color w:val="auto"/>
              </w:rPr>
              <w:t>493,012</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500,544</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SuperMedia Inc. (fka Idearc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Publishing</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11.00%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12/31/2015</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289,811</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281,918</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214,875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Syniverse Holdings,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Telecommunications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Initial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4/23/2019</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497,500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493,115</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500,609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8"/>
              </w:rPr>
              <w:t>Taminco Global Chemical Corporation</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Tranche B-2 Dollar 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4.25%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2/15/2019</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1,488,750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1,478,991</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1,498,859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Team Health,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Healthcare</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Tranche B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6/29/2018</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4,432,500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4,415,534</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4,432,500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TECTUM HOLDINGS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7.50%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12/3/2015</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4,000,000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3,981,089</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3,980,000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tcPr>
          <w:p>
            <w:pPr>
              <w:spacing w:after="0" w:line="112" w:lineRule="exact"/>
              <w:rPr>
                <w:sz w:val="20"/>
                <w:szCs w:val="20"/>
                <w:color w:val="auto"/>
              </w:rPr>
            </w:pPr>
            <w:r>
              <w:rPr>
                <w:rFonts w:ascii="Arial" w:cs="Arial" w:eastAsia="Arial" w:hAnsi="Arial"/>
                <w:sz w:val="11"/>
                <w:szCs w:val="11"/>
                <w:color w:val="auto"/>
              </w:rPr>
              <w:t>Texas Competitive Electric Holdings</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Utilities</w:t>
            </w:r>
          </w:p>
        </w:tc>
        <w:tc>
          <w:tcPr>
            <w:tcW w:w="1800" w:type="dxa"/>
            <w:vAlign w:val="bottom"/>
          </w:tcPr>
          <w:p>
            <w:pPr>
              <w:ind w:left="120"/>
              <w:spacing w:after="0" w:line="112" w:lineRule="exact"/>
              <w:rPr>
                <w:sz w:val="20"/>
                <w:szCs w:val="20"/>
                <w:color w:val="auto"/>
              </w:rPr>
            </w:pPr>
            <w:r>
              <w:rPr>
                <w:rFonts w:ascii="Arial" w:cs="Arial" w:eastAsia="Arial" w:hAnsi="Arial"/>
                <w:sz w:val="11"/>
                <w:szCs w:val="11"/>
                <w:color w:val="auto"/>
              </w:rPr>
              <w:t>2014 Term Loan (Non-Extending)</w:t>
            </w: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tcPr>
          <w:p>
            <w:pPr>
              <w:ind w:left="160"/>
              <w:spacing w:after="0"/>
              <w:rPr>
                <w:sz w:val="20"/>
                <w:szCs w:val="20"/>
                <w:color w:val="auto"/>
              </w:rPr>
            </w:pPr>
            <w:r>
              <w:rPr>
                <w:rFonts w:ascii="Arial" w:cs="Arial" w:eastAsia="Arial" w:hAnsi="Arial"/>
                <w:sz w:val="11"/>
                <w:szCs w:val="11"/>
                <w:color w:val="auto"/>
              </w:rPr>
              <w:t>Company, LLC (TXU)</w:t>
            </w: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rPr>
                <w:sz w:val="20"/>
                <w:szCs w:val="20"/>
                <w:color w:val="auto"/>
              </w:rPr>
            </w:pPr>
            <w:r>
              <w:rPr>
                <w:rFonts w:ascii="Arial" w:cs="Arial" w:eastAsia="Arial" w:hAnsi="Arial"/>
                <w:sz w:val="11"/>
                <w:szCs w:val="11"/>
                <w:color w:val="auto"/>
              </w:rPr>
              <w:t>3.73%</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10/10/2014</w:t>
            </w:r>
          </w:p>
        </w:tc>
        <w:tc>
          <w:tcPr>
            <w:tcW w:w="5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rPr>
                <w:sz w:val="20"/>
                <w:szCs w:val="20"/>
                <w:color w:val="auto"/>
              </w:rPr>
            </w:pPr>
            <w:r>
              <w:rPr>
                <w:rFonts w:ascii="Arial" w:cs="Arial" w:eastAsia="Arial" w:hAnsi="Arial"/>
                <w:sz w:val="11"/>
                <w:szCs w:val="11"/>
                <w:color w:val="auto"/>
              </w:rPr>
              <w:t>5,580,862</w:t>
            </w:r>
          </w:p>
        </w:tc>
        <w:tc>
          <w:tcPr>
            <w:tcW w:w="920" w:type="dxa"/>
            <w:vAlign w:val="bottom"/>
          </w:tcPr>
          <w:p>
            <w:pPr>
              <w:jc w:val="right"/>
              <w:ind w:right="206"/>
              <w:spacing w:after="0"/>
              <w:rPr>
                <w:sz w:val="20"/>
                <w:szCs w:val="20"/>
                <w:color w:val="auto"/>
              </w:rPr>
            </w:pPr>
            <w:r>
              <w:rPr>
                <w:rFonts w:ascii="Arial" w:cs="Arial" w:eastAsia="Arial" w:hAnsi="Arial"/>
                <w:sz w:val="11"/>
                <w:szCs w:val="11"/>
                <w:color w:val="auto"/>
              </w:rPr>
              <w:t>5,527,535</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4,012,249</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Tomkins, LLC / Tomkins, Inc. (f/k/a</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Conglomerate</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B-2 Loan</w:t>
            </w:r>
          </w:p>
        </w:tc>
        <w:tc>
          <w:tcPr>
            <w:tcW w:w="9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Pinafore, LLC / Pinafore, Inc.)</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3.75%</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9/29/2016</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2,431,854</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2,437,744</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2,450,093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TransDigm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Aerospace and Defense</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Tranche C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3.75%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2/28/2020</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4,945,974</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4,955,789</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4,955,587</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3"/>
              </w:rPr>
              <w:t>Tricorbraun Inc. (fka Kranson Industries,</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Containers/Glass Products</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Term Loan</w:t>
            </w:r>
          </w:p>
        </w:tc>
        <w:tc>
          <w:tcPr>
            <w:tcW w:w="9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Inc.)</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5.50%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5/3/2018</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1,990,000</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1,981,374</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2,008,666</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tcPr>
          <w:p>
            <w:pPr>
              <w:spacing w:after="0" w:line="112" w:lineRule="exact"/>
              <w:rPr>
                <w:sz w:val="20"/>
                <w:szCs w:val="20"/>
                <w:color w:val="auto"/>
              </w:rPr>
            </w:pPr>
            <w:r>
              <w:rPr>
                <w:rFonts w:ascii="Arial" w:cs="Arial" w:eastAsia="Arial" w:hAnsi="Arial"/>
                <w:sz w:val="11"/>
                <w:szCs w:val="11"/>
                <w:color w:val="auto"/>
              </w:rPr>
              <w:t>Truven Health Analytics Inc. (fka</w:t>
            </w:r>
          </w:p>
        </w:tc>
        <w:tc>
          <w:tcPr>
            <w:tcW w:w="1720" w:type="dxa"/>
            <w:vAlign w:val="bottom"/>
          </w:tcPr>
          <w:p>
            <w:pPr>
              <w:ind w:left="80"/>
              <w:spacing w:after="0" w:line="112" w:lineRule="exact"/>
              <w:rPr>
                <w:sz w:val="20"/>
                <w:szCs w:val="20"/>
                <w:color w:val="auto"/>
              </w:rPr>
            </w:pPr>
            <w:r>
              <w:rPr>
                <w:rFonts w:ascii="Arial" w:cs="Arial" w:eastAsia="Arial" w:hAnsi="Arial"/>
                <w:sz w:val="11"/>
                <w:szCs w:val="11"/>
                <w:color w:val="auto"/>
              </w:rPr>
              <w:t>Healthcare</w:t>
            </w:r>
          </w:p>
        </w:tc>
        <w:tc>
          <w:tcPr>
            <w:tcW w:w="1800" w:type="dxa"/>
            <w:vAlign w:val="bottom"/>
          </w:tcPr>
          <w:p>
            <w:pPr>
              <w:ind w:left="120"/>
              <w:spacing w:after="0" w:line="112" w:lineRule="exact"/>
              <w:rPr>
                <w:sz w:val="20"/>
                <w:szCs w:val="20"/>
                <w:color w:val="auto"/>
              </w:rPr>
            </w:pPr>
            <w:r>
              <w:rPr>
                <w:rFonts w:ascii="Arial" w:cs="Arial" w:eastAsia="Arial" w:hAnsi="Arial"/>
                <w:sz w:val="11"/>
                <w:szCs w:val="11"/>
                <w:color w:val="auto"/>
              </w:rPr>
              <w:t>New Tranche B Term Loan</w:t>
            </w:r>
          </w:p>
        </w:tc>
        <w:tc>
          <w:tcPr>
            <w:tcW w:w="9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tcPr>
          <w:p>
            <w:pPr>
              <w:ind w:left="160"/>
              <w:spacing w:after="0"/>
              <w:rPr>
                <w:sz w:val="20"/>
                <w:szCs w:val="20"/>
                <w:color w:val="auto"/>
              </w:rPr>
            </w:pPr>
            <w:r>
              <w:rPr>
                <w:rFonts w:ascii="Arial" w:cs="Arial" w:eastAsia="Arial" w:hAnsi="Arial"/>
                <w:sz w:val="11"/>
                <w:szCs w:val="11"/>
                <w:color w:val="auto"/>
                <w:w w:val="95"/>
              </w:rPr>
              <w:t>Thomson Reuters (Healthcare) Inc.)</w:t>
            </w:r>
          </w:p>
        </w:tc>
        <w:tc>
          <w:tcPr>
            <w:tcW w:w="17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920" w:type="dxa"/>
            <w:vAlign w:val="bottom"/>
          </w:tcPr>
          <w:p>
            <w:pPr>
              <w:ind w:left="80"/>
              <w:spacing w:after="0"/>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rPr>
                <w:sz w:val="20"/>
                <w:szCs w:val="20"/>
                <w:color w:val="auto"/>
              </w:rPr>
            </w:pPr>
            <w:r>
              <w:rPr>
                <w:rFonts w:ascii="Arial" w:cs="Arial" w:eastAsia="Arial" w:hAnsi="Arial"/>
                <w:sz w:val="11"/>
                <w:szCs w:val="11"/>
                <w:color w:val="auto"/>
              </w:rPr>
              <w:t>5.75%</w:t>
            </w:r>
          </w:p>
        </w:tc>
        <w:tc>
          <w:tcPr>
            <w:tcW w:w="800" w:type="dxa"/>
            <w:vAlign w:val="bottom"/>
          </w:tcPr>
          <w:p>
            <w:pPr>
              <w:jc w:val="right"/>
              <w:ind w:right="26"/>
              <w:spacing w:after="0"/>
              <w:rPr>
                <w:sz w:val="20"/>
                <w:szCs w:val="20"/>
                <w:color w:val="auto"/>
              </w:rPr>
            </w:pPr>
            <w:r>
              <w:rPr>
                <w:rFonts w:ascii="Arial" w:cs="Arial" w:eastAsia="Arial" w:hAnsi="Arial"/>
                <w:sz w:val="11"/>
                <w:szCs w:val="11"/>
                <w:color w:val="auto"/>
              </w:rPr>
              <w:t>6/6/2019</w:t>
            </w:r>
          </w:p>
        </w:tc>
        <w:tc>
          <w:tcPr>
            <w:tcW w:w="500" w:type="dxa"/>
            <w:vAlign w:val="bottom"/>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rPr>
                <w:sz w:val="20"/>
                <w:szCs w:val="20"/>
                <w:color w:val="auto"/>
              </w:rPr>
            </w:pPr>
            <w:r>
              <w:rPr>
                <w:rFonts w:ascii="Arial" w:cs="Arial" w:eastAsia="Arial" w:hAnsi="Arial"/>
                <w:sz w:val="11"/>
                <w:szCs w:val="11"/>
                <w:color w:val="auto"/>
              </w:rPr>
              <w:t>497,500</w:t>
            </w:r>
          </w:p>
        </w:tc>
        <w:tc>
          <w:tcPr>
            <w:tcW w:w="920" w:type="dxa"/>
            <w:vAlign w:val="bottom"/>
          </w:tcPr>
          <w:p>
            <w:pPr>
              <w:jc w:val="right"/>
              <w:ind w:right="206"/>
              <w:spacing w:after="0"/>
              <w:rPr>
                <w:sz w:val="20"/>
                <w:szCs w:val="20"/>
                <w:color w:val="auto"/>
              </w:rPr>
            </w:pPr>
            <w:r>
              <w:rPr>
                <w:rFonts w:ascii="Arial" w:cs="Arial" w:eastAsia="Arial" w:hAnsi="Arial"/>
                <w:sz w:val="11"/>
                <w:szCs w:val="11"/>
                <w:color w:val="auto"/>
              </w:rPr>
              <w:t>488,158</w:t>
            </w:r>
          </w:p>
        </w:tc>
        <w:tc>
          <w:tcPr>
            <w:tcW w:w="760" w:type="dxa"/>
            <w:vAlign w:val="bottom"/>
          </w:tcPr>
          <w:p>
            <w:pPr>
              <w:jc w:val="right"/>
              <w:ind w:right="26"/>
              <w:spacing w:after="0"/>
              <w:rPr>
                <w:sz w:val="20"/>
                <w:szCs w:val="20"/>
                <w:color w:val="auto"/>
              </w:rPr>
            </w:pPr>
            <w:r>
              <w:rPr>
                <w:rFonts w:ascii="Arial" w:cs="Arial" w:eastAsia="Arial" w:hAnsi="Arial"/>
                <w:sz w:val="11"/>
                <w:szCs w:val="11"/>
                <w:color w:val="auto"/>
              </w:rPr>
              <w:t>501,853</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Tube City IMS Corporation</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Steel</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5.75%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3/20/2019</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992,500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983,864</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1,001,184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w w:val="96"/>
              </w:rPr>
              <w:t>U.S. Security Associates Holdings,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Delayed Draw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6.00%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7/28/2017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161,778</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160,586</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162,688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w w:val="96"/>
              </w:rPr>
              <w:t>U.S. Security Associates Holdings,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 B</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6.00%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7/28/2017</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123,747</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123,243</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124,444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w w:val="96"/>
              </w:rPr>
              <w:t>U.S. Security Associates Holdings,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Loan B</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6.00%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7/28/2017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826,540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820,452</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831,193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U.S. Silica Company</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Nonferrous Metals/Minerals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4.75%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6/8/2017</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1,970,000</w:t>
            </w:r>
          </w:p>
        </w:tc>
        <w:tc>
          <w:tcPr>
            <w:tcW w:w="92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1,962,974</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1,974,925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U.S. Xpress Enterprises,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Industrial Equipment</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Extended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9.00%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11/13/2016</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2,913,628</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2,858,339</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2,906,344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8"/>
              </w:rPr>
              <w:t>United Surgical Partners International,</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Healthcare</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New Tranche B Term Loan</w:t>
            </w:r>
          </w:p>
        </w:tc>
        <w:tc>
          <w:tcPr>
            <w:tcW w:w="9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Inc.</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6.00%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4/3/2019</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2,481,281</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2,448,808</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2,486,715</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Univar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Chemicals/Plastics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B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6/30/2017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3,924,924</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3,924,007</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3,902,670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Univision Communications Inc.</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Telecommunications</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w w:val="93"/>
              </w:rPr>
              <w:t>2013 Converted Extended First-Lien</w:t>
            </w:r>
          </w:p>
        </w:tc>
        <w:tc>
          <w:tcPr>
            <w:tcW w:w="9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Term Loan</w:t>
            </w: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4.75%</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3/1/2020</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3,000,000</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2,981,257</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3,000,870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UPC Financing Partnership</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Broadcast Radio and Television</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Facility AF</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1/31/2021</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1,000,000</w:t>
            </w:r>
          </w:p>
        </w:tc>
        <w:tc>
          <w:tcPr>
            <w:tcW w:w="9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970,954</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1,010,000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7"/>
              </w:rPr>
              <w:t>Valeant Pharmaceuticals International,</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Drugs</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Series D-1 Tranche B Term Loan</w:t>
            </w:r>
          </w:p>
        </w:tc>
        <w:tc>
          <w:tcPr>
            <w:tcW w:w="92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Inc.</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3.50%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2/13/2019</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2,985,000</w:t>
            </w:r>
          </w:p>
        </w:tc>
        <w:tc>
          <w:tcPr>
            <w:tcW w:w="92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2,972,608</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3,006,462</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ind w:left="220"/>
              <w:spacing w:after="0"/>
              <w:rPr>
                <w:sz w:val="20"/>
                <w:szCs w:val="20"/>
                <w:color w:val="auto"/>
              </w:rPr>
            </w:pPr>
            <w:r>
              <w:rPr>
                <w:rFonts w:ascii="Arial" w:cs="Arial" w:eastAsia="Arial" w:hAnsi="Arial"/>
                <w:sz w:val="18"/>
                <w:szCs w:val="18"/>
                <w:color w:val="auto"/>
              </w:rPr>
              <w:t>28</w:t>
            </w: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00" w:type="dxa"/>
            <w:vAlign w:val="bottom"/>
            <w:tcBorders>
              <w:bottom w:val="single" w:sz="8" w:color="010101"/>
            </w:tcBorders>
          </w:tcPr>
          <w:p>
            <w:pPr>
              <w:spacing w:after="0"/>
              <w:rPr>
                <w:sz w:val="11"/>
                <w:szCs w:val="11"/>
                <w:color w:val="auto"/>
              </w:rPr>
            </w:pPr>
          </w:p>
        </w:tc>
        <w:tc>
          <w:tcPr>
            <w:tcW w:w="1720" w:type="dxa"/>
            <w:vAlign w:val="bottom"/>
            <w:tcBorders>
              <w:bottom w:val="single" w:sz="8" w:color="010101"/>
            </w:tcBorders>
          </w:tcPr>
          <w:p>
            <w:pPr>
              <w:spacing w:after="0"/>
              <w:rPr>
                <w:sz w:val="11"/>
                <w:szCs w:val="11"/>
                <w:color w:val="auto"/>
              </w:rPr>
            </w:pPr>
          </w:p>
        </w:tc>
        <w:tc>
          <w:tcPr>
            <w:tcW w:w="180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1040" w:type="dxa"/>
            <w:vAlign w:val="bottom"/>
            <w:tcBorders>
              <w:bottom w:val="single" w:sz="8" w:color="010101"/>
            </w:tcBorders>
          </w:tcPr>
          <w:p>
            <w:pPr>
              <w:spacing w:after="0"/>
              <w:rPr>
                <w:sz w:val="11"/>
                <w:szCs w:val="11"/>
                <w:color w:val="auto"/>
              </w:rPr>
            </w:pPr>
          </w:p>
        </w:tc>
        <w:tc>
          <w:tcPr>
            <w:tcW w:w="800" w:type="dxa"/>
            <w:vAlign w:val="bottom"/>
            <w:tcBorders>
              <w:bottom w:val="single" w:sz="8" w:color="010101"/>
            </w:tcBorders>
          </w:tcPr>
          <w:p>
            <w:pPr>
              <w:spacing w:after="0"/>
              <w:rPr>
                <w:sz w:val="11"/>
                <w:szCs w:val="11"/>
                <w:color w:val="auto"/>
              </w:rPr>
            </w:pPr>
          </w:p>
        </w:tc>
        <w:tc>
          <w:tcPr>
            <w:tcW w:w="50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92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18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17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1260" w:type="dxa"/>
            <w:vAlign w:val="bottom"/>
            <w:tcBorders>
              <w:top w:val="single" w:sz="8" w:color="0000EE"/>
            </w:tcBorders>
          </w:tcPr>
          <w:p>
            <w:pPr>
              <w:spacing w:after="0"/>
              <w:rPr>
                <w:sz w:val="20"/>
                <w:szCs w:val="20"/>
                <w:color w:val="auto"/>
              </w:rPr>
            </w:pPr>
          </w:p>
        </w:tc>
        <w:tc>
          <w:tcPr>
            <w:tcW w:w="6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12"/>
        </w:trPr>
        <w:tc>
          <w:tcPr>
            <w:tcW w:w="20" w:type="dxa"/>
            <w:vAlign w:val="bottom"/>
            <w:vMerge w:val="continue"/>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w w:val="97"/>
              </w:rPr>
              <w:t>Vantiv, LLC (fka Fifth Third Processing</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Tranche B Term Loan</w:t>
            </w:r>
          </w:p>
        </w:tc>
        <w:tc>
          <w:tcPr>
            <w:tcW w:w="9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860" w:type="dxa"/>
            <w:vAlign w:val="bottom"/>
            <w:gridSpan w:val="2"/>
            <w:shd w:val="clear" w:color="auto" w:fill="CCEEFF"/>
          </w:tcPr>
          <w:p>
            <w:pPr>
              <w:ind w:left="160"/>
              <w:spacing w:after="0"/>
              <w:rPr>
                <w:sz w:val="20"/>
                <w:szCs w:val="20"/>
                <w:color w:val="auto"/>
              </w:rPr>
            </w:pPr>
            <w:r>
              <w:rPr>
                <w:rFonts w:ascii="Arial" w:cs="Arial" w:eastAsia="Arial" w:hAnsi="Arial"/>
                <w:sz w:val="11"/>
                <w:szCs w:val="11"/>
                <w:color w:val="auto"/>
              </w:rPr>
              <w:t>Solutions, LLC)</w:t>
            </w: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3.75%</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3/27/2019</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1,063,393</w:t>
            </w:r>
          </w:p>
        </w:tc>
        <w:tc>
          <w:tcPr>
            <w:tcW w:w="9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1,058,765</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1,065,520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Verint Systems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Loan 2011</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4.50%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10/27/2017</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1,920,000</w:t>
            </w:r>
          </w:p>
        </w:tc>
        <w:tc>
          <w:tcPr>
            <w:tcW w:w="9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1,913,087</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1,921,920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Vertafore,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 (First Lien)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5.25%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7/29/2016</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2,984,781</w:t>
            </w:r>
          </w:p>
        </w:tc>
        <w:tc>
          <w:tcPr>
            <w:tcW w:w="9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2,984,781</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3,018,360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Visant Corporation (fka Jostens)</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Leisure Goods/Activities/Movies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Tranche B Term Loan (2011)</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5.25%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12/22/2016</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3,696,942</w:t>
            </w:r>
          </w:p>
        </w:tc>
        <w:tc>
          <w:tcPr>
            <w:tcW w:w="9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3,696,942</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3,518,269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Washington Inventory Service</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w w:val="97"/>
              </w:rPr>
              <w:t>Business Equipment and Services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U.S. Term Loan (First Lien)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5.75%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12/20/2018</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2,000,000</w:t>
            </w:r>
          </w:p>
        </w:tc>
        <w:tc>
          <w:tcPr>
            <w:tcW w:w="9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2,029,513</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2,007,500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Weight Watchers International, Inc.</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Food Products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D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2.56%</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6/30/2016</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2,700,529</w:t>
            </w:r>
          </w:p>
        </w:tc>
        <w:tc>
          <w:tcPr>
            <w:tcW w:w="9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2,667,383</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2,701,879</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Wendy’s International,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Food Services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4.75%</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5/15/2019</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997,500</w:t>
            </w:r>
          </w:p>
        </w:tc>
        <w:tc>
          <w:tcPr>
            <w:tcW w:w="9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988,532</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1,006,098</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West Corporation</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Telecommunications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Term B-8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4.25%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6/30/2018</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2,971,535</w:t>
            </w:r>
          </w:p>
        </w:tc>
        <w:tc>
          <w:tcPr>
            <w:tcW w:w="9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3,023,298</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2,978,964</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shd w:val="clear" w:color="auto" w:fill="CCEEFF"/>
          </w:tcPr>
          <w:p>
            <w:pPr>
              <w:spacing w:after="0" w:line="122" w:lineRule="exact"/>
              <w:rPr>
                <w:sz w:val="20"/>
                <w:szCs w:val="20"/>
                <w:color w:val="auto"/>
              </w:rPr>
            </w:pPr>
            <w:r>
              <w:rPr>
                <w:rFonts w:ascii="Arial" w:cs="Arial" w:eastAsia="Arial" w:hAnsi="Arial"/>
                <w:sz w:val="11"/>
                <w:szCs w:val="11"/>
                <w:color w:val="auto"/>
              </w:rPr>
              <w:t>Wolverine World Wide, Inc.</w:t>
            </w:r>
          </w:p>
        </w:tc>
        <w:tc>
          <w:tcPr>
            <w:tcW w:w="17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Clothing/Textiles</w:t>
            </w:r>
          </w:p>
        </w:tc>
        <w:tc>
          <w:tcPr>
            <w:tcW w:w="1800" w:type="dxa"/>
            <w:vAlign w:val="bottom"/>
            <w:shd w:val="clear" w:color="auto" w:fill="CCEEFF"/>
          </w:tcPr>
          <w:p>
            <w:pPr>
              <w:ind w:left="120"/>
              <w:spacing w:after="0" w:line="122" w:lineRule="exact"/>
              <w:rPr>
                <w:sz w:val="20"/>
                <w:szCs w:val="20"/>
                <w:color w:val="auto"/>
              </w:rPr>
            </w:pPr>
            <w:r>
              <w:rPr>
                <w:rFonts w:ascii="Arial" w:cs="Arial" w:eastAsia="Arial" w:hAnsi="Arial"/>
                <w:sz w:val="11"/>
                <w:szCs w:val="11"/>
                <w:color w:val="auto"/>
              </w:rPr>
              <w:t>Tranche B Term Loan</w:t>
            </w:r>
          </w:p>
        </w:tc>
        <w:tc>
          <w:tcPr>
            <w:tcW w:w="920" w:type="dxa"/>
            <w:vAlign w:val="bottom"/>
            <w:shd w:val="clear" w:color="auto" w:fill="CCEEFF"/>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shd w:val="clear" w:color="auto" w:fill="CCEEFF"/>
          </w:tcPr>
          <w:p>
            <w:pPr>
              <w:jc w:val="right"/>
              <w:ind w:right="166"/>
              <w:spacing w:after="0" w:line="122" w:lineRule="exact"/>
              <w:rPr>
                <w:sz w:val="20"/>
                <w:szCs w:val="20"/>
                <w:color w:val="auto"/>
              </w:rPr>
            </w:pPr>
            <w:r>
              <w:rPr>
                <w:rFonts w:ascii="Arial" w:cs="Arial" w:eastAsia="Arial" w:hAnsi="Arial"/>
                <w:sz w:val="11"/>
                <w:szCs w:val="11"/>
                <w:color w:val="auto"/>
              </w:rPr>
              <w:t>4.00%</w:t>
            </w:r>
          </w:p>
        </w:tc>
        <w:tc>
          <w:tcPr>
            <w:tcW w:w="80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10/9/2019</w:t>
            </w:r>
          </w:p>
        </w:tc>
        <w:tc>
          <w:tcPr>
            <w:tcW w:w="500" w:type="dxa"/>
            <w:vAlign w:val="bottom"/>
            <w:shd w:val="clear" w:color="auto" w:fill="CCEEFF"/>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line="122" w:lineRule="exact"/>
              <w:rPr>
                <w:sz w:val="20"/>
                <w:szCs w:val="20"/>
                <w:color w:val="auto"/>
              </w:rPr>
            </w:pPr>
            <w:r>
              <w:rPr>
                <w:rFonts w:ascii="Arial" w:cs="Arial" w:eastAsia="Arial" w:hAnsi="Arial"/>
                <w:sz w:val="11"/>
                <w:szCs w:val="11"/>
                <w:color w:val="auto"/>
              </w:rPr>
              <w:t>854,821</w:t>
            </w:r>
          </w:p>
        </w:tc>
        <w:tc>
          <w:tcPr>
            <w:tcW w:w="920" w:type="dxa"/>
            <w:vAlign w:val="bottom"/>
            <w:shd w:val="clear" w:color="auto" w:fill="CCEEFF"/>
          </w:tcPr>
          <w:p>
            <w:pPr>
              <w:jc w:val="right"/>
              <w:ind w:right="186"/>
              <w:spacing w:after="0" w:line="122" w:lineRule="exact"/>
              <w:rPr>
                <w:sz w:val="20"/>
                <w:szCs w:val="20"/>
                <w:color w:val="auto"/>
              </w:rPr>
            </w:pPr>
            <w:r>
              <w:rPr>
                <w:rFonts w:ascii="Arial" w:cs="Arial" w:eastAsia="Arial" w:hAnsi="Arial"/>
                <w:sz w:val="11"/>
                <w:szCs w:val="11"/>
                <w:color w:val="auto"/>
              </w:rPr>
              <w:t>846,633</w:t>
            </w:r>
          </w:p>
        </w:tc>
        <w:tc>
          <w:tcPr>
            <w:tcW w:w="760" w:type="dxa"/>
            <w:vAlign w:val="bottom"/>
            <w:shd w:val="clear" w:color="auto" w:fill="CCEEFF"/>
          </w:tcPr>
          <w:p>
            <w:pPr>
              <w:jc w:val="right"/>
              <w:ind w:right="26"/>
              <w:spacing w:after="0" w:line="122" w:lineRule="exact"/>
              <w:rPr>
                <w:sz w:val="20"/>
                <w:szCs w:val="20"/>
                <w:color w:val="auto"/>
              </w:rPr>
            </w:pPr>
            <w:r>
              <w:rPr>
                <w:rFonts w:ascii="Arial" w:cs="Arial" w:eastAsia="Arial" w:hAnsi="Arial"/>
                <w:sz w:val="11"/>
                <w:szCs w:val="11"/>
                <w:color w:val="auto"/>
              </w:rPr>
              <w:t>861,233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Yankee Candle Company, Inc., The</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w w:val="95"/>
              </w:rPr>
              <w:t>Retailers (Except Food and Drugs)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rPr>
              <w:t>Initial Term Loan</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Loan</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5.25%</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4/2/2019</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2,256,466</w:t>
            </w:r>
          </w:p>
        </w:tc>
        <w:tc>
          <w:tcPr>
            <w:tcW w:w="9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2,236,833</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2,268,876</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1860" w:type="dxa"/>
            <w:vAlign w:val="bottom"/>
            <w:gridSpan w:val="2"/>
            <w:shd w:val="clear" w:color="auto" w:fill="CCEEFF"/>
          </w:tcPr>
          <w:p>
            <w:pPr>
              <w:spacing w:after="0" w:line="112" w:lineRule="exact"/>
              <w:rPr>
                <w:sz w:val="20"/>
                <w:szCs w:val="20"/>
                <w:color w:val="auto"/>
              </w:rPr>
            </w:pPr>
            <w:r>
              <w:rPr>
                <w:rFonts w:ascii="Arial" w:cs="Arial" w:eastAsia="Arial" w:hAnsi="Arial"/>
                <w:sz w:val="11"/>
                <w:szCs w:val="11"/>
                <w:color w:val="auto"/>
              </w:rPr>
              <w:t>BABSN 2007-1A</w:t>
            </w:r>
          </w:p>
        </w:tc>
        <w:tc>
          <w:tcPr>
            <w:tcW w:w="17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Financial Intermediaries</w:t>
            </w:r>
          </w:p>
        </w:tc>
        <w:tc>
          <w:tcPr>
            <w:tcW w:w="1800" w:type="dxa"/>
            <w:vAlign w:val="bottom"/>
            <w:shd w:val="clear" w:color="auto" w:fill="CCEEFF"/>
          </w:tcPr>
          <w:p>
            <w:pPr>
              <w:ind w:left="120"/>
              <w:spacing w:after="0" w:line="112" w:lineRule="exact"/>
              <w:rPr>
                <w:sz w:val="20"/>
                <w:szCs w:val="20"/>
                <w:color w:val="auto"/>
              </w:rPr>
            </w:pPr>
            <w:r>
              <w:rPr>
                <w:rFonts w:ascii="Arial" w:cs="Arial" w:eastAsia="Arial" w:hAnsi="Arial"/>
                <w:sz w:val="11"/>
                <w:szCs w:val="11"/>
                <w:color w:val="auto"/>
              </w:rPr>
              <w:t>Floating - 01/2021 - D1 -</w:t>
            </w:r>
          </w:p>
        </w:tc>
        <w:tc>
          <w:tcPr>
            <w:tcW w:w="920" w:type="dxa"/>
            <w:vAlign w:val="bottom"/>
            <w:shd w:val="clear" w:color="auto" w:fill="CCEEFF"/>
          </w:tcPr>
          <w:p>
            <w:pPr>
              <w:ind w:left="80"/>
              <w:spacing w:after="0" w:line="112" w:lineRule="exact"/>
              <w:rPr>
                <w:sz w:val="20"/>
                <w:szCs w:val="20"/>
                <w:color w:val="auto"/>
              </w:rPr>
            </w:pPr>
            <w:r>
              <w:rPr>
                <w:rFonts w:ascii="Arial" w:cs="Arial" w:eastAsia="Arial" w:hAnsi="Arial"/>
                <w:sz w:val="11"/>
                <w:szCs w:val="11"/>
                <w:color w:val="auto"/>
              </w:rPr>
              <w:t>ABS</w:t>
            </w:r>
          </w:p>
        </w:tc>
        <w:tc>
          <w:tcPr>
            <w:tcW w:w="1040" w:type="dxa"/>
            <w:vAlign w:val="bottom"/>
            <w:shd w:val="clear" w:color="auto" w:fill="CCEEFF"/>
          </w:tcPr>
          <w:p>
            <w:pPr>
              <w:spacing w:after="0"/>
              <w:rPr>
                <w:sz w:val="9"/>
                <w:szCs w:val="9"/>
                <w:color w:val="auto"/>
              </w:rPr>
            </w:pPr>
          </w:p>
        </w:tc>
        <w:tc>
          <w:tcPr>
            <w:tcW w:w="800" w:type="dxa"/>
            <w:vAlign w:val="bottom"/>
            <w:shd w:val="clear" w:color="auto" w:fill="CCEEFF"/>
          </w:tcPr>
          <w:p>
            <w:pPr>
              <w:spacing w:after="0"/>
              <w:rPr>
                <w:sz w:val="9"/>
                <w:szCs w:val="9"/>
                <w:color w:val="auto"/>
              </w:rPr>
            </w:pPr>
          </w:p>
        </w:tc>
        <w:tc>
          <w:tcPr>
            <w:tcW w:w="50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92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600" w:type="dxa"/>
            <w:vAlign w:val="bottom"/>
            <w:shd w:val="clear" w:color="auto" w:fill="CCEEFF"/>
          </w:tcPr>
          <w:p>
            <w:pPr>
              <w:spacing w:after="0"/>
              <w:rPr>
                <w:sz w:val="11"/>
                <w:szCs w:val="11"/>
                <w:color w:val="auto"/>
              </w:rPr>
            </w:pPr>
          </w:p>
        </w:tc>
        <w:tc>
          <w:tcPr>
            <w:tcW w:w="1720" w:type="dxa"/>
            <w:vAlign w:val="bottom"/>
            <w:shd w:val="clear" w:color="auto" w:fill="CCEEFF"/>
          </w:tcPr>
          <w:p>
            <w:pPr>
              <w:spacing w:after="0"/>
              <w:rPr>
                <w:sz w:val="11"/>
                <w:szCs w:val="11"/>
                <w:color w:val="auto"/>
              </w:rPr>
            </w:pPr>
          </w:p>
        </w:tc>
        <w:tc>
          <w:tcPr>
            <w:tcW w:w="18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05617AAA9</w:t>
            </w:r>
          </w:p>
        </w:tc>
        <w:tc>
          <w:tcPr>
            <w:tcW w:w="920" w:type="dxa"/>
            <w:vAlign w:val="bottom"/>
            <w:shd w:val="clear" w:color="auto" w:fill="CCEEFF"/>
          </w:tcPr>
          <w:p>
            <w:pPr>
              <w:spacing w:after="0"/>
              <w:rPr>
                <w:sz w:val="11"/>
                <w:szCs w:val="11"/>
                <w:color w:val="auto"/>
              </w:rPr>
            </w:pP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3.55%</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1/18/2021</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1,500,000</w:t>
            </w:r>
          </w:p>
        </w:tc>
        <w:tc>
          <w:tcPr>
            <w:tcW w:w="9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1,258,888</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1,050,000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860" w:type="dxa"/>
            <w:vAlign w:val="bottom"/>
            <w:gridSpan w:val="2"/>
          </w:tcPr>
          <w:p>
            <w:pPr>
              <w:spacing w:after="0" w:line="122" w:lineRule="exact"/>
              <w:rPr>
                <w:sz w:val="20"/>
                <w:szCs w:val="20"/>
                <w:color w:val="auto"/>
              </w:rPr>
            </w:pPr>
            <w:r>
              <w:rPr>
                <w:rFonts w:ascii="Arial" w:cs="Arial" w:eastAsia="Arial" w:hAnsi="Arial"/>
                <w:sz w:val="11"/>
                <w:szCs w:val="11"/>
                <w:color w:val="auto"/>
              </w:rPr>
              <w:t>GALE 2007-3A</w:t>
            </w:r>
          </w:p>
        </w:tc>
        <w:tc>
          <w:tcPr>
            <w:tcW w:w="1720" w:type="dxa"/>
            <w:vAlign w:val="bottom"/>
          </w:tcPr>
          <w:p>
            <w:pPr>
              <w:ind w:left="80"/>
              <w:spacing w:after="0" w:line="122" w:lineRule="exact"/>
              <w:rPr>
                <w:sz w:val="20"/>
                <w:szCs w:val="20"/>
                <w:color w:val="auto"/>
              </w:rPr>
            </w:pPr>
            <w:r>
              <w:rPr>
                <w:rFonts w:ascii="Arial" w:cs="Arial" w:eastAsia="Arial" w:hAnsi="Arial"/>
                <w:sz w:val="11"/>
                <w:szCs w:val="11"/>
                <w:color w:val="auto"/>
              </w:rPr>
              <w:t>Financial Intermediaries</w:t>
            </w:r>
          </w:p>
        </w:tc>
        <w:tc>
          <w:tcPr>
            <w:tcW w:w="1800" w:type="dxa"/>
            <w:vAlign w:val="bottom"/>
          </w:tcPr>
          <w:p>
            <w:pPr>
              <w:ind w:left="120"/>
              <w:spacing w:after="0" w:line="122" w:lineRule="exact"/>
              <w:rPr>
                <w:sz w:val="20"/>
                <w:szCs w:val="20"/>
                <w:color w:val="auto"/>
              </w:rPr>
            </w:pPr>
            <w:r>
              <w:rPr>
                <w:rFonts w:ascii="Arial" w:cs="Arial" w:eastAsia="Arial" w:hAnsi="Arial"/>
                <w:sz w:val="11"/>
                <w:szCs w:val="11"/>
                <w:color w:val="auto"/>
                <w:w w:val="95"/>
              </w:rPr>
              <w:t>Floating - 04/2021 - E - 363205AA3</w:t>
            </w:r>
          </w:p>
        </w:tc>
        <w:tc>
          <w:tcPr>
            <w:tcW w:w="920" w:type="dxa"/>
            <w:vAlign w:val="bottom"/>
          </w:tcPr>
          <w:p>
            <w:pPr>
              <w:ind w:left="80"/>
              <w:spacing w:after="0" w:line="122" w:lineRule="exact"/>
              <w:rPr>
                <w:sz w:val="20"/>
                <w:szCs w:val="20"/>
                <w:color w:val="auto"/>
              </w:rPr>
            </w:pPr>
            <w:r>
              <w:rPr>
                <w:rFonts w:ascii="Arial" w:cs="Arial" w:eastAsia="Arial" w:hAnsi="Arial"/>
                <w:sz w:val="11"/>
                <w:szCs w:val="11"/>
                <w:color w:val="auto"/>
              </w:rPr>
              <w:t>ABS</w:t>
            </w:r>
          </w:p>
        </w:tc>
        <w:tc>
          <w:tcPr>
            <w:tcW w:w="1040" w:type="dxa"/>
            <w:vAlign w:val="bottom"/>
          </w:tcPr>
          <w:p>
            <w:pPr>
              <w:jc w:val="right"/>
              <w:ind w:right="166"/>
              <w:spacing w:after="0" w:line="122" w:lineRule="exact"/>
              <w:rPr>
                <w:sz w:val="20"/>
                <w:szCs w:val="20"/>
                <w:color w:val="auto"/>
              </w:rPr>
            </w:pPr>
            <w:r>
              <w:rPr>
                <w:rFonts w:ascii="Arial" w:cs="Arial" w:eastAsia="Arial" w:hAnsi="Arial"/>
                <w:sz w:val="11"/>
                <w:szCs w:val="11"/>
                <w:color w:val="auto"/>
              </w:rPr>
              <w:t>3.80%</w:t>
            </w:r>
          </w:p>
        </w:tc>
        <w:tc>
          <w:tcPr>
            <w:tcW w:w="800" w:type="dxa"/>
            <w:vAlign w:val="bottom"/>
          </w:tcPr>
          <w:p>
            <w:pPr>
              <w:jc w:val="right"/>
              <w:ind w:right="26"/>
              <w:spacing w:after="0" w:line="122" w:lineRule="exact"/>
              <w:rPr>
                <w:sz w:val="20"/>
                <w:szCs w:val="20"/>
                <w:color w:val="auto"/>
              </w:rPr>
            </w:pPr>
            <w:r>
              <w:rPr>
                <w:rFonts w:ascii="Arial" w:cs="Arial" w:eastAsia="Arial" w:hAnsi="Arial"/>
                <w:sz w:val="11"/>
                <w:szCs w:val="11"/>
                <w:color w:val="auto"/>
              </w:rPr>
              <w:t>4/19/2021</w:t>
            </w:r>
          </w:p>
        </w:tc>
        <w:tc>
          <w:tcPr>
            <w:tcW w:w="500" w:type="dxa"/>
            <w:vAlign w:val="bottom"/>
          </w:tcPr>
          <w:p>
            <w:pPr>
              <w:jc w:val="right"/>
              <w:ind w:right="326"/>
              <w:spacing w:after="0" w:line="122" w:lineRule="exact"/>
              <w:rPr>
                <w:sz w:val="20"/>
                <w:szCs w:val="20"/>
                <w:color w:val="auto"/>
              </w:rPr>
            </w:pPr>
            <w:r>
              <w:rPr>
                <w:rFonts w:ascii="Arial" w:cs="Arial" w:eastAsia="Arial" w:hAnsi="Arial"/>
                <w:sz w:val="11"/>
                <w:szCs w:val="11"/>
                <w:color w:val="auto"/>
              </w:rPr>
              <w:t>$</w:t>
            </w:r>
          </w:p>
        </w:tc>
        <w:tc>
          <w:tcPr>
            <w:tcW w:w="108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4,000,000</w:t>
            </w:r>
          </w:p>
        </w:tc>
        <w:tc>
          <w:tcPr>
            <w:tcW w:w="920" w:type="dxa"/>
            <w:vAlign w:val="bottom"/>
          </w:tcPr>
          <w:p>
            <w:pPr>
              <w:jc w:val="right"/>
              <w:ind w:right="186"/>
              <w:spacing w:after="0" w:line="122" w:lineRule="exact"/>
              <w:rPr>
                <w:sz w:val="20"/>
                <w:szCs w:val="20"/>
                <w:color w:val="auto"/>
              </w:rPr>
            </w:pPr>
            <w:r>
              <w:rPr>
                <w:rFonts w:ascii="Arial" w:cs="Arial" w:eastAsia="Arial" w:hAnsi="Arial"/>
                <w:sz w:val="11"/>
                <w:szCs w:val="11"/>
                <w:color w:val="auto"/>
              </w:rPr>
              <w:t>3,386,571</w:t>
            </w:r>
          </w:p>
        </w:tc>
        <w:tc>
          <w:tcPr>
            <w:tcW w:w="760" w:type="dxa"/>
            <w:vAlign w:val="bottom"/>
          </w:tcPr>
          <w:p>
            <w:pPr>
              <w:jc w:val="right"/>
              <w:ind w:right="26"/>
              <w:spacing w:after="0" w:line="122" w:lineRule="exact"/>
              <w:rPr>
                <w:sz w:val="20"/>
                <w:szCs w:val="20"/>
                <w:color w:val="auto"/>
              </w:rPr>
            </w:pPr>
            <w:r>
              <w:rPr>
                <w:rFonts w:ascii="Arial" w:cs="Arial" w:eastAsia="Arial" w:hAnsi="Arial"/>
                <w:sz w:val="11"/>
                <w:szCs w:val="11"/>
                <w:color w:val="auto"/>
              </w:rPr>
              <w:t>2,800,000</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1860" w:type="dxa"/>
            <w:vAlign w:val="bottom"/>
            <w:gridSpan w:val="2"/>
            <w:shd w:val="clear" w:color="auto" w:fill="CCEEFF"/>
          </w:tcPr>
          <w:p>
            <w:pPr>
              <w:spacing w:after="0"/>
              <w:rPr>
                <w:sz w:val="20"/>
                <w:szCs w:val="20"/>
                <w:color w:val="auto"/>
              </w:rPr>
            </w:pPr>
            <w:r>
              <w:rPr>
                <w:rFonts w:ascii="Arial" w:cs="Arial" w:eastAsia="Arial" w:hAnsi="Arial"/>
                <w:sz w:val="11"/>
                <w:szCs w:val="11"/>
                <w:color w:val="auto"/>
              </w:rPr>
              <w:t>KATO 2006-9A</w:t>
            </w:r>
          </w:p>
        </w:tc>
        <w:tc>
          <w:tcPr>
            <w:tcW w:w="1720" w:type="dxa"/>
            <w:vAlign w:val="bottom"/>
            <w:shd w:val="clear" w:color="auto" w:fill="CCEEFF"/>
          </w:tcPr>
          <w:p>
            <w:pPr>
              <w:ind w:left="80"/>
              <w:spacing w:after="0"/>
              <w:rPr>
                <w:sz w:val="20"/>
                <w:szCs w:val="20"/>
                <w:color w:val="auto"/>
              </w:rPr>
            </w:pPr>
            <w:r>
              <w:rPr>
                <w:rFonts w:ascii="Arial" w:cs="Arial" w:eastAsia="Arial" w:hAnsi="Arial"/>
                <w:sz w:val="11"/>
                <w:szCs w:val="11"/>
                <w:color w:val="auto"/>
              </w:rPr>
              <w:t>Financial Intermediaries</w:t>
            </w:r>
          </w:p>
        </w:tc>
        <w:tc>
          <w:tcPr>
            <w:tcW w:w="1800" w:type="dxa"/>
            <w:vAlign w:val="bottom"/>
            <w:shd w:val="clear" w:color="auto" w:fill="CCEEFF"/>
          </w:tcPr>
          <w:p>
            <w:pPr>
              <w:ind w:left="120"/>
              <w:spacing w:after="0"/>
              <w:rPr>
                <w:sz w:val="20"/>
                <w:szCs w:val="20"/>
                <w:color w:val="auto"/>
              </w:rPr>
            </w:pPr>
            <w:r>
              <w:rPr>
                <w:rFonts w:ascii="Arial" w:cs="Arial" w:eastAsia="Arial" w:hAnsi="Arial"/>
                <w:sz w:val="11"/>
                <w:szCs w:val="11"/>
                <w:color w:val="auto"/>
              </w:rPr>
              <w:t>Floating - 01/2019 - B2L -</w:t>
            </w:r>
          </w:p>
        </w:tc>
        <w:tc>
          <w:tcPr>
            <w:tcW w:w="920" w:type="dxa"/>
            <w:vAlign w:val="bottom"/>
            <w:shd w:val="clear" w:color="auto" w:fill="CCEEFF"/>
          </w:tcPr>
          <w:p>
            <w:pPr>
              <w:ind w:left="80"/>
              <w:spacing w:after="0"/>
              <w:rPr>
                <w:sz w:val="20"/>
                <w:szCs w:val="20"/>
                <w:color w:val="auto"/>
              </w:rPr>
            </w:pPr>
            <w:r>
              <w:rPr>
                <w:rFonts w:ascii="Arial" w:cs="Arial" w:eastAsia="Arial" w:hAnsi="Arial"/>
                <w:sz w:val="11"/>
                <w:szCs w:val="11"/>
                <w:color w:val="auto"/>
              </w:rPr>
              <w:t>ABS</w:t>
            </w:r>
          </w:p>
        </w:tc>
        <w:tc>
          <w:tcPr>
            <w:tcW w:w="1040" w:type="dxa"/>
            <w:vAlign w:val="bottom"/>
            <w:shd w:val="clear" w:color="auto" w:fill="CCEEFF"/>
          </w:tcPr>
          <w:p>
            <w:pPr>
              <w:jc w:val="right"/>
              <w:ind w:right="166"/>
              <w:spacing w:after="0"/>
              <w:rPr>
                <w:sz w:val="20"/>
                <w:szCs w:val="20"/>
                <w:color w:val="auto"/>
              </w:rPr>
            </w:pPr>
            <w:r>
              <w:rPr>
                <w:rFonts w:ascii="Arial" w:cs="Arial" w:eastAsia="Arial" w:hAnsi="Arial"/>
                <w:sz w:val="11"/>
                <w:szCs w:val="11"/>
                <w:color w:val="auto"/>
              </w:rPr>
              <w:t>3.80%</w:t>
            </w:r>
          </w:p>
        </w:tc>
        <w:tc>
          <w:tcPr>
            <w:tcW w:w="80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1/25/2019</w:t>
            </w:r>
          </w:p>
        </w:tc>
        <w:tc>
          <w:tcPr>
            <w:tcW w:w="500" w:type="dxa"/>
            <w:vAlign w:val="bottom"/>
            <w:shd w:val="clear" w:color="auto" w:fill="CCEEFF"/>
          </w:tcPr>
          <w:p>
            <w:pPr>
              <w:jc w:val="right"/>
              <w:ind w:right="326"/>
              <w:spacing w:after="0"/>
              <w:rPr>
                <w:sz w:val="20"/>
                <w:szCs w:val="20"/>
                <w:color w:val="auto"/>
              </w:rPr>
            </w:pPr>
            <w:r>
              <w:rPr>
                <w:rFonts w:ascii="Arial" w:cs="Arial" w:eastAsia="Arial" w:hAnsi="Arial"/>
                <w:sz w:val="11"/>
                <w:szCs w:val="11"/>
                <w:color w:val="auto"/>
              </w:rPr>
              <w:t>$</w:t>
            </w:r>
          </w:p>
        </w:tc>
        <w:tc>
          <w:tcPr>
            <w:tcW w:w="1080" w:type="dxa"/>
            <w:vAlign w:val="bottom"/>
            <w:shd w:val="clear" w:color="auto" w:fill="CCEEFF"/>
          </w:tcPr>
          <w:p>
            <w:pPr>
              <w:jc w:val="right"/>
              <w:ind w:right="206"/>
              <w:spacing w:after="0"/>
              <w:rPr>
                <w:sz w:val="20"/>
                <w:szCs w:val="20"/>
                <w:color w:val="auto"/>
              </w:rPr>
            </w:pPr>
            <w:r>
              <w:rPr>
                <w:rFonts w:ascii="Arial" w:cs="Arial" w:eastAsia="Arial" w:hAnsi="Arial"/>
                <w:sz w:val="11"/>
                <w:szCs w:val="11"/>
                <w:color w:val="auto"/>
              </w:rPr>
              <w:t>5,000,000</w:t>
            </w:r>
          </w:p>
        </w:tc>
        <w:tc>
          <w:tcPr>
            <w:tcW w:w="920" w:type="dxa"/>
            <w:vAlign w:val="bottom"/>
            <w:shd w:val="clear" w:color="auto" w:fill="CCEEFF"/>
          </w:tcPr>
          <w:p>
            <w:pPr>
              <w:jc w:val="right"/>
              <w:ind w:right="186"/>
              <w:spacing w:after="0"/>
              <w:rPr>
                <w:sz w:val="20"/>
                <w:szCs w:val="20"/>
                <w:color w:val="auto"/>
              </w:rPr>
            </w:pPr>
            <w:r>
              <w:rPr>
                <w:rFonts w:ascii="Arial" w:cs="Arial" w:eastAsia="Arial" w:hAnsi="Arial"/>
                <w:sz w:val="11"/>
                <w:szCs w:val="11"/>
                <w:color w:val="auto"/>
              </w:rPr>
              <w:t>4,339,337</w:t>
            </w:r>
          </w:p>
        </w:tc>
        <w:tc>
          <w:tcPr>
            <w:tcW w:w="760" w:type="dxa"/>
            <w:vAlign w:val="bottom"/>
            <w:shd w:val="clear" w:color="auto" w:fill="CCEEFF"/>
          </w:tcPr>
          <w:p>
            <w:pPr>
              <w:jc w:val="right"/>
              <w:ind w:right="26"/>
              <w:spacing w:after="0"/>
              <w:rPr>
                <w:sz w:val="20"/>
                <w:szCs w:val="20"/>
                <w:color w:val="auto"/>
              </w:rPr>
            </w:pPr>
            <w:r>
              <w:rPr>
                <w:rFonts w:ascii="Arial" w:cs="Arial" w:eastAsia="Arial" w:hAnsi="Arial"/>
                <w:sz w:val="11"/>
                <w:szCs w:val="11"/>
                <w:color w:val="auto"/>
              </w:rPr>
              <w:t>3,500,000</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600" w:type="dxa"/>
            <w:vAlign w:val="bottom"/>
            <w:shd w:val="clear" w:color="auto" w:fill="CCEEFF"/>
          </w:tcPr>
          <w:p>
            <w:pPr>
              <w:spacing w:after="0"/>
              <w:rPr>
                <w:sz w:val="7"/>
                <w:szCs w:val="7"/>
                <w:color w:val="auto"/>
              </w:rPr>
            </w:pPr>
          </w:p>
        </w:tc>
        <w:tc>
          <w:tcPr>
            <w:tcW w:w="1720" w:type="dxa"/>
            <w:vAlign w:val="bottom"/>
            <w:shd w:val="clear" w:color="auto" w:fill="CCEEFF"/>
          </w:tcPr>
          <w:p>
            <w:pPr>
              <w:spacing w:after="0"/>
              <w:rPr>
                <w:sz w:val="7"/>
                <w:szCs w:val="7"/>
                <w:color w:val="auto"/>
              </w:rPr>
            </w:pPr>
          </w:p>
        </w:tc>
        <w:tc>
          <w:tcPr>
            <w:tcW w:w="180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1040" w:type="dxa"/>
            <w:vAlign w:val="bottom"/>
            <w:shd w:val="clear" w:color="auto" w:fill="CCEEFF"/>
          </w:tcPr>
          <w:p>
            <w:pPr>
              <w:spacing w:after="0"/>
              <w:rPr>
                <w:sz w:val="7"/>
                <w:szCs w:val="7"/>
                <w:color w:val="auto"/>
              </w:rPr>
            </w:pPr>
          </w:p>
        </w:tc>
        <w:tc>
          <w:tcPr>
            <w:tcW w:w="800" w:type="dxa"/>
            <w:vAlign w:val="bottom"/>
            <w:shd w:val="clear" w:color="auto" w:fill="CCEEFF"/>
          </w:tcPr>
          <w:p>
            <w:pPr>
              <w:spacing w:after="0"/>
              <w:rPr>
                <w:sz w:val="7"/>
                <w:szCs w:val="7"/>
                <w:color w:val="auto"/>
              </w:rPr>
            </w:pPr>
          </w:p>
        </w:tc>
        <w:tc>
          <w:tcPr>
            <w:tcW w:w="50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920" w:type="dxa"/>
            <w:vAlign w:val="bottom"/>
            <w:shd w:val="clear" w:color="auto" w:fill="CCEEFF"/>
          </w:tcPr>
          <w:p>
            <w:pPr>
              <w:spacing w:after="0"/>
              <w:rPr>
                <w:sz w:val="7"/>
                <w:szCs w:val="7"/>
                <w:color w:val="auto"/>
              </w:rPr>
            </w:pPr>
          </w:p>
        </w:tc>
        <w:tc>
          <w:tcPr>
            <w:tcW w:w="76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-8167370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-8167370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-1743710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-1743710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35" w:right="199" w:bottom="0" w:gutter="0" w:footer="0" w:header="0"/>
        </w:sectPr>
      </w:pPr>
    </w:p>
    <w:bookmarkStart w:id="19" w:name="page20"/>
    <w:bookmarkEnd w:id="19"/>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360" w:type="dxa"/>
            <w:vAlign w:val="bottom"/>
            <w:shd w:val="clear" w:color="auto" w:fill="CCEEFF"/>
          </w:tcPr>
          <w:p>
            <w:pPr>
              <w:spacing w:after="0"/>
              <w:rPr>
                <w:sz w:val="10"/>
                <w:szCs w:val="10"/>
                <w:color w:val="auto"/>
              </w:rPr>
            </w:pPr>
          </w:p>
        </w:tc>
        <w:tc>
          <w:tcPr>
            <w:tcW w:w="2020" w:type="dxa"/>
            <w:vAlign w:val="bottom"/>
            <w:shd w:val="clear" w:color="auto" w:fill="CCEEFF"/>
          </w:tcPr>
          <w:p>
            <w:pPr>
              <w:spacing w:after="0"/>
              <w:rPr>
                <w:sz w:val="10"/>
                <w:szCs w:val="10"/>
                <w:color w:val="auto"/>
              </w:rPr>
            </w:pPr>
          </w:p>
        </w:tc>
        <w:tc>
          <w:tcPr>
            <w:tcW w:w="2900" w:type="dxa"/>
            <w:vAlign w:val="bottom"/>
            <w:shd w:val="clear" w:color="auto" w:fill="CCEEFF"/>
          </w:tcPr>
          <w:p>
            <w:pPr>
              <w:ind w:left="340"/>
              <w:spacing w:after="0"/>
              <w:rPr>
                <w:sz w:val="20"/>
                <w:szCs w:val="20"/>
                <w:color w:val="auto"/>
              </w:rPr>
            </w:pPr>
            <w:r>
              <w:rPr>
                <w:rFonts w:ascii="Arial" w:cs="Arial" w:eastAsia="Arial" w:hAnsi="Arial"/>
                <w:sz w:val="11"/>
                <w:szCs w:val="11"/>
                <w:color w:val="auto"/>
              </w:rPr>
              <w:t>486010AA9</w:t>
            </w:r>
          </w:p>
        </w:tc>
        <w:tc>
          <w:tcPr>
            <w:tcW w:w="11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9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22"/>
        </w:trPr>
        <w:tc>
          <w:tcPr>
            <w:tcW w:w="1360" w:type="dxa"/>
            <w:vAlign w:val="bottom"/>
          </w:tcPr>
          <w:p>
            <w:pPr>
              <w:spacing w:after="0" w:line="122" w:lineRule="exact"/>
              <w:rPr>
                <w:sz w:val="20"/>
                <w:szCs w:val="20"/>
                <w:color w:val="auto"/>
              </w:rPr>
            </w:pPr>
            <w:r>
              <w:rPr>
                <w:rFonts w:ascii="Arial" w:cs="Arial" w:eastAsia="Arial" w:hAnsi="Arial"/>
                <w:sz w:val="11"/>
                <w:szCs w:val="11"/>
                <w:color w:val="auto"/>
              </w:rPr>
              <w:t>STCLO 2007-6A</w:t>
            </w:r>
          </w:p>
        </w:tc>
        <w:tc>
          <w:tcPr>
            <w:tcW w:w="2020" w:type="dxa"/>
            <w:vAlign w:val="bottom"/>
          </w:tcPr>
          <w:p>
            <w:pPr>
              <w:ind w:left="600"/>
              <w:spacing w:after="0" w:line="122" w:lineRule="exact"/>
              <w:rPr>
                <w:sz w:val="20"/>
                <w:szCs w:val="20"/>
                <w:color w:val="auto"/>
              </w:rPr>
            </w:pPr>
            <w:r>
              <w:rPr>
                <w:rFonts w:ascii="Arial" w:cs="Arial" w:eastAsia="Arial" w:hAnsi="Arial"/>
                <w:sz w:val="11"/>
                <w:szCs w:val="11"/>
                <w:color w:val="auto"/>
              </w:rPr>
              <w:t>Financial Intermediaries</w:t>
            </w:r>
          </w:p>
        </w:tc>
        <w:tc>
          <w:tcPr>
            <w:tcW w:w="2900" w:type="dxa"/>
            <w:vAlign w:val="bottom"/>
          </w:tcPr>
          <w:p>
            <w:pPr>
              <w:ind w:left="340"/>
              <w:spacing w:after="0" w:line="122" w:lineRule="exact"/>
              <w:rPr>
                <w:sz w:val="20"/>
                <w:szCs w:val="20"/>
                <w:color w:val="auto"/>
              </w:rPr>
            </w:pPr>
            <w:r>
              <w:rPr>
                <w:rFonts w:ascii="Arial" w:cs="Arial" w:eastAsia="Arial" w:hAnsi="Arial"/>
                <w:sz w:val="11"/>
                <w:szCs w:val="11"/>
                <w:color w:val="auto"/>
              </w:rPr>
              <w:t>Floating - 04/2021 - D- 86176YAG7   ABS</w:t>
            </w:r>
          </w:p>
        </w:tc>
        <w:tc>
          <w:tcPr>
            <w:tcW w:w="1120" w:type="dxa"/>
            <w:vAlign w:val="bottom"/>
          </w:tcPr>
          <w:p>
            <w:pPr>
              <w:jc w:val="right"/>
              <w:ind w:right="206"/>
              <w:spacing w:after="0" w:line="122" w:lineRule="exact"/>
              <w:rPr>
                <w:sz w:val="20"/>
                <w:szCs w:val="20"/>
                <w:color w:val="auto"/>
              </w:rPr>
            </w:pPr>
            <w:r>
              <w:rPr>
                <w:rFonts w:ascii="Arial" w:cs="Arial" w:eastAsia="Arial" w:hAnsi="Arial"/>
                <w:sz w:val="11"/>
                <w:szCs w:val="11"/>
                <w:color w:val="auto"/>
              </w:rPr>
              <w:t>3.90%</w:t>
            </w:r>
          </w:p>
        </w:tc>
        <w:tc>
          <w:tcPr>
            <w:tcW w:w="1280" w:type="dxa"/>
            <w:vAlign w:val="bottom"/>
          </w:tcPr>
          <w:p>
            <w:pPr>
              <w:jc w:val="right"/>
              <w:ind w:right="346"/>
              <w:spacing w:after="0" w:line="122" w:lineRule="exact"/>
              <w:rPr>
                <w:sz w:val="20"/>
                <w:szCs w:val="20"/>
                <w:color w:val="auto"/>
              </w:rPr>
            </w:pPr>
            <w:r>
              <w:rPr>
                <w:rFonts w:ascii="Arial" w:cs="Arial" w:eastAsia="Arial" w:hAnsi="Arial"/>
                <w:sz w:val="11"/>
                <w:szCs w:val="11"/>
                <w:color w:val="auto"/>
              </w:rPr>
              <w:t>4/17/2021   $</w:t>
            </w:r>
          </w:p>
        </w:tc>
        <w:tc>
          <w:tcPr>
            <w:tcW w:w="960" w:type="dxa"/>
            <w:vAlign w:val="bottom"/>
          </w:tcPr>
          <w:p>
            <w:pPr>
              <w:jc w:val="right"/>
              <w:ind w:right="106"/>
              <w:spacing w:after="0" w:line="122" w:lineRule="exact"/>
              <w:rPr>
                <w:sz w:val="20"/>
                <w:szCs w:val="20"/>
                <w:color w:val="auto"/>
              </w:rPr>
            </w:pPr>
            <w:r>
              <w:rPr>
                <w:rFonts w:ascii="Arial" w:cs="Arial" w:eastAsia="Arial" w:hAnsi="Arial"/>
                <w:sz w:val="11"/>
                <w:szCs w:val="11"/>
                <w:color w:val="auto"/>
              </w:rPr>
              <w:t>5,000,000</w:t>
            </w:r>
          </w:p>
        </w:tc>
        <w:tc>
          <w:tcPr>
            <w:tcW w:w="140" w:type="dxa"/>
            <w:vAlign w:val="bottom"/>
          </w:tcPr>
          <w:p>
            <w:pPr>
              <w:spacing w:after="0"/>
              <w:rPr>
                <w:sz w:val="10"/>
                <w:szCs w:val="10"/>
                <w:color w:val="auto"/>
              </w:rPr>
            </w:pPr>
          </w:p>
        </w:tc>
        <w:tc>
          <w:tcPr>
            <w:tcW w:w="780" w:type="dxa"/>
            <w:vAlign w:val="bottom"/>
            <w:gridSpan w:val="2"/>
          </w:tcPr>
          <w:p>
            <w:pPr>
              <w:jc w:val="right"/>
              <w:ind w:right="140"/>
              <w:spacing w:after="0" w:line="122" w:lineRule="exact"/>
              <w:rPr>
                <w:sz w:val="20"/>
                <w:szCs w:val="20"/>
                <w:color w:val="auto"/>
              </w:rPr>
            </w:pPr>
            <w:r>
              <w:rPr>
                <w:rFonts w:ascii="Arial" w:cs="Arial" w:eastAsia="Arial" w:hAnsi="Arial"/>
                <w:sz w:val="11"/>
                <w:szCs w:val="11"/>
                <w:color w:val="auto"/>
              </w:rPr>
              <w:t>4,054,241</w:t>
            </w:r>
          </w:p>
        </w:tc>
        <w:tc>
          <w:tcPr>
            <w:tcW w:w="140" w:type="dxa"/>
            <w:vAlign w:val="bottom"/>
          </w:tcPr>
          <w:p>
            <w:pPr>
              <w:spacing w:after="0"/>
              <w:rPr>
                <w:sz w:val="10"/>
                <w:szCs w:val="10"/>
                <w:color w:val="auto"/>
              </w:rPr>
            </w:pPr>
          </w:p>
        </w:tc>
        <w:tc>
          <w:tcPr>
            <w:tcW w:w="720" w:type="dxa"/>
            <w:vAlign w:val="bottom"/>
            <w:gridSpan w:val="2"/>
          </w:tcPr>
          <w:p>
            <w:pPr>
              <w:jc w:val="right"/>
              <w:ind w:right="80"/>
              <w:spacing w:after="0" w:line="122" w:lineRule="exact"/>
              <w:rPr>
                <w:sz w:val="20"/>
                <w:szCs w:val="20"/>
                <w:color w:val="auto"/>
              </w:rPr>
            </w:pPr>
            <w:r>
              <w:rPr>
                <w:rFonts w:ascii="Arial" w:cs="Arial" w:eastAsia="Arial" w:hAnsi="Arial"/>
                <w:sz w:val="11"/>
                <w:szCs w:val="11"/>
                <w:color w:val="auto"/>
              </w:rPr>
              <w:t>3,500,000</w:t>
            </w:r>
          </w:p>
        </w:tc>
      </w:tr>
      <w:tr>
        <w:trPr>
          <w:trHeight w:val="115"/>
        </w:trPr>
        <w:tc>
          <w:tcPr>
            <w:tcW w:w="1360" w:type="dxa"/>
            <w:vAlign w:val="bottom"/>
            <w:tcBorders>
              <w:top w:val="single" w:sz="8" w:color="CCEEFF"/>
              <w:bottom w:val="single" w:sz="8" w:color="CCEEFF"/>
            </w:tcBorders>
            <w:shd w:val="clear" w:color="auto" w:fill="CCEEFF"/>
          </w:tcPr>
          <w:p>
            <w:pPr>
              <w:spacing w:after="0"/>
              <w:rPr>
                <w:sz w:val="10"/>
                <w:szCs w:val="10"/>
                <w:color w:val="auto"/>
              </w:rPr>
            </w:pPr>
          </w:p>
        </w:tc>
        <w:tc>
          <w:tcPr>
            <w:tcW w:w="2020" w:type="dxa"/>
            <w:vAlign w:val="bottom"/>
            <w:tcBorders>
              <w:top w:val="single" w:sz="8" w:color="CCEEFF"/>
              <w:bottom w:val="single" w:sz="8" w:color="CCEEFF"/>
            </w:tcBorders>
            <w:shd w:val="clear" w:color="auto" w:fill="CCEEFF"/>
          </w:tcPr>
          <w:p>
            <w:pPr>
              <w:spacing w:after="0"/>
              <w:rPr>
                <w:sz w:val="10"/>
                <w:szCs w:val="10"/>
                <w:color w:val="auto"/>
              </w:rPr>
            </w:pPr>
          </w:p>
        </w:tc>
        <w:tc>
          <w:tcPr>
            <w:tcW w:w="2900" w:type="dxa"/>
            <w:vAlign w:val="bottom"/>
            <w:tcBorders>
              <w:top w:val="single" w:sz="8" w:color="CCEEFF"/>
              <w:bottom w:val="single" w:sz="8" w:color="CCEEFF"/>
            </w:tcBorders>
            <w:shd w:val="clear" w:color="auto" w:fill="CCEEFF"/>
          </w:tcPr>
          <w:p>
            <w:pPr>
              <w:spacing w:after="0"/>
              <w:rPr>
                <w:sz w:val="10"/>
                <w:szCs w:val="10"/>
                <w:color w:val="auto"/>
              </w:rPr>
            </w:pPr>
          </w:p>
        </w:tc>
        <w:tc>
          <w:tcPr>
            <w:tcW w:w="1120" w:type="dxa"/>
            <w:vAlign w:val="bottom"/>
            <w:tcBorders>
              <w:top w:val="single" w:sz="8" w:color="CCEEFF"/>
              <w:bottom w:val="single" w:sz="8" w:color="CCEEFF"/>
            </w:tcBorders>
            <w:shd w:val="clear" w:color="auto" w:fill="CCEEFF"/>
          </w:tcPr>
          <w:p>
            <w:pPr>
              <w:spacing w:after="0"/>
              <w:rPr>
                <w:sz w:val="10"/>
                <w:szCs w:val="10"/>
                <w:color w:val="auto"/>
              </w:rPr>
            </w:pPr>
          </w:p>
        </w:tc>
        <w:tc>
          <w:tcPr>
            <w:tcW w:w="1280" w:type="dxa"/>
            <w:vAlign w:val="bottom"/>
            <w:tcBorders>
              <w:top w:val="single" w:sz="8" w:color="CCEEFF"/>
              <w:bottom w:val="single" w:sz="8" w:color="CCEEFF"/>
            </w:tcBorders>
            <w:shd w:val="clear" w:color="auto" w:fill="CCEEFF"/>
          </w:tcPr>
          <w:p>
            <w:pPr>
              <w:spacing w:after="0"/>
              <w:rPr>
                <w:sz w:val="10"/>
                <w:szCs w:val="10"/>
                <w:color w:val="auto"/>
              </w:rPr>
            </w:pPr>
          </w:p>
        </w:tc>
        <w:tc>
          <w:tcPr>
            <w:tcW w:w="96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379,843,341</w:t>
            </w:r>
          </w:p>
        </w:tc>
        <w:tc>
          <w:tcPr>
            <w:tcW w:w="140" w:type="dxa"/>
            <w:vAlign w:val="bottom"/>
            <w:tcBorders>
              <w:top w:val="single" w:sz="8" w:color="CCEEFF"/>
              <w:bottom w:val="single" w:sz="8" w:color="CCEEFF"/>
            </w:tcBorders>
            <w:shd w:val="clear" w:color="auto" w:fill="CCEEFF"/>
          </w:tcPr>
          <w:p>
            <w:pPr>
              <w:spacing w:after="0"/>
              <w:rPr>
                <w:sz w:val="10"/>
                <w:szCs w:val="10"/>
                <w:color w:val="auto"/>
              </w:rPr>
            </w:pPr>
          </w:p>
        </w:tc>
        <w:tc>
          <w:tcPr>
            <w:tcW w:w="1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Arial" w:cs="Arial" w:eastAsia="Arial" w:hAnsi="Arial"/>
                <w:sz w:val="5"/>
                <w:szCs w:val="5"/>
                <w:b w:val="1"/>
                <w:bCs w:val="1"/>
                <w:color w:val="auto"/>
                <w:w w:val="70"/>
              </w:rPr>
              <w:t>$</w:t>
            </w:r>
          </w:p>
        </w:tc>
        <w:tc>
          <w:tcPr>
            <w:tcW w:w="640" w:type="dxa"/>
            <w:vAlign w:val="bottom"/>
            <w:tcBorders>
              <w:top w:val="single" w:sz="8" w:color="auto"/>
              <w:bottom w:val="single" w:sz="8" w:color="auto"/>
            </w:tcBorders>
            <w:shd w:val="clear" w:color="auto" w:fill="CCEEFF"/>
          </w:tcPr>
          <w:p>
            <w:pPr>
              <w:jc w:val="right"/>
              <w:spacing w:after="0" w:line="115" w:lineRule="exact"/>
              <w:rPr>
                <w:sz w:val="20"/>
                <w:szCs w:val="20"/>
                <w:color w:val="auto"/>
              </w:rPr>
            </w:pPr>
            <w:r>
              <w:rPr>
                <w:rFonts w:ascii="Arial" w:cs="Arial" w:eastAsia="Arial" w:hAnsi="Arial"/>
                <w:sz w:val="11"/>
                <w:szCs w:val="11"/>
                <w:b w:val="1"/>
                <w:bCs w:val="1"/>
                <w:color w:val="auto"/>
              </w:rPr>
              <w:t>374,419,979</w:t>
            </w:r>
          </w:p>
        </w:tc>
        <w:tc>
          <w:tcPr>
            <w:tcW w:w="80" w:type="dxa"/>
            <w:vAlign w:val="bottom"/>
            <w:tcBorders>
              <w:top w:val="single" w:sz="8" w:color="CCEEFF"/>
              <w:bottom w:val="single" w:sz="8" w:color="CCEEFF"/>
            </w:tcBorders>
            <w:shd w:val="clear" w:color="auto" w:fill="CCEEFF"/>
          </w:tcPr>
          <w:p>
            <w:pPr>
              <w:spacing w:after="0"/>
              <w:rPr>
                <w:sz w:val="10"/>
                <w:szCs w:val="10"/>
                <w:color w:val="auto"/>
              </w:rPr>
            </w:pPr>
          </w:p>
        </w:tc>
      </w:tr>
      <w:tr>
        <w:trPr>
          <w:trHeight w:val="20"/>
        </w:trPr>
        <w:tc>
          <w:tcPr>
            <w:tcW w:w="13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w:t>
      </w:r>
    </w:p>
    <w:p>
      <w:pPr>
        <w:spacing w:after="0" w:line="229" w:lineRule="exact"/>
        <w:rPr>
          <w:sz w:val="20"/>
          <w:szCs w:val="20"/>
          <w:color w:val="auto"/>
        </w:rPr>
      </w:pPr>
    </w:p>
    <w:p>
      <w:pPr>
        <w:ind w:right="20" w:firstLine="648"/>
        <w:spacing w:after="0" w:line="291" w:lineRule="auto"/>
        <w:rPr>
          <w:sz w:val="20"/>
          <w:szCs w:val="20"/>
          <w:color w:val="auto"/>
        </w:rPr>
      </w:pPr>
      <w:r>
        <w:rPr>
          <w:rFonts w:ascii="Arial" w:cs="Arial" w:eastAsia="Arial" w:hAnsi="Arial"/>
          <w:sz w:val="16"/>
          <w:szCs w:val="16"/>
          <w:color w:val="auto"/>
        </w:rPr>
        <w:t>On July 30, 2010, the Company entered into an investment advisory and management agreement (the “Management Agreement”) with our Manager. The initial term of the Management Agreement was two years, with automatic, one-year renewals at the end of each year subject to certain approvals by our board of directors and/or our stockholders. On July 15, 2013,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jc w:val="both"/>
        <w:ind w:right="220" w:firstLine="648"/>
        <w:spacing w:after="0" w:line="264"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 and appropriately adjusted for any share issuances or repurchases during the applicable fiscal quarter.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40" w:firstLine="648"/>
        <w:spacing w:after="0" w:line="273" w:lineRule="auto"/>
        <w:rPr>
          <w:sz w:val="20"/>
          <w:szCs w:val="20"/>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78" w:lineRule="exact"/>
        <w:rPr>
          <w:sz w:val="20"/>
          <w:szCs w:val="20"/>
          <w:color w:val="auto"/>
        </w:rPr>
      </w:pPr>
    </w:p>
    <w:p>
      <w:pPr>
        <w:ind w:right="60" w:firstLine="648"/>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right="80" w:firstLine="648"/>
        <w:spacing w:after="0" w:line="287" w:lineRule="auto"/>
        <w:rPr>
          <w:sz w:val="20"/>
          <w:szCs w:val="20"/>
          <w:color w:val="auto"/>
        </w:rPr>
      </w:pPr>
      <w:r>
        <w:rPr>
          <w:rFonts w:ascii="Arial" w:cs="Arial" w:eastAsia="Arial" w:hAnsi="Arial"/>
          <w:sz w:val="16"/>
          <w:szCs w:val="16"/>
          <w:color w:val="auto"/>
        </w:rPr>
        <w:t>For the three months ended November 30, 2013 and 2012 we incurred $0.9 million and $0.5 million in base management fees, respectively. For the three months ended November 30, 2013 and 2012, we accrued $0.2 million, and $0.1 million in incentive fees related to pre-incentive fee net investment income. For the three months ended November 30, 2013 and 2012 there was a reduction of $0.8 million and $0.5 million in incentive management fees related to capital gains, respectively. For the nine months ended November 30, 2013 and 2012 we incurred $2.4 million and $1.5 million in base management fees, respectively. For the nine months ended November 30, 2013 and 2012, we accrued $1.0 million, and $0.4 million in incentive fees related to pre-incentive fee net investment income. For the nine months ended November 30, 2013 there was a reduction of $0.8 million in incentive management fees related to capital gains. For the nine months ended November 30, 2012, we accrued $0.5 million in incentive management fees related to capital gains. The accrual is calculated using both realized and unrealized capital gains for the period. The actual incentive fee related to capital gains will be determined and payable in arrears at the end of the fiscal year and will include only realized capital gains for the period. As of November 30, 2013, $0.9 million of base management fees and $2.7 million of incentive fees were accrued and included in management and incentive fees payable in the accompanying consolidated statements of assets and liabilities. As of February 28, 2013, $0.6 million of base management fees and $3.9 million of incentive fees were accrued and included in management and incentive fees payable in the accompanying consolidated statements of assets and liabilities.</w:t>
      </w:r>
    </w:p>
    <w:p>
      <w:pPr>
        <w:spacing w:after="0" w:line="169" w:lineRule="exact"/>
        <w:rPr>
          <w:sz w:val="20"/>
          <w:szCs w:val="20"/>
          <w:color w:val="auto"/>
        </w:rPr>
      </w:pPr>
    </w:p>
    <w:p>
      <w:pPr>
        <w:ind w:right="80" w:firstLine="648"/>
        <w:spacing w:after="0" w:line="293" w:lineRule="auto"/>
        <w:rPr>
          <w:sz w:val="20"/>
          <w:szCs w:val="20"/>
          <w:color w:val="auto"/>
        </w:rPr>
      </w:pPr>
      <w:r>
        <w:rPr>
          <w:rFonts w:ascii="Arial" w:cs="Arial" w:eastAsia="Arial" w:hAnsi="Arial"/>
          <w:sz w:val="16"/>
          <w:szCs w:val="16"/>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was two years, with automatic, one-year renewals at the end of each year subject to certain approvals by our board of directors and/or our stockholders. The amount of expenses payable or reimbursable thereunder by the Company was capped at $1.0 million for the initial two year term of the administration agreement. On July 15, 2013, our board of directors approved the renewal of the Administration Agreement for an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additional one-year term and determined to maintain the cap on the payment or reimbursement of expenses by the Company thereunder to $1.0 million for the additional one-year term.</w:t>
      </w:r>
    </w:p>
    <w:p>
      <w:pPr>
        <w:spacing w:after="0" w:line="170" w:lineRule="exact"/>
        <w:rPr>
          <w:sz w:val="20"/>
          <w:szCs w:val="20"/>
          <w:color w:val="auto"/>
        </w:rPr>
      </w:pPr>
    </w:p>
    <w:p>
      <w:pPr>
        <w:ind w:right="60" w:firstLine="648"/>
        <w:spacing w:after="0" w:line="273" w:lineRule="auto"/>
        <w:rPr>
          <w:sz w:val="20"/>
          <w:szCs w:val="20"/>
          <w:color w:val="auto"/>
        </w:rPr>
      </w:pPr>
      <w:r>
        <w:rPr>
          <w:rFonts w:ascii="Arial" w:cs="Arial" w:eastAsia="Arial" w:hAnsi="Arial"/>
          <w:sz w:val="17"/>
          <w:szCs w:val="17"/>
          <w:color w:val="auto"/>
        </w:rPr>
        <w:t>For the three months ended November 30, 2013 and 2012, we recognized $0.3 million and $0.3 million in administrator expenses for the periods, pertaining to bookkeeping, record keeping and other administrative services provided to us in addition to our allocable portion of rent and other overhead related expenses, respectively. For the nine months ended November 30, 2013 and 2012, we recognized $0.8 million and $0.8 million in administrator expenses for the periods, pertaining to bookkeeping, record keeping and other administrative services provided to us in addition to our allocable portion of rent and other overhead related expenses, respectively. As of November 30, 2013, $0.3 million of administrator expenses were accrued and included in due to manager in the accompanying consolidated statements of assets and liabilities.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ectPr>
          <w:pgSz w:w="11900" w:h="16856" w:orient="portrait"/>
          <w:cols w:equalWidth="0" w:num="1">
            <w:col w:w="11420"/>
          </w:cols>
          <w:pgMar w:left="240" w:top="135" w:right="239" w:bottom="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25" w:lineRule="exact"/>
        <w:rPr>
          <w:sz w:val="20"/>
          <w:szCs w:val="20"/>
          <w:color w:val="auto"/>
        </w:rPr>
      </w:pPr>
    </w:p>
    <w:p>
      <w:pPr>
        <w:ind w:right="220" w:firstLine="648"/>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ind w:right="40" w:firstLine="648"/>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w:t>
      </w:r>
    </w:p>
    <w:p>
      <w:pPr>
        <w:spacing w:after="0" w:line="2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$45.0 million senior secured revolving credit facility (the “Replacement Facility”) with Madison Capital Funding LLC, in each case, described in “Note 13. Recapitalization Transaction” below,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Replacement Facility to secure our obligations thereunder.</w:t>
      </w:r>
    </w:p>
    <w:p>
      <w:pPr>
        <w:spacing w:after="0" w:line="190"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225" w:lineRule="exact"/>
        <w:rPr>
          <w:sz w:val="20"/>
          <w:szCs w:val="20"/>
          <w:color w:val="auto"/>
        </w:rPr>
      </w:pPr>
    </w:p>
    <w:p>
      <w:pPr>
        <w:ind w:left="940" w:hanging="284"/>
        <w:spacing w:after="0"/>
        <w:tabs>
          <w:tab w:leader="none" w:pos="9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225" w:lineRule="exact"/>
        <w:rPr>
          <w:rFonts w:ascii="Arial" w:cs="Arial" w:eastAsia="Arial" w:hAnsi="Arial"/>
          <w:sz w:val="18"/>
          <w:szCs w:val="18"/>
          <w:color w:val="auto"/>
        </w:rPr>
      </w:pPr>
    </w:p>
    <w:p>
      <w:pPr>
        <w:ind w:left="980" w:right="160" w:hanging="324"/>
        <w:spacing w:after="0" w:line="259" w:lineRule="auto"/>
        <w:tabs>
          <w:tab w:leader="none" w:pos="944"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be terminated at an earlier time upon the occurrence of an event of default by action of the lenders or automatically. All borrowings and other amounts payable under the credit facility are due and payable five years after the end of the Revolving Period; and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237"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As of November 30, 2013, there was $4.0 million of outstanding borrowings under the Replacement Facility and the Company was in compliance with all of the limitations and requirements of the Replacement Facility. $2.3 million of financing costs related to the Replacement Facility have been capitalized and are being amortized over the term of the facility. For the three months ended November 30, 2013 and 2012, we recorded $0.1 million and $0.4 million of interest expense, respectively. For the three months ended November 30, 2013 and 2012, we recorded $0.1 million and $0.1 million of amortization of deferred financing costs related to the Replacement Facility, respectively. The interest rates during the nine months ended November 30, 2013 and 2012 on the outstanding borrowings under the Replacement Facility were 7.50% and 7.50%, respectively. For the nine months ended November 30, 2013 and 2012, we recorded $0.8 million and $1.5 million of interest expense, respectively. For the nine months ended November 30, 2013 and 2012, we recorded $0.3 million and $0.3 million of amortization of deferred financing costs related to the Replacement Facility, respectively.</w:t>
      </w:r>
    </w:p>
    <w:p>
      <w:pPr>
        <w:spacing w:after="0" w:line="166" w:lineRule="exact"/>
        <w:rPr>
          <w:sz w:val="20"/>
          <w:szCs w:val="20"/>
          <w:color w:val="auto"/>
        </w:rPr>
      </w:pPr>
    </w:p>
    <w:p>
      <w:pPr>
        <w:ind w:right="140" w:firstLine="648"/>
        <w:spacing w:after="0" w:line="269" w:lineRule="auto"/>
        <w:rPr>
          <w:sz w:val="20"/>
          <w:szCs w:val="20"/>
          <w:color w:val="auto"/>
        </w:rPr>
      </w:pPr>
      <w:r>
        <w:rPr>
          <w:rFonts w:ascii="Arial" w:cs="Arial" w:eastAsia="Arial" w:hAnsi="Arial"/>
          <w:sz w:val="17"/>
          <w:szCs w:val="17"/>
          <w:color w:val="auto"/>
        </w:rPr>
        <w:t>The Replacement Facility contains limitations as to how borrowed funds may be used, such as restrictions on industry concentrations, asset size, weighted average life, currency denomination and collateral interests. The Replacement Facility also includes certain requirements relating to portfolio performance, the violation of which could result in the limit of further advances and, in some cases, result in an event of default, allowing the lenders to accelerate repayment of amounts owed thereunder. The Replacement Facility has an eight year term, consisting of a three year period (the “Revolving Period”), under which the Company may make and repay borrowings, and a final maturity five years from the end of the Revolving Period. Availability on the Replacement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or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Replacement Facility for the duration of the Revolving Period.</w:t>
      </w:r>
    </w:p>
    <w:p>
      <w:pPr>
        <w:spacing w:after="0" w:line="179" w:lineRule="exact"/>
        <w:rPr>
          <w:sz w:val="20"/>
          <w:szCs w:val="20"/>
          <w:color w:val="auto"/>
        </w:rPr>
      </w:pPr>
    </w:p>
    <w:p>
      <w:pPr>
        <w:ind w:right="20" w:firstLine="622"/>
        <w:spacing w:after="0" w:line="258" w:lineRule="auto"/>
        <w:rPr>
          <w:sz w:val="20"/>
          <w:szCs w:val="20"/>
          <w:color w:val="auto"/>
        </w:rPr>
      </w:pPr>
      <w:r>
        <w:rPr>
          <w:rFonts w:ascii="Arial" w:cs="Arial" w:eastAsia="Arial" w:hAnsi="Arial"/>
          <w:sz w:val="18"/>
          <w:szCs w:val="18"/>
          <w:color w:val="auto"/>
        </w:rPr>
        <w:t xml:space="preserve">Our borrowing base under the Replacement Facility was </w:t>
      </w:r>
      <w:r>
        <w:rPr>
          <w:rFonts w:ascii="Arial" w:cs="Arial" w:eastAsia="Arial" w:hAnsi="Arial"/>
          <w:sz w:val="18"/>
          <w:szCs w:val="18"/>
          <w:b w:val="1"/>
          <w:bCs w:val="1"/>
          <w:color w:val="auto"/>
        </w:rPr>
        <w:t>$</w:t>
      </w:r>
      <w:r>
        <w:rPr>
          <w:rFonts w:ascii="Arial" w:cs="Arial" w:eastAsia="Arial" w:hAnsi="Arial"/>
          <w:sz w:val="18"/>
          <w:szCs w:val="18"/>
          <w:color w:val="auto"/>
        </w:rPr>
        <w:t>48.2 million subject to the Replacement Facility cap of $45.0 million at November 30, 2013. For purposes of determining the borrowing base, most assets are assigned the values set forth in our most recent Annual Report on Form 10-K or Quarterly Report on Form 10-Q filed with the SEC. Accordingly, the November 30, 2013 borrowing base relies upon the valuations set forth in the Annual Report on Form 10-K for the year ended February 28, 2013. The valuations presented in this Quarterly Report on Form 10-Q will not be incorporated into the borrowing base until after this Quarterly Report on Form 10-Q is filed with the SEC.</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ectPr>
          <w:pgSz w:w="11900" w:h="16838" w:orient="portrait"/>
          <w:cols w:equalWidth="0" w:num="1">
            <w:col w:w="11400"/>
          </w:cols>
          <w:pgMar w:left="240" w:top="341" w:right="259" w:bottom="0" w:gutter="0" w:footer="0" w:header="0"/>
        </w:sectPr>
      </w:pPr>
    </w:p>
    <w:bookmarkStart w:id="21" w:name="page22"/>
    <w:bookmarkEnd w:id="21"/>
    <w:p>
      <w:pPr>
        <w:ind w:firstLine="648"/>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November 30, 2013, we have funded SBIC LP with $32.0 million of equity capital, and have $40.0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firstLine="648"/>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$18.0 million and have average annual fully taxed net income not exceeding $6.0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66"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debenture funding, which is dependent upon SBIC LP continuing to be in compliance with SBA regulations and policies. The SBA, as a creditor, will have a superior claim to SBIC LP’s assets over our stockholders and debt holders in the event we liquidate SBIC LP or the SBA exercises its remedies under the SBA-guaranteed debentures issued by SBIC LP upon an event of default.</w:t>
      </w:r>
    </w:p>
    <w:p>
      <w:pPr>
        <w:spacing w:after="0" w:line="181"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The Company received exemptive relief from the Securities and Exchange Commission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87" w:lineRule="exact"/>
        <w:rPr>
          <w:sz w:val="20"/>
          <w:szCs w:val="20"/>
          <w:color w:val="auto"/>
        </w:rPr>
      </w:pPr>
    </w:p>
    <w:p>
      <w:pPr>
        <w:ind w:right="20" w:firstLine="622"/>
        <w:spacing w:after="0" w:line="270" w:lineRule="auto"/>
        <w:rPr>
          <w:sz w:val="20"/>
          <w:szCs w:val="20"/>
          <w:color w:val="auto"/>
        </w:rPr>
      </w:pPr>
      <w:r>
        <w:rPr>
          <w:rFonts w:ascii="Arial" w:cs="Arial" w:eastAsia="Arial" w:hAnsi="Arial"/>
          <w:sz w:val="17"/>
          <w:szCs w:val="17"/>
          <w:color w:val="auto"/>
        </w:rPr>
        <w:t>As of November 30, 2013, there was $40.0 million outstanding of SBA debentures. The carrying amount of the amount outstanding of SBA debentures approximates its fair value. $1.5 million of financing costs related to the SBA debentures have been capitalized and are being amortized over the term of the commitment and drawdown. For the three and nine months ended November 30, 2013, the Company recorded $0.3 million and $0.9 million, respectively, of interest expense related to the SBA debentures. For the three and nine months ended November 30, 2012, the Company recorded $0.001 million and $0.001 million, respectively, of interest expense related to the SBA debentures. For the three and nine months ended November 30, 2013, the Company recorded $0.05 million and $0.2 million, respectively, of amortization of deferred financing costs related to the SBA debentures. For the three and nine months ended November 30, 2012, the Company recorded $0.03 million and $0.04 million, respectively, of amortization of deferred financing costs related to the SBA debentures. The weighted average interest rate during the nine months ended November 30, 2013 and 2012 on the outstanding borrowings of the SBA debentures was 2.99% and 1.47%, respectively.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225"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8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w:t>
      </w:r>
    </w:p>
    <w:p>
      <w:pPr>
        <w:spacing w:after="0" w:line="170"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As of November 30, 2013, the carrying amount and fair value of the Notes was $48.3 million and $49.3 million, respectively. The fair value of the Notes, which are publicly traded, is based upon closing market quotes as of the measurement date. As of November 30, 2013, $2.5 million of financing costs related to the Notes have been capitalized and are being amortized over the term of the Notes. For the three and nine months ended November 30, 2013, we recorded $0.9 million and $2.0 million, respectively, of interest expense and $0.09 million and $0.2 million, respectively, of amortization of deferred financing costs related to the Notes.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Directors Fees</w:t>
      </w:r>
    </w:p>
    <w:p>
      <w:pPr>
        <w:spacing w:after="0" w:line="229" w:lineRule="exact"/>
        <w:rPr>
          <w:sz w:val="20"/>
          <w:szCs w:val="20"/>
          <w:color w:val="auto"/>
        </w:rPr>
      </w:pPr>
    </w:p>
    <w:p>
      <w:pPr>
        <w:ind w:right="20" w:firstLine="648"/>
        <w:spacing w:after="0" w:line="287" w:lineRule="auto"/>
        <w:rPr>
          <w:sz w:val="20"/>
          <w:szCs w:val="20"/>
          <w:color w:val="auto"/>
        </w:rPr>
      </w:pPr>
      <w:r>
        <w:rPr>
          <w:rFonts w:ascii="Arial" w:cs="Arial" w:eastAsia="Arial" w:hAnsi="Arial"/>
          <w:sz w:val="16"/>
          <w:szCs w:val="16"/>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three months ended November 30, 2013 and 2012, we accrued $0.04 million and $0.05 million for directors’ fees expense, respectively. For the nine months ended November 30, 2013 and 2012, we accrued $0.1 million and $0.2 million for directors’ fees expense, respectively. As of November 30, 2013 and February 28, 2013, $0.02 million and $0.05 million in directors’ fees expense were unpaid and included in accounts payable and accrued expenses in the consolidated statements of assets and liabilities. As of November 30, 2013, we had not issued any common stock to our directors as compensation for their services.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ectPr>
          <w:pgSz w:w="11900" w:h="16838" w:orient="portrait"/>
          <w:cols w:equalWidth="0" w:num="1">
            <w:col w:w="11380"/>
          </w:cols>
          <w:pgMar w:left="240" w:top="341" w:right="279" w:bottom="104" w:gutter="0" w:footer="0" w:header="0"/>
        </w:sectPr>
      </w:pPr>
    </w:p>
    <w:bookmarkStart w:id="22" w:name="page23"/>
    <w:bookmarkEnd w:id="22"/>
    <w:p>
      <w:pPr>
        <w:ind w:right="660" w:firstLine="648"/>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440" w:firstLine="622"/>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22"/>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 See “Note 13. Recapitalization Transaction.”</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 $1.2 million in cash and 596,235 shares of common stock.</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 $2.0 million in cash and 599,584 shares of common stock.</w:t>
      </w:r>
    </w:p>
    <w:p>
      <w:pPr>
        <w:spacing w:after="0" w:line="187" w:lineRule="exact"/>
        <w:rPr>
          <w:sz w:val="20"/>
          <w:szCs w:val="20"/>
          <w:color w:val="auto"/>
        </w:rPr>
      </w:pPr>
    </w:p>
    <w:p>
      <w:pPr>
        <w:jc w:val="both"/>
        <w:ind w:right="100" w:firstLine="622"/>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87" w:lineRule="exact"/>
        <w:rPr>
          <w:sz w:val="20"/>
          <w:szCs w:val="20"/>
          <w:color w:val="auto"/>
        </w:rPr>
      </w:pPr>
    </w:p>
    <w:p>
      <w:pPr>
        <w:ind w:right="100" w:firstLine="622"/>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Earnings Per Share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accordance with the provisions of FASB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81" w:lineRule="exact"/>
        <w:rPr>
          <w:sz w:val="20"/>
          <w:szCs w:val="20"/>
          <w:color w:val="auto"/>
        </w:rPr>
      </w:pPr>
    </w:p>
    <w:p>
      <w:pPr>
        <w:ind w:right="180" w:firstLine="648"/>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net increase in net assets per share from operations for the three and nine months ended November 30, 2013 and 2012 (dollars in thousands except share and per share amounts):</w:t>
      </w:r>
    </w:p>
    <w:p>
      <w:pPr>
        <w:spacing w:after="0" w:line="138"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4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0" w:type="dxa"/>
            <w:vAlign w:val="bottom"/>
            <w:gridSpan w:val="4"/>
          </w:tcPr>
          <w:p>
            <w:pPr>
              <w:ind w:left="540"/>
              <w:spacing w:after="0"/>
              <w:rPr>
                <w:sz w:val="20"/>
                <w:szCs w:val="20"/>
                <w:color w:val="auto"/>
              </w:rPr>
            </w:pPr>
            <w:r>
              <w:rPr>
                <w:rFonts w:ascii="Arial" w:cs="Arial" w:eastAsia="Arial" w:hAnsi="Arial"/>
                <w:sz w:val="14"/>
                <w:szCs w:val="14"/>
                <w:b w:val="1"/>
                <w:bCs w:val="1"/>
                <w:color w:val="auto"/>
              </w:rPr>
              <w:t>For the three months ended</w:t>
            </w:r>
          </w:p>
        </w:tc>
        <w:tc>
          <w:tcPr>
            <w:tcW w:w="2840" w:type="dxa"/>
            <w:vAlign w:val="bottom"/>
            <w:gridSpan w:val="4"/>
          </w:tcPr>
          <w:p>
            <w:pPr>
              <w:jc w:val="right"/>
              <w:ind w:right="640"/>
              <w:spacing w:after="0"/>
              <w:rPr>
                <w:sz w:val="20"/>
                <w:szCs w:val="20"/>
                <w:color w:val="auto"/>
              </w:rPr>
            </w:pPr>
            <w:r>
              <w:rPr>
                <w:rFonts w:ascii="Arial" w:cs="Arial" w:eastAsia="Arial" w:hAnsi="Arial"/>
                <w:sz w:val="14"/>
                <w:szCs w:val="14"/>
                <w:b w:val="1"/>
                <w:bCs w:val="1"/>
                <w:color w:val="auto"/>
              </w:rPr>
              <w:t>For the nine months ended</w:t>
            </w:r>
          </w:p>
        </w:tc>
        <w:tc>
          <w:tcPr>
            <w:tcW w:w="0" w:type="dxa"/>
            <w:vAlign w:val="bottom"/>
          </w:tcPr>
          <w:p>
            <w:pPr>
              <w:spacing w:after="0"/>
              <w:rPr>
                <w:sz w:val="1"/>
                <w:szCs w:val="1"/>
                <w:color w:val="auto"/>
              </w:rPr>
            </w:pPr>
          </w:p>
        </w:tc>
      </w:tr>
      <w:tr>
        <w:trPr>
          <w:trHeight w:val="119"/>
        </w:trPr>
        <w:tc>
          <w:tcPr>
            <w:tcW w:w="48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150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November 30,</w:t>
            </w:r>
          </w:p>
        </w:tc>
        <w:tc>
          <w:tcPr>
            <w:tcW w:w="128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November 30,</w:t>
            </w:r>
          </w:p>
        </w:tc>
        <w:tc>
          <w:tcPr>
            <w:tcW w:w="220" w:type="dxa"/>
            <w:vAlign w:val="bottom"/>
          </w:tcPr>
          <w:p>
            <w:pPr>
              <w:spacing w:after="0"/>
              <w:rPr>
                <w:sz w:val="10"/>
                <w:szCs w:val="10"/>
                <w:color w:val="auto"/>
              </w:rPr>
            </w:pPr>
          </w:p>
        </w:tc>
        <w:tc>
          <w:tcPr>
            <w:tcW w:w="1480" w:type="dxa"/>
            <w:vAlign w:val="bottom"/>
            <w:tcBorders>
              <w:top w:val="single" w:sz="8" w:color="auto"/>
            </w:tcBorders>
            <w:gridSpan w:val="2"/>
          </w:tcPr>
          <w:p>
            <w:pPr>
              <w:ind w:left="220"/>
              <w:spacing w:after="0" w:line="119" w:lineRule="exact"/>
              <w:rPr>
                <w:sz w:val="20"/>
                <w:szCs w:val="20"/>
                <w:color w:val="auto"/>
              </w:rPr>
            </w:pPr>
            <w:r>
              <w:rPr>
                <w:rFonts w:ascii="Arial" w:cs="Arial" w:eastAsia="Arial" w:hAnsi="Arial"/>
                <w:sz w:val="13"/>
                <w:szCs w:val="13"/>
                <w:b w:val="1"/>
                <w:bCs w:val="1"/>
                <w:color w:val="auto"/>
              </w:rPr>
              <w:t>November 30,</w:t>
            </w:r>
          </w:p>
        </w:tc>
        <w:tc>
          <w:tcPr>
            <w:tcW w:w="1260" w:type="dxa"/>
            <w:vAlign w:val="bottom"/>
            <w:tcBorders>
              <w:top w:val="single" w:sz="8" w:color="auto"/>
            </w:tcBorders>
          </w:tcPr>
          <w:p>
            <w:pPr>
              <w:jc w:val="right"/>
              <w:ind w:right="118"/>
              <w:spacing w:after="0" w:line="119" w:lineRule="exact"/>
              <w:rPr>
                <w:sz w:val="20"/>
                <w:szCs w:val="20"/>
                <w:color w:val="auto"/>
              </w:rPr>
            </w:pPr>
            <w:r>
              <w:rPr>
                <w:rFonts w:ascii="Arial" w:cs="Arial" w:eastAsia="Arial" w:hAnsi="Arial"/>
                <w:sz w:val="13"/>
                <w:szCs w:val="13"/>
                <w:b w:val="1"/>
                <w:bCs w:val="1"/>
                <w:color w:val="auto"/>
              </w:rPr>
              <w:t>November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800" w:type="dxa"/>
            <w:vAlign w:val="bottom"/>
            <w:gridSpan w:val="2"/>
            <w:vMerge w:val="continue"/>
          </w:tcPr>
          <w:p>
            <w:pPr>
              <w:spacing w:after="0"/>
              <w:rPr>
                <w:sz w:val="14"/>
                <w:szCs w:val="14"/>
                <w:color w:val="auto"/>
              </w:rPr>
            </w:pPr>
          </w:p>
        </w:tc>
        <w:tc>
          <w:tcPr>
            <w:tcW w:w="1280" w:type="dxa"/>
            <w:vAlign w:val="bottom"/>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220" w:type="dxa"/>
            <w:vAlign w:val="bottom"/>
          </w:tcPr>
          <w:p>
            <w:pPr>
              <w:spacing w:after="0"/>
              <w:rPr>
                <w:sz w:val="14"/>
                <w:szCs w:val="14"/>
                <w:color w:val="auto"/>
              </w:rPr>
            </w:pPr>
          </w:p>
        </w:tc>
        <w:tc>
          <w:tcPr>
            <w:tcW w:w="1280" w:type="dxa"/>
            <w:vAlign w:val="bottom"/>
          </w:tcPr>
          <w:p>
            <w:pPr>
              <w:jc w:val="right"/>
              <w:ind w:right="418"/>
              <w:spacing w:after="0"/>
              <w:rPr>
                <w:sz w:val="20"/>
                <w:szCs w:val="20"/>
                <w:color w:val="auto"/>
              </w:rPr>
            </w:pPr>
            <w:r>
              <w:rPr>
                <w:rFonts w:ascii="Arial" w:cs="Arial" w:eastAsia="Arial" w:hAnsi="Arial"/>
                <w:sz w:val="14"/>
                <w:szCs w:val="14"/>
                <w:b w:val="1"/>
                <w:bCs w:val="1"/>
                <w:color w:val="auto"/>
              </w:rPr>
              <w:t>2012</w:t>
            </w:r>
          </w:p>
        </w:tc>
        <w:tc>
          <w:tcPr>
            <w:tcW w:w="220" w:type="dxa"/>
            <w:vAlign w:val="bottom"/>
          </w:tcPr>
          <w:p>
            <w:pPr>
              <w:spacing w:after="0"/>
              <w:rPr>
                <w:sz w:val="14"/>
                <w:szCs w:val="14"/>
                <w:color w:val="auto"/>
              </w:rPr>
            </w:pPr>
          </w:p>
        </w:tc>
        <w:tc>
          <w:tcPr>
            <w:tcW w:w="1280" w:type="dxa"/>
            <w:vAlign w:val="bottom"/>
          </w:tcPr>
          <w:p>
            <w:pPr>
              <w:jc w:val="right"/>
              <w:ind w:right="420"/>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260" w:type="dxa"/>
            <w:vAlign w:val="bottom"/>
          </w:tcPr>
          <w:p>
            <w:pPr>
              <w:jc w:val="right"/>
              <w:ind w:right="398"/>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$1,268</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2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$5,026</w:t>
            </w: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1500" w:type="dxa"/>
            <w:vAlign w:val="bottom"/>
            <w:gridSpan w:val="2"/>
          </w:tcPr>
          <w:p>
            <w:pPr>
              <w:jc w:val="right"/>
              <w:ind w:right="220"/>
              <w:spacing w:after="0"/>
              <w:rPr>
                <w:sz w:val="20"/>
                <w:szCs w:val="20"/>
                <w:color w:val="auto"/>
              </w:rPr>
            </w:pPr>
            <w:r>
              <w:rPr>
                <w:rFonts w:ascii="Arial" w:cs="Arial" w:eastAsia="Arial" w:hAnsi="Arial"/>
                <w:sz w:val="18"/>
                <w:szCs w:val="18"/>
                <w:color w:val="auto"/>
              </w:rPr>
              <w:t>4,851,451</w:t>
            </w:r>
          </w:p>
        </w:tc>
        <w:tc>
          <w:tcPr>
            <w:tcW w:w="1280" w:type="dxa"/>
            <w:vAlign w:val="bottom"/>
          </w:tcPr>
          <w:p>
            <w:pPr>
              <w:jc w:val="right"/>
              <w:spacing w:after="0"/>
              <w:rPr>
                <w:sz w:val="20"/>
                <w:szCs w:val="20"/>
                <w:color w:val="auto"/>
              </w:rPr>
            </w:pPr>
            <w:r>
              <w:rPr>
                <w:rFonts w:ascii="Arial" w:cs="Arial" w:eastAsia="Arial" w:hAnsi="Arial"/>
                <w:sz w:val="18"/>
                <w:szCs w:val="18"/>
                <w:color w:val="auto"/>
              </w:rPr>
              <w:t>3,970,447</w:t>
            </w:r>
          </w:p>
        </w:tc>
        <w:tc>
          <w:tcPr>
            <w:tcW w:w="2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4,770,267</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3,907,696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common share-basic and diluted</w:t>
            </w:r>
          </w:p>
        </w:tc>
        <w:tc>
          <w:tcPr>
            <w:tcW w:w="15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$0.26</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Dividend</w:t>
      </w:r>
    </w:p>
    <w:p>
      <w:pPr>
        <w:spacing w:after="0" w:line="229" w:lineRule="exact"/>
        <w:rPr>
          <w:sz w:val="20"/>
          <w:szCs w:val="20"/>
          <w:color w:val="auto"/>
        </w:rPr>
      </w:pPr>
    </w:p>
    <w:p>
      <w:pPr>
        <w:ind w:right="100" w:firstLine="622"/>
        <w:spacing w:after="0" w:line="264"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309" w:lineRule="exact"/>
        <w:rPr>
          <w:sz w:val="20"/>
          <w:szCs w:val="20"/>
          <w:color w:val="auto"/>
        </w:rPr>
      </w:pPr>
    </w:p>
    <w:p>
      <w:pPr>
        <w:spacing w:after="0"/>
        <w:rPr>
          <w:rFonts w:ascii="Arial" w:cs="Arial" w:eastAsia="Arial" w:hAnsi="Arial"/>
          <w:sz w:val="16"/>
          <w:szCs w:val="16"/>
          <w:u w:val="single" w:color="auto"/>
          <w:color w:val="0000EE"/>
        </w:rPr>
      </w:pPr>
      <w:hyperlink w:anchor="page1">
        <w:r>
          <w:rPr>
            <w:rFonts w:ascii="Arial" w:cs="Arial" w:eastAsia="Arial" w:hAnsi="Arial"/>
            <w:sz w:val="16"/>
            <w:szCs w:val="16"/>
            <w:u w:val="single" w:color="auto"/>
            <w:color w:val="0000EE"/>
          </w:rPr>
          <w:t>Table of Contents</w:t>
        </w:r>
      </w:hyperlink>
    </w:p>
    <w:p>
      <w:pPr>
        <w:sectPr>
          <w:pgSz w:w="11900" w:h="16838" w:orient="portrait"/>
          <w:cols w:equalWidth="0" w:num="1">
            <w:col w:w="11420"/>
          </w:cols>
          <w:pgMar w:left="240" w:top="125" w:right="239" w:bottom="0" w:gutter="0" w:footer="0" w:header="0"/>
          <w:type w:val="continuous"/>
        </w:sectPr>
      </w:pPr>
    </w:p>
    <w:bookmarkStart w:id="23" w:name="page24"/>
    <w:bookmarkEnd w:id="23"/>
    <w:p>
      <w:pPr>
        <w:ind w:right="40" w:firstLine="648"/>
        <w:spacing w:after="0" w:line="255"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number of shares of common stock comprising the stock portion was calculated based on a price of $15.439 per share, which equaled the volume weighted average trading price per share of the common stock on December 11, 14, and 16, 2013. The consolidated financial statements for the period ended November 30, 2013 have been retroactively adjusted to reflect the increase in common stock as a result of the dividend in accordance with the provisions of ASC 505-20-S50 regarding disclosure of a capital structure change after the interim balance sheet but before the release of the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Highlights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is a schedule of financial highlights for the three months ended November 30, 2013 and 2012:</w:t>
      </w:r>
    </w:p>
    <w:p>
      <w:pPr>
        <w:spacing w:after="0" w:line="204"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November</w:t>
            </w: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November</w:t>
            </w:r>
          </w:p>
        </w:tc>
      </w:tr>
      <w:tr>
        <w:trPr>
          <w:trHeight w:val="171"/>
        </w:trPr>
        <w:tc>
          <w:tcPr>
            <w:tcW w:w="78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30, 2013</w:t>
            </w:r>
          </w:p>
        </w:tc>
        <w:tc>
          <w:tcPr>
            <w:tcW w:w="22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30, 2012</w:t>
            </w:r>
          </w:p>
        </w:tc>
        <w:tc>
          <w:tcPr>
            <w:tcW w:w="160" w:type="dxa"/>
            <w:vAlign w:val="bottom"/>
            <w:tcBorders>
              <w:bottom w:val="single" w:sz="8" w:color="CCEEFF"/>
            </w:tcBorders>
          </w:tcPr>
          <w:p>
            <w:pPr>
              <w:spacing w:after="0"/>
              <w:rPr>
                <w:sz w:val="14"/>
                <w:szCs w:val="14"/>
                <w:color w:val="auto"/>
              </w:rPr>
            </w:pPr>
          </w:p>
        </w:tc>
      </w:tr>
      <w:tr>
        <w:trPr>
          <w:trHeight w:val="196"/>
        </w:trPr>
        <w:tc>
          <w:tcPr>
            <w:tcW w:w="7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22.98</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25.12</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realized and unrealized gains and (losses) on investments and derivatives</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(0.55)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0.95</w:t>
            </w:r>
          </w:p>
        </w:tc>
      </w:tr>
      <w:tr>
        <w:trPr>
          <w:trHeight w:val="210"/>
        </w:trPr>
        <w:tc>
          <w:tcPr>
            <w:tcW w:w="7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22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(2.65)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(4.25)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Other (2)</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Net asset value at end of period</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20.67</w:t>
            </w: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21.75</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111,206,093</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102,892,221</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5,379,616</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4,730,116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15.64</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15.70</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Total return based on market value(3)</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7.66%</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26.07%</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value(4)</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10.43%</w:t>
            </w:r>
          </w:p>
        </w:tc>
      </w:tr>
      <w:tr>
        <w:trPr>
          <w:trHeight w:val="216"/>
        </w:trPr>
        <w:tc>
          <w:tcPr>
            <w:tcW w:w="786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6.63%</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Ratio of operating expenses to average net assets(5)</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5.97%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5.29%</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Ratio of incentive management fees to average net assets(5)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0.26%</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r>
      <w:tr>
        <w:trPr>
          <w:trHeight w:val="216"/>
        </w:trPr>
        <w:tc>
          <w:tcPr>
            <w:tcW w:w="7860" w:type="dxa"/>
            <w:vAlign w:val="bottom"/>
          </w:tcPr>
          <w:p>
            <w:pPr>
              <w:spacing w:after="0"/>
              <w:rPr>
                <w:sz w:val="20"/>
                <w:szCs w:val="20"/>
                <w:color w:val="auto"/>
              </w:rPr>
            </w:pPr>
            <w:r>
              <w:rPr>
                <w:rFonts w:ascii="Arial" w:cs="Arial" w:eastAsia="Arial" w:hAnsi="Arial"/>
                <w:sz w:val="18"/>
                <w:szCs w:val="18"/>
                <w:color w:val="auto"/>
              </w:rPr>
              <w:t>Ratio of debt related expenses to average net assets(5)</w:t>
            </w:r>
          </w:p>
        </w:tc>
        <w:tc>
          <w:tcPr>
            <w:tcW w:w="220" w:type="dxa"/>
            <w:vAlign w:val="bottom"/>
          </w:tcPr>
          <w:p>
            <w:pPr>
              <w:spacing w:after="0"/>
              <w:rPr>
                <w:sz w:val="18"/>
                <w:szCs w:val="18"/>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5.18%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2.36%</w:t>
            </w: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assets(5)</w:t>
            </w:r>
          </w:p>
        </w:tc>
        <w:tc>
          <w:tcPr>
            <w:tcW w:w="2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11.42%</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8.81%</w:t>
            </w:r>
          </w:p>
        </w:tc>
      </w:tr>
      <w:tr>
        <w:trPr>
          <w:trHeight w:val="230"/>
        </w:trPr>
        <w:tc>
          <w:tcPr>
            <w:tcW w:w="7860" w:type="dxa"/>
            <w:vAlign w:val="bottom"/>
          </w:tcPr>
          <w:p>
            <w:pPr>
              <w:spacing w:after="0"/>
              <w:rPr>
                <w:sz w:val="20"/>
                <w:szCs w:val="20"/>
                <w:color w:val="auto"/>
              </w:rPr>
            </w:pPr>
            <w:r>
              <w:rPr>
                <w:rFonts w:ascii="Arial" w:cs="Arial" w:eastAsia="Arial" w:hAnsi="Arial"/>
                <w:sz w:val="18"/>
                <w:szCs w:val="18"/>
                <w:color w:val="auto"/>
              </w:rPr>
              <w:t>Portfolio turnover rate(6)</w:t>
            </w:r>
          </w:p>
        </w:tc>
        <w:tc>
          <w:tcPr>
            <w:tcW w:w="220" w:type="dxa"/>
            <w:vAlign w:val="bottom"/>
          </w:tcPr>
          <w:p>
            <w:pPr>
              <w:spacing w:after="0"/>
              <w:rPr>
                <w:sz w:val="20"/>
                <w:szCs w:val="20"/>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36.80%</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196850</wp:posOffset>
            </wp:positionV>
            <wp:extent cx="182689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97"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dilutive effect of issuing common stock below net asset value per share during the period.</w:t>
      </w:r>
    </w:p>
    <w:p>
      <w:pPr>
        <w:spacing w:after="0" w:line="9" w:lineRule="exact"/>
        <w:rPr>
          <w:rFonts w:ascii="Arial" w:cs="Arial" w:eastAsia="Arial" w:hAnsi="Arial"/>
          <w:sz w:val="18"/>
          <w:szCs w:val="18"/>
          <w:color w:val="auto"/>
        </w:rPr>
      </w:pPr>
    </w:p>
    <w:p>
      <w:pPr>
        <w:ind w:left="660" w:right="60" w:hanging="652"/>
        <w:spacing w:after="0" w:line="250"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jc w:val="both"/>
        <w:ind w:left="660" w:hanging="652"/>
        <w:spacing w:after="0" w:line="281" w:lineRule="auto"/>
        <w:tabs>
          <w:tab w:leader="none" w:pos="667"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dividend reinvestment plan. Total investment return does not reflect brokerage commissions.</w:t>
      </w:r>
    </w:p>
    <w:p>
      <w:pPr>
        <w:spacing w:after="0" w:line="2" w:lineRule="exact"/>
        <w:rPr>
          <w:rFonts w:ascii="Arial" w:cs="Arial" w:eastAsia="Arial" w:hAnsi="Arial"/>
          <w:sz w:val="16"/>
          <w:szCs w:val="16"/>
          <w:color w:val="auto"/>
        </w:rPr>
      </w:pPr>
    </w:p>
    <w:p>
      <w:pPr>
        <w:ind w:left="660" w:hanging="652"/>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660" w:right="420" w:hanging="652"/>
        <w:spacing w:after="0" w:line="261" w:lineRule="auto"/>
        <w:tabs>
          <w:tab w:leader="none" w:pos="667"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Portfolio turnover rate is calculated using the lesser of year-to-date sales or year-to-date purchases over the average of the invested assets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Recapitalization Transaction</w:t>
      </w:r>
    </w:p>
    <w:p>
      <w:pPr>
        <w:spacing w:after="0" w:line="229" w:lineRule="exact"/>
        <w:rPr>
          <w:sz w:val="20"/>
          <w:szCs w:val="20"/>
          <w:color w:val="auto"/>
        </w:rPr>
      </w:pPr>
    </w:p>
    <w:p>
      <w:pPr>
        <w:ind w:right="340" w:firstLine="648"/>
        <w:spacing w:after="0" w:line="293" w:lineRule="auto"/>
        <w:rPr>
          <w:sz w:val="20"/>
          <w:szCs w:val="20"/>
          <w:color w:val="auto"/>
        </w:rPr>
      </w:pPr>
      <w:r>
        <w:rPr>
          <w:rFonts w:ascii="Arial" w:cs="Arial" w:eastAsia="Arial" w:hAnsi="Arial"/>
          <w:sz w:val="16"/>
          <w:szCs w:val="16"/>
          <w:color w:val="auto"/>
        </w:rPr>
        <w:t>In July 2010, we consummated a recapitalization transaction that was necessitated by the fact that we had exceeded permissible borrowing limits under the Revolving Facility in July 2009, which resulted in an event of default under the Revolving Facility. As a result of the event of default under the Revolving Facility, the lender had the right to accelerate repayment of the outstanding indebtedness under the Revolving Facility and to foreclose and liquidate the collateral pledged thereunder. We engaged the investment banking firm of Stifel, Nicolaus &amp; Company to evaluate strategic transaction opportunities and consider alternatives for us in December 2008. On April 14, 2010, we entered into a stock purchase agreement with our Manager and certain of its affiliates and an assignment, assumption and novation agreement with our Manager, pursuant to which we assumed certain rights and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obligations of our Manager under a debt commitment letter our Manager received from Madison Capital Funding LLC, indicating Madison Capital Funding’s willingness to provide us with the Replacement Facility, subject to the satisfaction of certain terms and conditions. In addition, we and GSCP (NJ), L.P., our then external investment adviser,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65"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On July 30, 2010, the transactions contemplated by the stock purchase agreement with our Manager and certain of its affiliates was completed, and included the following actions:</w:t>
      </w:r>
    </w:p>
    <w:p>
      <w:pPr>
        <w:spacing w:after="0" w:line="170" w:lineRule="exact"/>
        <w:rPr>
          <w:sz w:val="20"/>
          <w:szCs w:val="20"/>
          <w:color w:val="auto"/>
        </w:rPr>
      </w:pPr>
    </w:p>
    <w:p>
      <w:pPr>
        <w:ind w:left="940" w:hanging="284"/>
        <w:spacing w:after="0"/>
        <w:tabs>
          <w:tab w:leader="none" w:pos="9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private sale of shares of our common stock for $15.0 million in aggregate purchase price to our Manager and certain of its affiliates;</w:t>
      </w:r>
    </w:p>
    <w:p>
      <w:pPr>
        <w:spacing w:after="0" w:line="34" w:lineRule="exact"/>
        <w:rPr>
          <w:rFonts w:ascii="Arial" w:cs="Arial" w:eastAsia="Arial" w:hAnsi="Arial"/>
          <w:sz w:val="17"/>
          <w:szCs w:val="17"/>
          <w:color w:val="auto"/>
        </w:rPr>
      </w:pPr>
    </w:p>
    <w:p>
      <w:pPr>
        <w:ind w:left="940" w:hanging="284"/>
        <w:spacing w:after="0"/>
        <w:tabs>
          <w:tab w:leader="none" w:pos="9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closing of the $40.0 million Replacement Facility with Madison Capital Funding;</w:t>
      </w:r>
    </w:p>
    <w:p>
      <w:pPr>
        <w:sectPr>
          <w:pgSz w:w="11900" w:h="16838" w:orient="portrait"/>
          <w:cols w:equalWidth="0" w:num="1">
            <w:col w:w="11420"/>
          </w:cols>
          <w:pgMar w:left="240" w:top="341" w:right="239" w:bottom="0" w:gutter="0" w:footer="0" w:header="0"/>
        </w:sectPr>
      </w:pPr>
    </w:p>
    <w:bookmarkStart w:id="24" w:name="page25"/>
    <w:bookmarkEnd w:id="24"/>
    <w:p>
      <w:pPr>
        <w:ind w:left="980" w:right="840" w:hanging="324"/>
        <w:spacing w:after="0" w:line="291" w:lineRule="auto"/>
        <w:tabs>
          <w:tab w:leader="none" w:pos="94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execution of a registration rights agreement with the investors in the private sale transaction, pursuant to which we agreed to file a registration statement with the SEC to register for resale the shares of our common stock sold in the private sale transaction;</w:t>
      </w:r>
    </w:p>
    <w:p>
      <w:pPr>
        <w:ind w:left="980" w:right="520" w:hanging="324"/>
        <w:spacing w:after="0" w:line="265" w:lineRule="auto"/>
        <w:tabs>
          <w:tab w:leader="none" w:pos="944"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execution of a trademark license agreement with our Manager pursuant to which our Manager granted us a non-exclusive, royalty-free license to use the “Saratoga” name, for so long as our Manager or one of its affiliates remains our investment adviser;</w:t>
      </w:r>
    </w:p>
    <w:p>
      <w:pPr>
        <w:ind w:left="980" w:right="100" w:hanging="324"/>
        <w:spacing w:after="0" w:line="250"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replacing GSCP (NJ), L.P. as our investment adviser and administrator with our Manager by executing an investment advisory and management agreement, which was approved by our stockholders, and an administration agreement with our Manager;</w:t>
      </w:r>
    </w:p>
    <w:p>
      <w:pPr>
        <w:ind w:left="980" w:right="100" w:hanging="324"/>
        <w:spacing w:after="0" w:line="250"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resignations of Robert F. Cummings, Jr. and Richard M. Hayden, both of whom are affiliates of GSCP (NJ) L.P., as members of the board of directors and the election of Christian L. Oberbeck and Richard A. Petrocelli, both of whom are affiliates of our Manager, as members of the board of directors;</w:t>
      </w:r>
    </w:p>
    <w:p>
      <w:pPr>
        <w:spacing w:after="0" w:line="1" w:lineRule="exact"/>
        <w:rPr>
          <w:rFonts w:ascii="Arial" w:cs="Arial" w:eastAsia="Arial" w:hAnsi="Arial"/>
          <w:sz w:val="18"/>
          <w:szCs w:val="18"/>
          <w:color w:val="auto"/>
        </w:rPr>
      </w:pPr>
    </w:p>
    <w:p>
      <w:pPr>
        <w:ind w:left="980" w:hanging="324"/>
        <w:spacing w:after="0" w:line="250" w:lineRule="auto"/>
        <w:tabs>
          <w:tab w:leader="none" w:pos="944"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resignation of all of our then existing executive officers and the appointment by our board of directors of Mr. Oberbeck as our chief executive officer and Mr. Petrocelli as our chief financial officer, secretary and chief compliance officer; and</w:t>
      </w:r>
    </w:p>
    <w:p>
      <w:pPr>
        <w:ind w:left="940" w:hanging="284"/>
        <w:spacing w:after="0"/>
        <w:tabs>
          <w:tab w:leader="none" w:pos="9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name change from “GSC Investment Corp.” to “Saratoga Investment Corp.”</w:t>
      </w:r>
    </w:p>
    <w:p>
      <w:pPr>
        <w:spacing w:after="0" w:line="211" w:lineRule="exact"/>
        <w:rPr>
          <w:sz w:val="20"/>
          <w:szCs w:val="20"/>
          <w:color w:val="auto"/>
        </w:rPr>
      </w:pPr>
    </w:p>
    <w:p>
      <w:pPr>
        <w:jc w:val="both"/>
        <w:ind w:right="240" w:firstLine="648"/>
        <w:spacing w:after="0" w:line="286" w:lineRule="auto"/>
        <w:rPr>
          <w:sz w:val="20"/>
          <w:szCs w:val="20"/>
          <w:color w:val="auto"/>
        </w:rPr>
      </w:pPr>
      <w:r>
        <w:rPr>
          <w:rFonts w:ascii="Arial" w:cs="Arial" w:eastAsia="Arial" w:hAnsi="Arial"/>
          <w:sz w:val="17"/>
          <w:szCs w:val="17"/>
          <w:color w:val="auto"/>
        </w:rPr>
        <w:t>We used the net proceeds from the private sale transaction and a portion of the funds available to us under the Replacement Facility to pay the full amount of principal and accrued interest, including default interest, outstanding under Revolving Facility. The Revolving Facility with Deutsche Bank was terminated in connection with our payment of all amounts outstanding thereunder on July 30, 2010.</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229" w:lineRule="exact"/>
        <w:rPr>
          <w:sz w:val="20"/>
          <w:szCs w:val="20"/>
          <w:color w:val="auto"/>
        </w:rPr>
      </w:pPr>
    </w:p>
    <w:p>
      <w:pPr>
        <w:ind w:right="60" w:firstLine="648"/>
        <w:spacing w:after="0" w:line="264" w:lineRule="auto"/>
        <w:rPr>
          <w:sz w:val="20"/>
          <w:szCs w:val="20"/>
          <w:color w:val="auto"/>
        </w:rPr>
      </w:pPr>
      <w:r>
        <w:rPr>
          <w:rFonts w:ascii="Arial" w:cs="Arial" w:eastAsia="Arial" w:hAnsi="Arial"/>
          <w:sz w:val="18"/>
          <w:szCs w:val="18"/>
          <w:color w:val="auto"/>
        </w:rPr>
        <w:t>Management has evaluated subsequent events through the date of issuance of the consolidated financial statements included herein. There have been no subsequent events that occurred during such period that would require disclosure in this Form 10-Q or would be required to be recognized in the consolidated financial statements as of and for the quarter ended November 30, 2013.</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ind w:right="180" w:firstLine="648"/>
        <w:spacing w:after="0" w:line="302" w:lineRule="auto"/>
        <w:rPr>
          <w:sz w:val="20"/>
          <w:szCs w:val="20"/>
          <w:color w:val="auto"/>
        </w:rPr>
      </w:pPr>
      <w:r>
        <w:rPr>
          <w:rFonts w:ascii="Arial" w:cs="Arial" w:eastAsia="Arial" w:hAnsi="Arial"/>
          <w:sz w:val="16"/>
          <w:szCs w:val="16"/>
          <w:color w:val="auto"/>
        </w:rPr>
        <w:t>The following discussion should be read in conjunction with our financial statements and related notes and other financial information appearing elsewhere in this Quarterly Report on Form 10-Q. In addition to historical information, the following discussion and other parts of this Quarterly Report contain forward-looking information that involves risks and uncertainties. Our actual results could differ materially from those anticipated by such forward-looking information due to the factors discussed under Part I, Item 1A in our Annual Report on Form 10-K for the fiscal year ended February 28, 2013.</w:t>
      </w:r>
    </w:p>
    <w:p>
      <w:pPr>
        <w:spacing w:after="0" w:line="154"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forward-looking statements contained in this Quarterly Report on Form 10-Q involve risks and uncertainties, including statements as to:</w:t>
      </w:r>
    </w:p>
    <w:p>
      <w:pPr>
        <w:spacing w:after="0" w:line="225" w:lineRule="exact"/>
        <w:rPr>
          <w:sz w:val="20"/>
          <w:szCs w:val="20"/>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9" w:lineRule="exact"/>
        <w:rPr>
          <w:rFonts w:ascii="Arial" w:cs="Arial" w:eastAsia="Arial" w:hAnsi="Arial"/>
          <w:sz w:val="18"/>
          <w:szCs w:val="18"/>
          <w:color w:val="auto"/>
        </w:rPr>
      </w:pPr>
    </w:p>
    <w:p>
      <w:pPr>
        <w:ind w:left="980" w:right="420" w:hanging="324"/>
        <w:spacing w:after="0" w:line="250" w:lineRule="auto"/>
        <w:tabs>
          <w:tab w:leader="none" w:pos="944"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regulatory structure and tax treatment, including our ability to operate as a business development company, a small business investment company and a regulated investment company;</w:t>
      </w: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9" w:lineRule="exact"/>
        <w:rPr>
          <w:rFonts w:ascii="Arial" w:cs="Arial" w:eastAsia="Arial" w:hAnsi="Arial"/>
          <w:sz w:val="18"/>
          <w:szCs w:val="18"/>
          <w:color w:val="auto"/>
        </w:rPr>
      </w:pPr>
    </w:p>
    <w:p>
      <w:pPr>
        <w:ind w:left="940" w:hanging="284"/>
        <w:spacing w:after="0"/>
        <w:tabs>
          <w:tab w:leader="none" w:pos="9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1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Quarterly Report on Form 10-Q relate only to events as of the date on which the statements are made. We undertake no obligation to update any forward-looking statement to reflect events or circumstances occurring after the date of this Quarterly Report on Form 10-Q.</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We are a Maryland corporation that has elected to be treated as a business development company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$5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regulated investment company (“RIC”) under Subchapter M of the Internal Revenue Code of 1986, as amended (the “Code”).</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225" w:lineRule="exact"/>
        <w:rPr>
          <w:sz w:val="20"/>
          <w:szCs w:val="20"/>
          <w:color w:val="auto"/>
        </w:rPr>
      </w:pPr>
    </w:p>
    <w:p>
      <w:pPr>
        <w:ind w:right="300" w:firstLine="648"/>
        <w:spacing w:after="0" w:line="342" w:lineRule="auto"/>
        <w:rPr>
          <w:sz w:val="20"/>
          <w:szCs w:val="20"/>
          <w:color w:val="auto"/>
        </w:rPr>
      </w:pPr>
      <w:r>
        <w:rPr>
          <w:rFonts w:ascii="Arial" w:cs="Arial" w:eastAsia="Arial" w:hAnsi="Arial"/>
          <w:sz w:val="16"/>
          <w:szCs w:val="16"/>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w:t>
      </w:r>
    </w:p>
    <w:p>
      <w:pPr>
        <w:sectPr>
          <w:pgSz w:w="11900" w:h="16838" w:orient="portrait"/>
          <w:cols w:equalWidth="0" w:num="1">
            <w:col w:w="11420"/>
          </w:cols>
          <w:pgMar w:left="240" w:top="125" w:right="239" w:bottom="0" w:gutter="0" w:footer="0" w:header="0"/>
        </w:sectPr>
      </w:pPr>
    </w:p>
    <w:bookmarkStart w:id="25" w:name="page26"/>
    <w:bookmarkEnd w:id="25"/>
    <w:p>
      <w:pPr>
        <w:ind w:right="300"/>
        <w:spacing w:after="0" w:line="277" w:lineRule="auto"/>
        <w:rPr>
          <w:sz w:val="20"/>
          <w:szCs w:val="20"/>
          <w:color w:val="auto"/>
        </w:rPr>
      </w:pPr>
      <w:r>
        <w:rPr>
          <w:rFonts w:ascii="Arial" w:cs="Arial" w:eastAsia="Arial" w:hAnsi="Arial"/>
          <w:sz w:val="18"/>
          <w:szCs w:val="18"/>
          <w:color w:val="auto"/>
        </w:rPr>
        <w:t>Group, Inc. In connection with the consummation of a recapitalization transaction on July 30, 2010, we engaged Saratoga Investment Advisors (“SIA”) to replace GSCP (NJ), L.P. as our investment adviser and changed our name to Saratoga Investment Corp.</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result of the event of default under a revolving securitized credit facility with Deutsche Bank we previously had in place, in December 2008 we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engaged the investment banking firm of Stifel, Nicolaus &amp; Company to evaluate strategic transaction opportunities and consider alternatives for us. 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14, 2010, we entered into a stock purchase agreement with Saratoga Investment Advisors and certain of its affiliates and an assignment, assumption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novation agreement with Saratoga Investment Advisors, pursuant to which we assumed certain rights and obligations of Saratoga Investment Advisors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debt commitment letter Saratoga Investment Advisors received from Madison Capital Funding LLC, indicating Madison Capital Funding’s willingness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provide us with a $40.0 million senior secured revolving credit facility, subject to the satisfaction of certain terms and conditions. In addition, we and GSCP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(NJ), L.P. entered into a termination and release agreement, to be effective as of the closing of the transaction contemplated by the stock purchase agreement,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pursuant to which GSCP (NJ), L.P., among other things, agreed to waive any and all accrued and unpaid deferred incentive management fees up to and as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closing of the transaction contemplated by the stock purchase agreement but continued to be entitled to receive the base management fees earned through</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date of the closing of the transaction contemplated by the stock purchase agreement.</w:t>
      </w:r>
    </w:p>
    <w:p>
      <w:pPr>
        <w:spacing w:after="0" w:line="21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On July 30, 2010, the transactions contemplated by the stock purchase agreement with Saratoga Investment Advisors and certain of its affiliates were completed, and included the following actions:</w:t>
      </w:r>
    </w:p>
    <w:p>
      <w:pPr>
        <w:spacing w:after="0" w:line="170" w:lineRule="exact"/>
        <w:rPr>
          <w:sz w:val="20"/>
          <w:szCs w:val="20"/>
          <w:color w:val="auto"/>
        </w:rPr>
      </w:pPr>
    </w:p>
    <w:p>
      <w:pPr>
        <w:ind w:left="980" w:right="500" w:hanging="324"/>
        <w:spacing w:after="0" w:line="27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private sale of 986,842 shares of our common stock for $15.0 million in aggregate purchase price to Saratoga Investment Advisors and certain of its affiliates;</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closing of the $40.0 million senior secured revolving credit facility with Madison Capital Funding;</w:t>
      </w:r>
    </w:p>
    <w:p>
      <w:pPr>
        <w:spacing w:after="0" w:line="225" w:lineRule="exact"/>
        <w:rPr>
          <w:rFonts w:ascii="Arial" w:cs="Arial" w:eastAsia="Arial" w:hAnsi="Arial"/>
          <w:sz w:val="18"/>
          <w:szCs w:val="18"/>
          <w:color w:val="auto"/>
        </w:rPr>
      </w:pPr>
    </w:p>
    <w:p>
      <w:pPr>
        <w:ind w:left="980" w:right="100" w:hanging="324"/>
        <w:spacing w:after="0" w:line="257" w:lineRule="auto"/>
        <w:tabs>
          <w:tab w:leader="none" w:pos="944"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execution of a registration rights agreement with the investors in the private sale transaction, pursuant to which, among other things, we agreed to file a registration statement with the SEC to register for resale the shares of our common stock sold in the private sale transaction, including any shares of common stock issued or issuable upon any stock split, dividend or other distribution, recapitalization or similar event relating thereto, and to use commercially reasonable efforts to cause such registration statement to be declared effective within 90 days after the date on which the registration statement was initially filed with the SEC;</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0" w:hanging="324"/>
        <w:spacing w:after="0" w:line="264"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execution of a trademark license agreement with Saratoga Investment Advisors pursuant to which Saratoga Investment Advisors granted us a non-exclusive, royalty-free license to use the “Saratoga” name, for so long as Saratoga Investment Advisors or one of its affiliates remains our investment adviser; and</w:t>
      </w:r>
    </w:p>
    <w:p>
      <w:pPr>
        <w:spacing w:after="0" w:line="181" w:lineRule="exact"/>
        <w:rPr>
          <w:rFonts w:ascii="Arial" w:cs="Arial" w:eastAsia="Arial" w:hAnsi="Arial"/>
          <w:sz w:val="18"/>
          <w:szCs w:val="18"/>
          <w:color w:val="auto"/>
        </w:rPr>
      </w:pPr>
    </w:p>
    <w:p>
      <w:pPr>
        <w:ind w:left="980" w:right="120" w:hanging="324"/>
        <w:spacing w:after="0" w:line="342" w:lineRule="auto"/>
        <w:tabs>
          <w:tab w:leader="none" w:pos="944"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replacing GSCP (NJ), L.P. as our investment adviser and administrator with Saratoga Investment Advisors by executing an investment advisory and management agreement, which was approved by our stockholders, and an administration agreement with Saratoga Investment Advisors;</w:t>
      </w:r>
    </w:p>
    <w:p>
      <w:pPr>
        <w:spacing w:after="0" w:line="123" w:lineRule="exact"/>
        <w:rPr>
          <w:rFonts w:ascii="Arial" w:cs="Arial" w:eastAsia="Arial" w:hAnsi="Arial"/>
          <w:sz w:val="16"/>
          <w:szCs w:val="16"/>
          <w:color w:val="auto"/>
        </w:rPr>
      </w:pPr>
    </w:p>
    <w:p>
      <w:pPr>
        <w:ind w:left="980" w:right="100" w:hanging="324"/>
        <w:spacing w:after="0" w:line="264"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resignations of Robert F. Cummings, Jr. and Richard M. Hayden, both of whom are affiliates of GSCP (NJ) L.P., as members of the board of directors and the election of Christian L. Oberbeck and Richard A. Petrocelli, both of whom are affiliates of Saratoga Investment Advisors, as members of the board of directors;</w:t>
      </w:r>
    </w:p>
    <w:p>
      <w:pPr>
        <w:spacing w:after="0" w:line="181" w:lineRule="exact"/>
        <w:rPr>
          <w:rFonts w:ascii="Arial" w:cs="Arial" w:eastAsia="Arial" w:hAnsi="Arial"/>
          <w:sz w:val="18"/>
          <w:szCs w:val="18"/>
          <w:color w:val="auto"/>
        </w:rPr>
      </w:pPr>
    </w:p>
    <w:p>
      <w:pPr>
        <w:ind w:left="980" w:hanging="324"/>
        <w:spacing w:after="0" w:line="277" w:lineRule="auto"/>
        <w:tabs>
          <w:tab w:leader="none" w:pos="944"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resignation of all of our then existing executive officers and the appointment by our board of directors of Mr. Oberbeck as our chief executive officer and Mr. Petrocelli as our chief financial officer, secretary and chief compliance officer; and</w:t>
      </w:r>
    </w:p>
    <w:p>
      <w:pPr>
        <w:spacing w:after="0" w:line="170" w:lineRule="exact"/>
        <w:rPr>
          <w:rFonts w:ascii="Arial" w:cs="Arial" w:eastAsia="Arial" w:hAnsi="Arial"/>
          <w:sz w:val="18"/>
          <w:szCs w:val="18"/>
          <w:color w:val="auto"/>
        </w:rPr>
      </w:pPr>
    </w:p>
    <w:p>
      <w:pPr>
        <w:ind w:left="940" w:hanging="284"/>
        <w:spacing w:after="0"/>
        <w:tabs>
          <w:tab w:leader="none" w:pos="9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name change from “GSC Investment Corp.” to “Saratoga Investment Corp.”</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We used the net proceeds from the private sale transaction and a portion of the funds available to us under the $40.0 million senior secured revolving credit facility with Madison Capital Funding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In January 2011, we registered for public resale the 982,842 shares of our common stock issued to Saratoga Investment Advisors and certain of its affiliates.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80" w:firstLine="648"/>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Valuation</w:t>
      </w:r>
    </w:p>
    <w:p>
      <w:pPr>
        <w:sectPr>
          <w:pgSz w:w="11900" w:h="16838" w:orient="portrait"/>
          <w:cols w:equalWidth="0" w:num="1">
            <w:col w:w="11420"/>
          </w:cols>
          <w:pgMar w:left="240" w:top="125" w:right="239" w:bottom="100" w:gutter="0" w:footer="0" w:header="0"/>
        </w:sectPr>
      </w:pPr>
    </w:p>
    <w:bookmarkStart w:id="26" w:name="page27"/>
    <w:bookmarkEnd w:id="26"/>
    <w:p>
      <w:pPr>
        <w:ind w:firstLine="648"/>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120" w:firstLine="648"/>
        <w:spacing w:after="0" w:line="254" w:lineRule="auto"/>
        <w:rPr>
          <w:sz w:val="20"/>
          <w:szCs w:val="20"/>
          <w:color w:val="auto"/>
        </w:rPr>
      </w:pPr>
      <w:r>
        <w:rPr>
          <w:rFonts w:ascii="Arial" w:cs="Arial" w:eastAsia="Arial" w:hAnsi="Arial"/>
          <w:sz w:val="18"/>
          <w:szCs w:val="18"/>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92"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80" w:right="460" w:hanging="324"/>
        <w:spacing w:after="0" w:line="277"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170" w:lineRule="exact"/>
        <w:rPr>
          <w:rFonts w:ascii="Arial" w:cs="Arial" w:eastAsia="Arial" w:hAnsi="Arial"/>
          <w:sz w:val="18"/>
          <w:szCs w:val="18"/>
          <w:color w:val="auto"/>
        </w:rPr>
      </w:pPr>
    </w:p>
    <w:p>
      <w:pPr>
        <w:ind w:left="980" w:hanging="324"/>
        <w:spacing w:after="0" w:line="264" w:lineRule="auto"/>
        <w:tabs>
          <w:tab w:leader="none" w:pos="944" w:val="left"/>
        </w:tabs>
        <w:numPr>
          <w:ilvl w:val="0"/>
          <w:numId w:val="23"/>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225" w:lineRule="exact"/>
        <w:rPr>
          <w:sz w:val="20"/>
          <w:szCs w:val="20"/>
          <w:color w:val="auto"/>
        </w:rPr>
      </w:pPr>
    </w:p>
    <w:p>
      <w:pPr>
        <w:ind w:left="980" w:right="120" w:hanging="324"/>
        <w:spacing w:after="0" w:line="308" w:lineRule="auto"/>
        <w:tabs>
          <w:tab w:leader="none" w:pos="944"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Saratoga Investment Advisors and independent valuation firm (if applicable) will supplement the preliminary valuation to reflect any comments provided by the audit committee; and</w:t>
      </w:r>
    </w:p>
    <w:p>
      <w:pPr>
        <w:spacing w:after="0" w:line="146" w:lineRule="exact"/>
        <w:rPr>
          <w:rFonts w:ascii="Arial" w:cs="Arial" w:eastAsia="Arial" w:hAnsi="Arial"/>
          <w:sz w:val="17"/>
          <w:szCs w:val="17"/>
          <w:color w:val="auto"/>
        </w:rPr>
      </w:pPr>
    </w:p>
    <w:p>
      <w:pPr>
        <w:ind w:left="980" w:right="400" w:hanging="324"/>
        <w:spacing w:after="0" w:line="342" w:lineRule="auto"/>
        <w:tabs>
          <w:tab w:leader="none" w:pos="944" w:val="left"/>
        </w:tabs>
        <w:numPr>
          <w:ilvl w:val="0"/>
          <w:numId w:val="24"/>
        </w:numPr>
        <w:rPr>
          <w:rFonts w:ascii="Arial" w:cs="Arial" w:eastAsia="Arial" w:hAnsi="Arial"/>
          <w:sz w:val="16"/>
          <w:szCs w:val="16"/>
          <w:color w:val="auto"/>
        </w:rPr>
      </w:pPr>
      <w:r>
        <w:rPr>
          <w:rFonts w:ascii="Arial" w:cs="Arial" w:eastAsia="Arial" w:hAnsi="Arial"/>
          <w:sz w:val="16"/>
          <w:szCs w:val="16"/>
          <w:color w:val="auto"/>
        </w:rPr>
        <w:t>Our board of directors discusses the valuations and approves the fair value of each investment, in good faith, based on the input of Saratoga Investment Advisors, the independent valuation firm (to the extent applicable) and the audit committee of our board of directors.</w:t>
      </w:r>
    </w:p>
    <w:p>
      <w:pPr>
        <w:spacing w:after="0" w:line="124"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7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Income Recognition</w:t>
      </w:r>
    </w:p>
    <w:p>
      <w:pPr>
        <w:spacing w:after="0" w:line="225" w:lineRule="exact"/>
        <w:rPr>
          <w:sz w:val="20"/>
          <w:szCs w:val="20"/>
          <w:color w:val="auto"/>
        </w:rPr>
      </w:pPr>
    </w:p>
    <w:p>
      <w:pPr>
        <w:ind w:right="80" w:firstLine="648"/>
        <w:spacing w:after="0" w:line="302" w:lineRule="auto"/>
        <w:rPr>
          <w:sz w:val="20"/>
          <w:szCs w:val="20"/>
          <w:color w:val="auto"/>
        </w:rPr>
      </w:pPr>
      <w:r>
        <w:rPr>
          <w:rFonts w:ascii="Arial" w:cs="Arial" w:eastAsia="Arial" w:hAnsi="Arial"/>
          <w:sz w:val="16"/>
          <w:szCs w:val="16"/>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54"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Paid-in-Kind Interest</w:t>
      </w:r>
    </w:p>
    <w:p>
      <w:pPr>
        <w:spacing w:after="0" w:line="225" w:lineRule="exact"/>
        <w:rPr>
          <w:sz w:val="20"/>
          <w:szCs w:val="20"/>
          <w:color w:val="auto"/>
        </w:rPr>
      </w:pPr>
    </w:p>
    <w:p>
      <w:pPr>
        <w:jc w:val="both"/>
        <w:ind w:right="200" w:firstLine="648"/>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ectPr>
          <w:pgSz w:w="11900" w:h="16838" w:orient="portrait"/>
          <w:cols w:equalWidth="0" w:num="1">
            <w:col w:w="11400"/>
          </w:cols>
          <w:pgMar w:left="240" w:top="125" w:right="259" w:bottom="0" w:gutter="0" w:footer="0" w:header="0"/>
        </w:sectPr>
      </w:pPr>
    </w:p>
    <w:bookmarkStart w:id="27" w:name="page28"/>
    <w:bookmarkEnd w:id="27"/>
    <w:p>
      <w:pPr>
        <w:spacing w:after="0" w:line="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229" w:lineRule="exact"/>
        <w:rPr>
          <w:sz w:val="20"/>
          <w:szCs w:val="20"/>
          <w:color w:val="auto"/>
        </w:rPr>
      </w:pPr>
    </w:p>
    <w:p>
      <w:pPr>
        <w:ind w:right="120" w:firstLine="648"/>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paid-in-kind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82" w:lineRule="exact"/>
        <w:rPr>
          <w:sz w:val="20"/>
          <w:szCs w:val="20"/>
          <w:color w:val="auto"/>
        </w:rPr>
      </w:pPr>
    </w:p>
    <w:p>
      <w:pPr>
        <w:ind w:firstLine="648"/>
        <w:spacing w:after="0" w:line="297"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The Saratoga CLO was refinanced in October 2013 and its reinvestment period ends in October 2016. The Saratoga CLO remains 100% owned and managed by Saratoga Investment Corp. We receive a senior collateral management fee of 0.25% and a subordinate collateral management fee of 0.25% of the outstanding principal amount of Saratoga CLO’s assets,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58"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Expenses</w:t>
      </w:r>
    </w:p>
    <w:p>
      <w:pPr>
        <w:spacing w:after="0" w:line="225" w:lineRule="exact"/>
        <w:rPr>
          <w:sz w:val="20"/>
          <w:szCs w:val="20"/>
          <w:color w:val="auto"/>
        </w:rPr>
      </w:pPr>
    </w:p>
    <w:p>
      <w:pPr>
        <w:ind w:right="300" w:firstLine="648"/>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171" w:lineRule="exact"/>
        <w:rPr>
          <w:sz w:val="20"/>
          <w:szCs w:val="20"/>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225" w:lineRule="exact"/>
        <w:rPr>
          <w:rFonts w:ascii="Arial" w:cs="Arial" w:eastAsia="Arial" w:hAnsi="Arial"/>
          <w:sz w:val="18"/>
          <w:szCs w:val="18"/>
          <w:color w:val="auto"/>
        </w:rPr>
      </w:pPr>
    </w:p>
    <w:p>
      <w:pPr>
        <w:ind w:left="980" w:right="60" w:hanging="324"/>
        <w:spacing w:after="0" w:line="308" w:lineRule="auto"/>
        <w:tabs>
          <w:tab w:leader="none" w:pos="944" w:val="left"/>
        </w:tabs>
        <w:numPr>
          <w:ilvl w:val="0"/>
          <w:numId w:val="25"/>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146" w:lineRule="exact"/>
        <w:rPr>
          <w:rFonts w:ascii="Arial" w:cs="Arial" w:eastAsia="Arial" w:hAnsi="Arial"/>
          <w:sz w:val="17"/>
          <w:szCs w:val="17"/>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248" w:lineRule="exact"/>
        <w:rPr>
          <w:rFonts w:ascii="Arial" w:cs="Arial" w:eastAsia="Arial" w:hAnsi="Arial"/>
          <w:sz w:val="16"/>
          <w:szCs w:val="16"/>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ectPr>
          <w:pgSz w:w="11900" w:h="16874" w:orient="portrait"/>
          <w:cols w:equalWidth="0" w:num="1">
            <w:col w:w="11360"/>
          </w:cols>
          <w:pgMar w:left="240" w:top="121" w:right="299" w:bottom="0" w:gutter="0" w:footer="0" w:header="0"/>
        </w:sectPr>
      </w:pPr>
    </w:p>
    <w:bookmarkStart w:id="28" w:name="page29"/>
    <w:bookmarkEnd w:id="28"/>
    <w:p>
      <w:pPr>
        <w:spacing w:after="0" w:line="49" w:lineRule="exact"/>
        <w:rPr>
          <w:sz w:val="20"/>
          <w:szCs w:val="20"/>
          <w:color w:val="auto"/>
        </w:rPr>
      </w:pPr>
    </w:p>
    <w:p>
      <w:pPr>
        <w:ind w:left="940" w:hanging="284"/>
        <w:spacing w:after="0"/>
        <w:tabs>
          <w:tab w:leader="none" w:pos="9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225" w:lineRule="exact"/>
        <w:rPr>
          <w:rFonts w:ascii="Arial" w:cs="Arial" w:eastAsia="Arial" w:hAnsi="Arial"/>
          <w:sz w:val="18"/>
          <w:szCs w:val="18"/>
          <w:color w:val="auto"/>
        </w:rPr>
      </w:pPr>
    </w:p>
    <w:p>
      <w:pPr>
        <w:ind w:left="980" w:right="20" w:hanging="324"/>
        <w:spacing w:after="0" w:line="277"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170" w:lineRule="exact"/>
        <w:rPr>
          <w:rFonts w:ascii="Arial" w:cs="Arial" w:eastAsia="Arial" w:hAnsi="Arial"/>
          <w:sz w:val="18"/>
          <w:szCs w:val="18"/>
          <w:color w:val="auto"/>
        </w:rPr>
      </w:pPr>
    </w:p>
    <w:p>
      <w:pPr>
        <w:ind w:left="980" w:right="420" w:hanging="324"/>
        <w:spacing w:after="0" w:line="259" w:lineRule="auto"/>
        <w:tabs>
          <w:tab w:leader="none" w:pos="944"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jc w:val="both"/>
        <w:ind w:right="100" w:firstLine="648"/>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04" w:lineRule="exact"/>
        <w:rPr>
          <w:sz w:val="20"/>
          <w:szCs w:val="20"/>
          <w:color w:val="auto"/>
        </w:rPr>
      </w:pPr>
    </w:p>
    <w:tbl>
      <w:tblPr>
        <w:tblLayout w:type="fixed"/>
        <w:tblInd w:w="66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0" w:type="dxa"/>
            <w:vAlign w:val="bottom"/>
          </w:tcPr>
          <w:p>
            <w:pPr>
              <w:jc w:val="right"/>
              <w:ind w:right="414"/>
              <w:spacing w:after="0"/>
              <w:rPr>
                <w:sz w:val="20"/>
                <w:szCs w:val="20"/>
                <w:color w:val="auto"/>
              </w:rPr>
            </w:pPr>
            <w:r>
              <w:rPr>
                <w:rFonts w:ascii="Arial" w:cs="Arial" w:eastAsia="Arial" w:hAnsi="Arial"/>
                <w:sz w:val="14"/>
                <w:szCs w:val="14"/>
                <w:b w:val="1"/>
                <w:bCs w:val="1"/>
                <w:color w:val="auto"/>
                <w:w w:val="97"/>
              </w:rPr>
              <w:t>At November 30,</w:t>
            </w:r>
          </w:p>
        </w:tc>
        <w:tc>
          <w:tcPr>
            <w:tcW w:w="220" w:type="dxa"/>
            <w:vAlign w:val="bottom"/>
          </w:tcPr>
          <w:p>
            <w:pPr>
              <w:spacing w:after="0"/>
              <w:rPr>
                <w:sz w:val="14"/>
                <w:szCs w:val="14"/>
                <w:color w:val="auto"/>
              </w:rPr>
            </w:pPr>
          </w:p>
        </w:tc>
        <w:tc>
          <w:tcPr>
            <w:tcW w:w="16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At February 28,</w:t>
            </w:r>
          </w:p>
        </w:tc>
      </w:tr>
      <w:tr>
        <w:trPr>
          <w:trHeight w:val="171"/>
        </w:trPr>
        <w:tc>
          <w:tcPr>
            <w:tcW w:w="6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tcPr>
          <w:p>
            <w:pPr>
              <w:jc w:val="right"/>
              <w:ind w:right="794"/>
              <w:spacing w:after="0"/>
              <w:rPr>
                <w:sz w:val="20"/>
                <w:szCs w:val="20"/>
                <w:color w:val="auto"/>
              </w:rPr>
            </w:pPr>
            <w:r>
              <w:rPr>
                <w:rFonts w:ascii="Arial" w:cs="Arial" w:eastAsia="Arial" w:hAnsi="Arial"/>
                <w:sz w:val="14"/>
                <w:szCs w:val="14"/>
                <w:b w:val="1"/>
                <w:bCs w:val="1"/>
                <w:color w:val="auto"/>
              </w:rPr>
              <w:t>2013</w:t>
            </w:r>
          </w:p>
        </w:tc>
        <w:tc>
          <w:tcPr>
            <w:tcW w:w="22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140" w:type="dxa"/>
            <w:vAlign w:val="bottom"/>
            <w:gridSpan w:val="3"/>
          </w:tcPr>
          <w:p>
            <w:pPr>
              <w:jc w:val="right"/>
              <w:ind w:right="1133"/>
              <w:spacing w:after="0" w:line="142" w:lineRule="exact"/>
              <w:rPr>
                <w:sz w:val="20"/>
                <w:szCs w:val="20"/>
                <w:color w:val="auto"/>
              </w:rPr>
            </w:pPr>
            <w:r>
              <w:rPr>
                <w:rFonts w:ascii="Arial" w:cs="Arial" w:eastAsia="Arial" w:hAnsi="Arial"/>
                <w:sz w:val="14"/>
                <w:szCs w:val="14"/>
                <w:b w:val="1"/>
                <w:bCs w:val="1"/>
                <w:color w:val="auto"/>
              </w:rPr>
              <w:t>($ in millions)</w:t>
            </w:r>
          </w:p>
        </w:tc>
        <w:tc>
          <w:tcPr>
            <w:tcW w:w="300" w:type="dxa"/>
            <w:vAlign w:val="bottom"/>
          </w:tcPr>
          <w:p>
            <w:pPr>
              <w:spacing w:after="0"/>
              <w:rPr>
                <w:sz w:val="12"/>
                <w:szCs w:val="12"/>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3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160" w:type="dxa"/>
            <w:vAlign w:val="bottom"/>
          </w:tcPr>
          <w:p>
            <w:pPr>
              <w:spacing w:after="0"/>
              <w:rPr>
                <w:sz w:val="18"/>
                <w:szCs w:val="18"/>
                <w:color w:val="auto"/>
              </w:rPr>
            </w:pPr>
          </w:p>
        </w:tc>
        <w:tc>
          <w:tcPr>
            <w:tcW w:w="1600" w:type="dxa"/>
            <w:vAlign w:val="bottom"/>
          </w:tcPr>
          <w:p>
            <w:pPr>
              <w:jc w:val="right"/>
              <w:ind w:right="194"/>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w:t>
            </w:r>
          </w:p>
        </w:tc>
        <w:tc>
          <w:tcPr>
            <w:tcW w:w="3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3.2</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3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160" w:type="dxa"/>
            <w:vAlign w:val="bottom"/>
          </w:tcPr>
          <w:p>
            <w:pPr>
              <w:spacing w:after="0"/>
              <w:rPr>
                <w:sz w:val="18"/>
                <w:szCs w:val="18"/>
                <w:color w:val="auto"/>
              </w:rPr>
            </w:pPr>
          </w:p>
        </w:tc>
        <w:tc>
          <w:tcPr>
            <w:tcW w:w="1600" w:type="dxa"/>
            <w:vAlign w:val="bottom"/>
          </w:tcPr>
          <w:p>
            <w:pPr>
              <w:jc w:val="right"/>
              <w:ind w:right="194"/>
              <w:spacing w:after="0"/>
              <w:rPr>
                <w:sz w:val="20"/>
                <w:szCs w:val="20"/>
                <w:color w:val="auto"/>
              </w:rPr>
            </w:pPr>
            <w:r>
              <w:rPr>
                <w:rFonts w:ascii="Arial" w:cs="Arial" w:eastAsia="Arial" w:hAnsi="Arial"/>
                <w:sz w:val="18"/>
                <w:szCs w:val="18"/>
                <w:color w:val="auto"/>
              </w:rPr>
              <w:t>4.6yrs</w:t>
            </w:r>
          </w:p>
        </w:tc>
        <w:tc>
          <w:tcPr>
            <w:tcW w:w="220" w:type="dxa"/>
            <w:vAlign w:val="bottom"/>
          </w:tcPr>
          <w:p>
            <w:pPr>
              <w:spacing w:after="0"/>
              <w:rPr>
                <w:sz w:val="18"/>
                <w:szCs w:val="18"/>
                <w:color w:val="auto"/>
              </w:rPr>
            </w:pPr>
          </w:p>
        </w:tc>
        <w:tc>
          <w:tcPr>
            <w:tcW w:w="1620" w:type="dxa"/>
            <w:vAlign w:val="bottom"/>
            <w:gridSpan w:val="2"/>
          </w:tcPr>
          <w:p>
            <w:pPr>
              <w:jc w:val="right"/>
              <w:ind w:right="300"/>
              <w:spacing w:after="0"/>
              <w:rPr>
                <w:sz w:val="20"/>
                <w:szCs w:val="20"/>
                <w:color w:val="auto"/>
              </w:rPr>
            </w:pPr>
            <w:r>
              <w:rPr>
                <w:rFonts w:ascii="Arial" w:cs="Arial" w:eastAsia="Arial" w:hAnsi="Arial"/>
                <w:sz w:val="18"/>
                <w:szCs w:val="18"/>
                <w:color w:val="auto"/>
              </w:rPr>
              <w:t>3.7yrs</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industries(1)</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17</w:t>
            </w:r>
          </w:p>
        </w:tc>
        <w:tc>
          <w:tcPr>
            <w:tcW w:w="22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94"/>
              <w:spacing w:after="0"/>
              <w:rPr>
                <w:sz w:val="20"/>
                <w:szCs w:val="20"/>
                <w:color w:val="auto"/>
              </w:rPr>
            </w:pPr>
            <w:r>
              <w:rPr>
                <w:rFonts w:ascii="Arial" w:cs="Arial" w:eastAsia="Arial" w:hAnsi="Arial"/>
                <w:sz w:val="18"/>
                <w:szCs w:val="18"/>
                <w:color w:val="auto"/>
              </w:rPr>
              <w:t>5.0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4.6</w:t>
            </w:r>
          </w:p>
        </w:tc>
        <w:tc>
          <w:tcPr>
            <w:tcW w:w="300" w:type="dxa"/>
            <w:vAlign w:val="bottom"/>
          </w:tcPr>
          <w:p>
            <w:pPr>
              <w:spacing w:after="0"/>
              <w:rPr>
                <w:sz w:val="18"/>
                <w:szCs w:val="18"/>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CEEFF"/>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64.2(37.5)%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53.4(43.9)%</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13.1%</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12.6%</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spacing w:after="0"/>
              <w:rPr>
                <w:sz w:val="20"/>
                <w:szCs w:val="20"/>
                <w:color w:val="auto"/>
              </w:rPr>
            </w:pPr>
            <w:r>
              <w:rPr>
                <w:rFonts w:ascii="Arial" w:cs="Arial" w:eastAsia="Arial" w:hAnsi="Arial"/>
                <w:sz w:val="18"/>
                <w:szCs w:val="18"/>
                <w:color w:val="auto"/>
              </w:rPr>
              <w:t>106.8(62.5)%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gridSpan w:val="2"/>
          </w:tcPr>
          <w:p>
            <w:pPr>
              <w:jc w:val="right"/>
              <w:ind w:right="80"/>
              <w:spacing w:after="0"/>
              <w:rPr>
                <w:sz w:val="20"/>
                <w:szCs w:val="20"/>
                <w:color w:val="auto"/>
              </w:rPr>
            </w:pPr>
            <w:r>
              <w:rPr>
                <w:rFonts w:ascii="Arial" w:cs="Arial" w:eastAsia="Arial" w:hAnsi="Arial"/>
                <w:sz w:val="18"/>
                <w:szCs w:val="18"/>
                <w:color w:val="auto"/>
              </w:rPr>
              <w:t>68.2(56.1)%</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7.3%</w:t>
            </w:r>
          </w:p>
        </w:tc>
        <w:tc>
          <w:tcPr>
            <w:tcW w:w="2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investments in common stocks.</w:t>
      </w:r>
    </w:p>
    <w:p>
      <w:pPr>
        <w:spacing w:after="0" w:line="22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During the three months ended November 30, 2013, we made $22.3 million investments in new or existing portfolio companies and had $9.9 million in aggregate amount of exits and repayments resulting in net investments of $12.4 million for the period. During the three months ended November 30, 2012, we made $6.4 million investments in new or existing portfolio companies and had $1.5 million in aggregate amount of exits and repayments resulting in net investments of $4.9 million for the period.</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During the nine months ended November 30, 2013, we made $110.1 million investments in new or existing portfolio companies and had $65.0 million in aggregate amount of exits and repayments resulting in net investments of $45.1 million for the period. During the nine months ended November 30, 2012, we made $34.7 million investments in new or existing portfolio companies and had $16.0 million in aggregate amount of exits and repayments resulting in net investments of $18.7 million for the period.</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portfolio composition based on fair value at November 30, 2013 and February 28, 2013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17" w:lineRule="exact"/>
        <w:rPr>
          <w:sz w:val="20"/>
          <w:szCs w:val="20"/>
          <w:color w:val="auto"/>
        </w:rPr>
      </w:pPr>
    </w:p>
    <w:tbl>
      <w:tblPr>
        <w:tblLayout w:type="fixed"/>
        <w:tblInd w:w="340" w:type="dxa"/>
        <w:tblCellMar>
          <w:top w:w="0" w:type="dxa"/>
          <w:left w:w="0" w:type="dxa"/>
          <w:bottom w:w="0" w:type="dxa"/>
          <w:right w:w="0" w:type="dxa"/>
        </w:tblCellMar>
      </w:tblPr>
      <w:tr>
        <w:trPr>
          <w:trHeight w:val="171"/>
        </w:trPr>
        <w:tc>
          <w:tcPr>
            <w:tcW w:w="3040" w:type="dxa"/>
            <w:vAlign w:val="bottom"/>
          </w:tcPr>
          <w:p>
            <w:pPr>
              <w:spacing w:after="0"/>
              <w:rPr>
                <w:sz w:val="14"/>
                <w:szCs w:val="14"/>
                <w:color w:val="auto"/>
              </w:rPr>
            </w:pPr>
          </w:p>
        </w:tc>
        <w:tc>
          <w:tcPr>
            <w:tcW w:w="3280" w:type="dxa"/>
            <w:vAlign w:val="bottom"/>
            <w:gridSpan w:val="4"/>
          </w:tcPr>
          <w:p>
            <w:pPr>
              <w:jc w:val="right"/>
              <w:ind w:right="1010"/>
              <w:spacing w:after="0"/>
              <w:rPr>
                <w:sz w:val="20"/>
                <w:szCs w:val="20"/>
                <w:color w:val="auto"/>
              </w:rPr>
            </w:pPr>
            <w:r>
              <w:rPr>
                <w:rFonts w:ascii="Arial" w:cs="Arial" w:eastAsia="Arial" w:hAnsi="Arial"/>
                <w:sz w:val="14"/>
                <w:szCs w:val="14"/>
                <w:b w:val="1"/>
                <w:bCs w:val="1"/>
                <w:color w:val="auto"/>
              </w:rPr>
              <w:t>At November 30, 2013</w:t>
            </w:r>
          </w:p>
        </w:tc>
        <w:tc>
          <w:tcPr>
            <w:tcW w:w="318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040" w:type="dxa"/>
            <w:vAlign w:val="bottom"/>
          </w:tcPr>
          <w:p>
            <w:pPr>
              <w:spacing w:after="0"/>
              <w:rPr>
                <w:sz w:val="10"/>
                <w:szCs w:val="10"/>
                <w:color w:val="auto"/>
              </w:rPr>
            </w:pPr>
          </w:p>
        </w:tc>
        <w:tc>
          <w:tcPr>
            <w:tcW w:w="1640" w:type="dxa"/>
            <w:vAlign w:val="bottom"/>
            <w:tcBorders>
              <w:top w:val="single" w:sz="8" w:color="auto"/>
            </w:tcBorders>
            <w:gridSpan w:val="2"/>
            <w:vMerge w:val="restart"/>
          </w:tcPr>
          <w:p>
            <w:pPr>
              <w:jc w:val="center"/>
              <w:ind w:right="190"/>
              <w:spacing w:after="0"/>
              <w:rPr>
                <w:sz w:val="20"/>
                <w:szCs w:val="20"/>
                <w:color w:val="auto"/>
              </w:rPr>
            </w:pPr>
            <w:r>
              <w:rPr>
                <w:rFonts w:ascii="Arial" w:cs="Arial" w:eastAsia="Arial" w:hAnsi="Arial"/>
                <w:sz w:val="14"/>
                <w:szCs w:val="14"/>
                <w:b w:val="1"/>
                <w:bCs w:val="1"/>
                <w:color w:val="auto"/>
                <w:w w:val="90"/>
              </w:rPr>
              <w:t>Percentage</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80" w:type="dxa"/>
            <w:vAlign w:val="bottom"/>
          </w:tcPr>
          <w:p>
            <w:pPr>
              <w:spacing w:after="0"/>
              <w:rPr>
                <w:sz w:val="10"/>
                <w:szCs w:val="10"/>
                <w:color w:val="auto"/>
              </w:rPr>
            </w:pPr>
          </w:p>
        </w:tc>
        <w:tc>
          <w:tcPr>
            <w:tcW w:w="1660" w:type="dxa"/>
            <w:vAlign w:val="bottom"/>
            <w:tcBorders>
              <w:top w:val="single" w:sz="8" w:color="auto"/>
            </w:tcBorders>
            <w:gridSpan w:val="2"/>
            <w:vMerge w:val="restart"/>
          </w:tcPr>
          <w:p>
            <w:pPr>
              <w:jc w:val="center"/>
              <w:ind w:right="210"/>
              <w:spacing w:after="0"/>
              <w:rPr>
                <w:sz w:val="20"/>
                <w:szCs w:val="20"/>
                <w:color w:val="auto"/>
              </w:rPr>
            </w:pPr>
            <w:r>
              <w:rPr>
                <w:rFonts w:ascii="Arial" w:cs="Arial" w:eastAsia="Arial" w:hAnsi="Arial"/>
                <w:sz w:val="14"/>
                <w:szCs w:val="14"/>
                <w:b w:val="1"/>
                <w:bCs w:val="1"/>
                <w:color w:val="auto"/>
                <w:w w:val="90"/>
              </w:rPr>
              <w:t>Percentage</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0"/>
              </w:rPr>
              <w:t>Average</w:t>
            </w:r>
          </w:p>
        </w:tc>
        <w:tc>
          <w:tcPr>
            <w:tcW w:w="1660" w:type="dxa"/>
            <w:vAlign w:val="bottom"/>
            <w:gridSpan w:val="2"/>
            <w:vMerge w:val="continue"/>
          </w:tcPr>
          <w:p>
            <w:pPr>
              <w:spacing w:after="0"/>
              <w:rPr>
                <w:sz w:val="12"/>
                <w:szCs w:val="12"/>
                <w:color w:val="auto"/>
              </w:rPr>
            </w:pPr>
          </w:p>
        </w:tc>
        <w:tc>
          <w:tcPr>
            <w:tcW w:w="15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3040" w:type="dxa"/>
            <w:vAlign w:val="bottom"/>
          </w:tcPr>
          <w:p>
            <w:pPr>
              <w:spacing w:after="0"/>
              <w:rPr>
                <w:sz w:val="12"/>
                <w:szCs w:val="12"/>
                <w:color w:val="auto"/>
              </w:rPr>
            </w:pPr>
          </w:p>
        </w:tc>
        <w:tc>
          <w:tcPr>
            <w:tcW w:w="164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0"/>
              </w:rPr>
              <w:t>of Total</w:t>
            </w:r>
          </w:p>
        </w:tc>
        <w:tc>
          <w:tcPr>
            <w:tcW w:w="164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98"/>
              </w:rPr>
              <w:t>Current</w:t>
            </w:r>
          </w:p>
        </w:tc>
        <w:tc>
          <w:tcPr>
            <w:tcW w:w="166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 Total</w:t>
            </w:r>
          </w:p>
        </w:tc>
        <w:tc>
          <w:tcPr>
            <w:tcW w:w="152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304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80" w:type="dxa"/>
            <w:vAlign w:val="bottom"/>
            <w:tcBorders>
              <w:bottom w:val="single" w:sz="8" w:color="CCEEFF"/>
            </w:tcBorders>
          </w:tcPr>
          <w:p>
            <w:pPr>
              <w:spacing w:after="0"/>
              <w:rPr>
                <w:sz w:val="14"/>
                <w:szCs w:val="14"/>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2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160" w:type="dxa"/>
            <w:vAlign w:val="bottom"/>
            <w:tcBorders>
              <w:bottom w:val="single" w:sz="8" w:color="CCEEFF"/>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16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18.8%</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6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First lien term loans</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35.5</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11.1</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54.0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13.9</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11.2</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6.2</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Senior secured notes</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15.1</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14.2</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15.0</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2.7</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15.1</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3.1</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tcPr>
          <w:p>
            <w:pPr>
              <w:spacing w:after="0"/>
              <w:rPr>
                <w:sz w:val="20"/>
                <w:szCs w:val="20"/>
                <w:color w:val="auto"/>
              </w:rPr>
            </w:pPr>
            <w:r>
              <w:rPr>
                <w:rFonts w:ascii="Arial" w:cs="Arial" w:eastAsia="Arial" w:hAnsi="Arial"/>
                <w:sz w:val="18"/>
                <w:szCs w:val="18"/>
                <w:color w:val="auto"/>
              </w:rPr>
              <w:t>Saratoga CLO subordinated notes</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9.6</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11.7</w:t>
            </w:r>
          </w:p>
        </w:tc>
        <w:tc>
          <w:tcPr>
            <w:tcW w:w="1660" w:type="dxa"/>
            <w:vAlign w:val="bottom"/>
            <w:gridSpan w:val="2"/>
          </w:tcPr>
          <w:p>
            <w:pPr>
              <w:jc w:val="right"/>
              <w:ind w:right="190"/>
              <w:spacing w:after="0"/>
              <w:rPr>
                <w:sz w:val="20"/>
                <w:szCs w:val="20"/>
                <w:color w:val="auto"/>
              </w:rPr>
            </w:pPr>
            <w:r>
              <w:rPr>
                <w:rFonts w:ascii="Arial" w:cs="Arial" w:eastAsia="Arial" w:hAnsi="Arial"/>
                <w:sz w:val="18"/>
                <w:szCs w:val="18"/>
                <w:color w:val="auto"/>
              </w:rPr>
              <w:t>16.5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4.4</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5.2</w:t>
            </w:r>
          </w:p>
        </w:tc>
        <w:tc>
          <w:tcPr>
            <w:tcW w:w="15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3040" w:type="dxa"/>
            <w:vAlign w:val="bottom"/>
          </w:tcPr>
          <w:p>
            <w:pPr>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w w:val="74"/>
              </w:rPr>
              <w:t>%</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160" w:type="dxa"/>
            <w:vAlign w:val="bottom"/>
            <w:gridSpan w:val="2"/>
          </w:tcPr>
          <w:p>
            <w:pPr>
              <w:jc w:val="right"/>
              <w:ind w:right="20"/>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80" w:firstLine="648"/>
        <w:spacing w:after="0" w:line="297" w:lineRule="auto"/>
        <w:rPr>
          <w:sz w:val="20"/>
          <w:szCs w:val="20"/>
          <w:color w:val="auto"/>
        </w:rPr>
      </w:pPr>
      <w:r>
        <w:rPr>
          <w:rFonts w:ascii="Arial" w:cs="Arial" w:eastAsia="Arial" w:hAnsi="Arial"/>
          <w:sz w:val="16"/>
          <w:szCs w:val="16"/>
          <w:color w:val="auto"/>
        </w:rPr>
        <w:t>Our investment in the subordinated notes of Saratoga CLO represents a first loss position in a portfolio that, at November 30, 2013 and February 28, 2013, was composed of $300.6 million and $383.3 million, respectively, in aggregate principal amount of predominantly senior secured first lien term loans. This investment is subject to unique risks. (See “Risk Factors—Our investment in GSC Investment Corp. CLO 2013-1, LTD. constitutes a leveraged investment in a portfolio of predominantly senior secured first lien term loans and is subject to additional risks and volatility” in our Annual Report on Form 10-K for the fiscal year ended February 28, 2013). We do not consolidate the Saratoga CLO portfolio in our financial statements. However, at November 30,</w:t>
      </w:r>
    </w:p>
    <w:p>
      <w:pPr>
        <w:sectPr>
          <w:pgSz w:w="11900" w:h="16887" w:orient="portrait"/>
          <w:cols w:equalWidth="0" w:num="1">
            <w:col w:w="11420"/>
          </w:cols>
          <w:pgMar w:left="240" w:top="341" w:right="239" w:bottom="0" w:gutter="0" w:footer="0" w:header="0"/>
        </w:sectPr>
      </w:pPr>
    </w:p>
    <w:bookmarkStart w:id="29" w:name="page30"/>
    <w:bookmarkEnd w:id="29"/>
    <w:p>
      <w:pPr>
        <w:ind w:right="20"/>
        <w:spacing w:after="0" w:line="259" w:lineRule="auto"/>
        <w:rPr>
          <w:sz w:val="20"/>
          <w:szCs w:val="20"/>
          <w:color w:val="auto"/>
        </w:rPr>
      </w:pPr>
      <w:r>
        <w:rPr>
          <w:rFonts w:ascii="Arial" w:cs="Arial" w:eastAsia="Arial" w:hAnsi="Arial"/>
          <w:sz w:val="18"/>
          <w:szCs w:val="18"/>
          <w:color w:val="auto"/>
        </w:rPr>
        <w:t>2013, $298.1 million or 99.5% of the Saratoga CLO portfolio investments in terms of market value had a CMR (as defined below) color rating of green or yellow and three Saratoga CLO portfolio investments were in default with a fair value of $1.6 million. At February 28, 2013, $368.9 million or 98.5% of the Saratoga CLO portfolio investments in terms of market value had a CMR color rating of green or yellow and one Saratoga CLO portfolio investment was in default with a fair value of $1.0 million.</w:t>
      </w:r>
    </w:p>
    <w:p>
      <w:pPr>
        <w:spacing w:after="0" w:line="187"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CMR distribution of our investments at November 30, 2013 and February 28, 2013 was as follows: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080" w:type="dxa"/>
            <w:vAlign w:val="bottom"/>
            <w:gridSpan w:val="4"/>
          </w:tcPr>
          <w:p>
            <w:pPr>
              <w:jc w:val="right"/>
              <w:ind w:right="1010"/>
              <w:spacing w:after="0"/>
              <w:rPr>
                <w:sz w:val="20"/>
                <w:szCs w:val="20"/>
                <w:color w:val="auto"/>
              </w:rPr>
            </w:pPr>
            <w:r>
              <w:rPr>
                <w:rFonts w:ascii="Arial" w:cs="Arial" w:eastAsia="Arial" w:hAnsi="Arial"/>
                <w:sz w:val="14"/>
                <w:szCs w:val="14"/>
                <w:b w:val="1"/>
                <w:bCs w:val="1"/>
                <w:color w:val="auto"/>
              </w:rPr>
              <w:t>At November 30, 2013</w:t>
            </w:r>
          </w:p>
        </w:tc>
        <w:tc>
          <w:tcPr>
            <w:tcW w:w="200" w:type="dxa"/>
            <w:vAlign w:val="bottom"/>
          </w:tcPr>
          <w:p>
            <w:pPr>
              <w:spacing w:after="0"/>
              <w:rPr>
                <w:sz w:val="14"/>
                <w:szCs w:val="14"/>
                <w:color w:val="auto"/>
              </w:rPr>
            </w:pPr>
          </w:p>
        </w:tc>
        <w:tc>
          <w:tcPr>
            <w:tcW w:w="2980" w:type="dxa"/>
            <w:vAlign w:val="bottom"/>
            <w:gridSpan w:val="4"/>
          </w:tcPr>
          <w:p>
            <w:pPr>
              <w:jc w:val="right"/>
              <w:ind w:right="93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Color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0"/>
              </w:rPr>
              <w:t>of</w:t>
            </w: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640" w:type="dxa"/>
            <w:vAlign w:val="bottom"/>
            <w:gridSpan w:val="2"/>
          </w:tcPr>
          <w:p>
            <w:pPr>
              <w:jc w:val="center"/>
              <w:ind w:right="190"/>
              <w:spacing w:after="0" w:line="149" w:lineRule="exact"/>
              <w:rPr>
                <w:sz w:val="20"/>
                <w:szCs w:val="20"/>
                <w:color w:val="auto"/>
              </w:rPr>
            </w:pPr>
            <w:r>
              <w:rPr>
                <w:rFonts w:ascii="Arial" w:cs="Arial" w:eastAsia="Arial" w:hAnsi="Arial"/>
                <w:sz w:val="14"/>
                <w:szCs w:val="14"/>
                <w:b w:val="1"/>
                <w:bCs w:val="1"/>
                <w:color w:val="auto"/>
                <w:w w:val="95"/>
              </w:rPr>
              <w:t>Total</w:t>
            </w: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Arial" w:cs="Arial" w:eastAsia="Arial" w:hAnsi="Arial"/>
                <w:sz w:val="14"/>
                <w:szCs w:val="14"/>
                <w:b w:val="1"/>
                <w:bCs w:val="1"/>
                <w:color w:val="auto"/>
              </w:rPr>
              <w:t>Score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4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3"/>
              </w:rPr>
              <w:t>Portfolio</w:t>
            </w: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3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280" w:type="dxa"/>
            <w:vAlign w:val="bottom"/>
            <w:tcBorders>
              <w:top w:val="single" w:sz="8" w:color="auto"/>
            </w:tcBorders>
            <w:gridSpan w:val="5"/>
          </w:tcPr>
          <w:p>
            <w:pPr>
              <w:ind w:left="1020"/>
              <w:spacing w:after="0" w:line="142" w:lineRule="exact"/>
              <w:rPr>
                <w:sz w:val="20"/>
                <w:szCs w:val="20"/>
                <w:color w:val="auto"/>
              </w:rPr>
            </w:pPr>
            <w:r>
              <w:rPr>
                <w:rFonts w:ascii="Arial" w:cs="Arial" w:eastAsia="Arial" w:hAnsi="Arial"/>
                <w:sz w:val="14"/>
                <w:szCs w:val="14"/>
                <w:b w:val="1"/>
                <w:bCs w:val="1"/>
                <w:color w:val="auto"/>
              </w:rPr>
              <w:t>($ in thousands)</w:t>
            </w:r>
          </w:p>
        </w:tc>
        <w:tc>
          <w:tcPr>
            <w:tcW w:w="1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Green</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154,291</w:t>
            </w:r>
          </w:p>
        </w:tc>
        <w:tc>
          <w:tcPr>
            <w:tcW w:w="16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77.6%</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100,170</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64.6%</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Yellow</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15,479</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7.8</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8,143</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1,271</w:t>
            </w:r>
          </w:p>
        </w:tc>
        <w:tc>
          <w:tcPr>
            <w:tcW w:w="16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13,229</w:t>
            </w:r>
          </w:p>
        </w:tc>
        <w:tc>
          <w:tcPr>
            <w:tcW w:w="15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N/A(1)</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27,738</w:t>
            </w:r>
          </w:p>
        </w:tc>
        <w:tc>
          <w:tcPr>
            <w:tcW w:w="1640" w:type="dxa"/>
            <w:vAlign w:val="bottom"/>
            <w:gridSpan w:val="2"/>
          </w:tcPr>
          <w:p>
            <w:pPr>
              <w:jc w:val="right"/>
              <w:ind w:right="190"/>
              <w:spacing w:after="0"/>
              <w:rPr>
                <w:sz w:val="20"/>
                <w:szCs w:val="20"/>
                <w:color w:val="auto"/>
              </w:rPr>
            </w:pPr>
            <w:r>
              <w:rPr>
                <w:rFonts w:ascii="Arial" w:cs="Arial" w:eastAsia="Arial" w:hAnsi="Arial"/>
                <w:sz w:val="18"/>
                <w:szCs w:val="18"/>
                <w:color w:val="auto"/>
              </w:rPr>
              <w:t>14.0</w:t>
            </w: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33,538</w:t>
            </w:r>
          </w:p>
        </w:tc>
        <w:tc>
          <w:tcPr>
            <w:tcW w:w="1540" w:type="dxa"/>
            <w:vAlign w:val="bottom"/>
            <w:gridSpan w:val="2"/>
          </w:tcPr>
          <w:p>
            <w:pPr>
              <w:jc w:val="right"/>
              <w:ind w:right="9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23"/>
        </w:trPr>
        <w:tc>
          <w:tcPr>
            <w:tcW w:w="3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tcBorders>
              <w:top w:val="single" w:sz="8" w:color="CCEEFF"/>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3920" w:hanging="5612"/>
        <w:spacing w:after="0" w:line="528"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-90170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17"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CMR distribution of Saratoga CLO investments at November 30, 2013 and February 28, 2013 was as follows: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At November 30, 2013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Investments</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140" w:type="dxa"/>
            <w:vAlign w:val="bottom"/>
            <w:vMerge w:val="restart"/>
          </w:tcPr>
          <w:p>
            <w:pPr>
              <w:spacing w:after="0"/>
              <w:rPr>
                <w:sz w:val="20"/>
                <w:szCs w:val="20"/>
                <w:color w:val="auto"/>
              </w:rPr>
            </w:pPr>
            <w:r>
              <w:rPr>
                <w:rFonts w:ascii="Arial" w:cs="Arial" w:eastAsia="Arial" w:hAnsi="Arial"/>
                <w:sz w:val="14"/>
                <w:szCs w:val="14"/>
                <w:b w:val="1"/>
                <w:bCs w:val="1"/>
                <w:color w:val="auto"/>
              </w:rPr>
              <w:t>Color</w:t>
            </w: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8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1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68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140" w:type="dxa"/>
            <w:vAlign w:val="bottom"/>
          </w:tcPr>
          <w:p>
            <w:pPr>
              <w:spacing w:after="0"/>
              <w:rPr>
                <w:sz w:val="20"/>
                <w:szCs w:val="20"/>
                <w:color w:val="auto"/>
              </w:rPr>
            </w:pPr>
            <w:r>
              <w:rPr>
                <w:rFonts w:ascii="Arial" w:cs="Arial" w:eastAsia="Arial" w:hAnsi="Arial"/>
                <w:sz w:val="14"/>
                <w:szCs w:val="14"/>
                <w:b w:val="1"/>
                <w:bCs w:val="1"/>
                <w:color w:val="auto"/>
              </w:rPr>
              <w:t>Score</w:t>
            </w: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Portfolio</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314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Green</w:t>
            </w:r>
          </w:p>
        </w:tc>
        <w:tc>
          <w:tcPr>
            <w:tcW w:w="4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271,830</w:t>
            </w: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90.7%</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318,181</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3140" w:type="dxa"/>
            <w:vAlign w:val="bottom"/>
          </w:tcPr>
          <w:p>
            <w:pPr>
              <w:spacing w:after="0"/>
              <w:rPr>
                <w:sz w:val="20"/>
                <w:szCs w:val="20"/>
                <w:color w:val="auto"/>
              </w:rPr>
            </w:pPr>
            <w:r>
              <w:rPr>
                <w:rFonts w:ascii="Arial" w:cs="Arial" w:eastAsia="Arial" w:hAnsi="Arial"/>
                <w:sz w:val="18"/>
                <w:szCs w:val="18"/>
                <w:color w:val="auto"/>
              </w:rPr>
              <w:t>Yellow</w:t>
            </w: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26,320</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8.8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50,677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spacing w:after="0"/>
              <w:rPr>
                <w:sz w:val="20"/>
                <w:szCs w:val="20"/>
                <w:color w:val="auto"/>
              </w:rPr>
            </w:pPr>
            <w:r>
              <w:rPr>
                <w:rFonts w:ascii="Arial" w:cs="Arial" w:eastAsia="Arial" w:hAnsi="Arial"/>
                <w:sz w:val="18"/>
                <w:szCs w:val="18"/>
                <w:color w:val="auto"/>
              </w:rPr>
              <w:t>Red</w:t>
            </w: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1,614</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5,562</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14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299,764</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374,420</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the portfolio composition by industry grouping at fair value at November 30, 2013 and February 28,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40" w:type="dxa"/>
            <w:vAlign w:val="bottom"/>
            <w:gridSpan w:val="4"/>
          </w:tcPr>
          <w:p>
            <w:pPr>
              <w:jc w:val="right"/>
              <w:ind w:right="1170"/>
              <w:spacing w:after="0"/>
              <w:rPr>
                <w:sz w:val="20"/>
                <w:szCs w:val="20"/>
                <w:color w:val="auto"/>
              </w:rPr>
            </w:pPr>
            <w:r>
              <w:rPr>
                <w:rFonts w:ascii="Arial" w:cs="Arial" w:eastAsia="Arial" w:hAnsi="Arial"/>
                <w:sz w:val="14"/>
                <w:szCs w:val="14"/>
                <w:b w:val="1"/>
                <w:bCs w:val="1"/>
                <w:color w:val="auto"/>
              </w:rPr>
              <w:t>At November 30, 2013</w:t>
            </w:r>
          </w:p>
        </w:tc>
        <w:tc>
          <w:tcPr>
            <w:tcW w:w="220" w:type="dxa"/>
            <w:vAlign w:val="bottom"/>
          </w:tcPr>
          <w:p>
            <w:pPr>
              <w:spacing w:after="0"/>
              <w:rPr>
                <w:sz w:val="14"/>
                <w:szCs w:val="14"/>
                <w:color w:val="auto"/>
              </w:rPr>
            </w:pPr>
          </w:p>
        </w:tc>
        <w:tc>
          <w:tcPr>
            <w:tcW w:w="2800" w:type="dxa"/>
            <w:vAlign w:val="bottom"/>
            <w:gridSpan w:val="4"/>
          </w:tcPr>
          <w:p>
            <w:pPr>
              <w:jc w:val="right"/>
              <w:ind w:right="85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660" w:type="dxa"/>
            <w:vAlign w:val="bottom"/>
          </w:tcPr>
          <w:p>
            <w:pPr>
              <w:spacing w:after="0"/>
              <w:rPr>
                <w:sz w:val="10"/>
                <w:szCs w:val="10"/>
                <w:color w:val="auto"/>
              </w:rPr>
            </w:pPr>
          </w:p>
        </w:tc>
        <w:tc>
          <w:tcPr>
            <w:tcW w:w="2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4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center"/>
              <w:ind w:right="520"/>
              <w:spacing w:after="0"/>
              <w:rPr>
                <w:sz w:val="20"/>
                <w:szCs w:val="20"/>
                <w:color w:val="auto"/>
              </w:rPr>
            </w:pPr>
            <w:r>
              <w:rPr>
                <w:rFonts w:ascii="Arial" w:cs="Arial" w:eastAsia="Arial" w:hAnsi="Arial"/>
                <w:sz w:val="14"/>
                <w:szCs w:val="14"/>
                <w:b w:val="1"/>
                <w:bCs w:val="1"/>
                <w:color w:val="auto"/>
                <w:w w:val="90"/>
              </w:rPr>
              <w:t>Investments</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00" w:type="dxa"/>
            <w:vAlign w:val="bottom"/>
            <w:gridSpan w:val="2"/>
          </w:tcPr>
          <w:p>
            <w:pPr>
              <w:jc w:val="center"/>
              <w:ind w:right="35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40" w:type="dxa"/>
            <w:vAlign w:val="bottom"/>
            <w:gridSpan w:val="2"/>
          </w:tcPr>
          <w:p>
            <w:pPr>
              <w:jc w:val="center"/>
              <w:ind w:right="5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6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800" w:type="dxa"/>
            <w:vAlign w:val="bottom"/>
            <w:gridSpan w:val="2"/>
          </w:tcPr>
          <w:p>
            <w:pPr>
              <w:jc w:val="center"/>
              <w:ind w:right="35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26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2"/>
          </w:tcPr>
          <w:p>
            <w:pPr>
              <w:jc w:val="center"/>
              <w:ind w:right="7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66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800" w:type="dxa"/>
            <w:vAlign w:val="bottom"/>
            <w:gridSpan w:val="2"/>
          </w:tcPr>
          <w:p>
            <w:pPr>
              <w:jc w:val="center"/>
              <w:ind w:right="330"/>
              <w:spacing w:after="0"/>
              <w:rPr>
                <w:sz w:val="20"/>
                <w:szCs w:val="20"/>
                <w:color w:val="auto"/>
              </w:rPr>
            </w:pPr>
            <w:r>
              <w:rPr>
                <w:rFonts w:ascii="Arial" w:cs="Arial" w:eastAsia="Arial" w:hAnsi="Arial"/>
                <w:sz w:val="14"/>
                <w:szCs w:val="14"/>
                <w:b w:val="1"/>
                <w:bCs w:val="1"/>
                <w:color w:val="auto"/>
                <w:w w:val="93"/>
              </w:rPr>
              <w:t>Portfolio</w:t>
            </w:r>
          </w:p>
        </w:tc>
        <w:tc>
          <w:tcPr>
            <w:tcW w:w="220" w:type="dxa"/>
            <w:vAlign w:val="bottom"/>
          </w:tcPr>
          <w:p>
            <w:pPr>
              <w:spacing w:after="0"/>
              <w:rPr>
                <w:sz w:val="14"/>
                <w:szCs w:val="14"/>
                <w:color w:val="auto"/>
              </w:rPr>
            </w:pPr>
          </w:p>
        </w:tc>
        <w:tc>
          <w:tcPr>
            <w:tcW w:w="126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2"/>
          </w:tcPr>
          <w:p>
            <w:pPr>
              <w:jc w:val="center"/>
              <w:ind w:right="7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66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7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57,347</w:t>
            </w:r>
          </w:p>
        </w:tc>
        <w:tc>
          <w:tcPr>
            <w:tcW w:w="18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28.8%</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22,155</w:t>
            </w:r>
          </w:p>
        </w:tc>
        <w:tc>
          <w:tcPr>
            <w:tcW w:w="1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Healthcare Services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23,329</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12,400</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Structured Finance Securities(1)</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19,019</w:t>
            </w:r>
          </w:p>
        </w:tc>
        <w:tc>
          <w:tcPr>
            <w:tcW w:w="18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25,517</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Software</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17,833</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9.0</w:t>
            </w: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Food and Beverage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17,196</w:t>
            </w:r>
          </w:p>
        </w:tc>
        <w:tc>
          <w:tcPr>
            <w:tcW w:w="18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18,199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Consumer Services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15,846</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8.0</w:t>
            </w: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10,654</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10,462</w:t>
            </w:r>
          </w:p>
        </w:tc>
        <w:tc>
          <w:tcPr>
            <w:tcW w:w="18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14,805</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6,752</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6,721</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6,685</w:t>
            </w:r>
          </w:p>
        </w:tc>
        <w:tc>
          <w:tcPr>
            <w:tcW w:w="18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3.4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6,724</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5,981</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3.0</w:t>
            </w: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13,727</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Manufacturing</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5,955</w:t>
            </w:r>
          </w:p>
        </w:tc>
        <w:tc>
          <w:tcPr>
            <w:tcW w:w="18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3.0</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Logistics</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5,056</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11,181</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4,574</w:t>
            </w:r>
          </w:p>
        </w:tc>
        <w:tc>
          <w:tcPr>
            <w:tcW w:w="18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2,992</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Publishing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1,180</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0.6</w:t>
            </w: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5,631</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Building Products</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w:t>
            </w:r>
          </w:p>
        </w:tc>
        <w:tc>
          <w:tcPr>
            <w:tcW w:w="18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Homebuilding</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376</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315</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w:t>
            </w: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344</w:t>
            </w:r>
          </w:p>
        </w:tc>
        <w:tc>
          <w:tcPr>
            <w:tcW w:w="1800" w:type="dxa"/>
            <w:vAlign w:val="bottom"/>
            <w:gridSpan w:val="2"/>
            <w:shd w:val="clear" w:color="auto" w:fill="CCEEFF"/>
          </w:tcPr>
          <w:p>
            <w:pPr>
              <w:jc w:val="right"/>
              <w:ind w:right="350"/>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3,500</w:t>
            </w:r>
          </w:p>
        </w:tc>
        <w:tc>
          <w:tcPr>
            <w:tcW w:w="154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660" w:type="dxa"/>
            <w:vAlign w:val="bottom"/>
          </w:tcPr>
          <w:p>
            <w:pPr>
              <w:spacing w:after="0"/>
              <w:rPr>
                <w:sz w:val="18"/>
                <w:szCs w:val="18"/>
                <w:color w:val="auto"/>
              </w:rPr>
            </w:pPr>
          </w:p>
        </w:tc>
        <w:tc>
          <w:tcPr>
            <w:tcW w:w="2880" w:type="dxa"/>
            <w:vAlign w:val="bottom"/>
            <w:gridSpan w:val="2"/>
          </w:tcPr>
          <w:p>
            <w:pPr>
              <w:spacing w:after="0"/>
              <w:rPr>
                <w:sz w:val="20"/>
                <w:szCs w:val="20"/>
                <w:color w:val="auto"/>
              </w:rPr>
            </w:pPr>
            <w:r>
              <w:rPr>
                <w:rFonts w:ascii="Arial" w:cs="Arial" w:eastAsia="Arial" w:hAnsi="Arial"/>
                <w:sz w:val="18"/>
                <w:szCs w:val="18"/>
                <w:color w:val="auto"/>
              </w:rPr>
              <w:t>Education</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91</w:t>
            </w:r>
          </w:p>
        </w:tc>
        <w:tc>
          <w:tcPr>
            <w:tcW w:w="1800" w:type="dxa"/>
            <w:vAlign w:val="bottom"/>
            <w:gridSpan w:val="2"/>
          </w:tcPr>
          <w:p>
            <w:pPr>
              <w:jc w:val="right"/>
              <w:ind w:right="350"/>
              <w:spacing w:after="0"/>
              <w:rPr>
                <w:sz w:val="20"/>
                <w:szCs w:val="20"/>
                <w:color w:val="auto"/>
              </w:rPr>
            </w:pPr>
            <w:r>
              <w:rPr>
                <w:rFonts w:ascii="Arial" w:cs="Arial" w:eastAsia="Arial" w:hAnsi="Arial"/>
                <w:sz w:val="18"/>
                <w:szCs w:val="18"/>
                <w:color w:val="auto"/>
              </w:rPr>
              <w:t>0.0</w:t>
            </w:r>
          </w:p>
        </w:tc>
        <w:tc>
          <w:tcPr>
            <w:tcW w:w="22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292</w:t>
            </w:r>
          </w:p>
        </w:tc>
        <w:tc>
          <w:tcPr>
            <w:tcW w:w="1540" w:type="dxa"/>
            <w:vAlign w:val="bottom"/>
            <w:gridSpan w:val="2"/>
          </w:tcPr>
          <w:p>
            <w:pPr>
              <w:jc w:val="right"/>
              <w:ind w:right="7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28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198,779</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40" w:type="dxa"/>
            <w:vAlign w:val="bottom"/>
            <w:tcBorders>
              <w:top w:val="single" w:sz="8" w:color="CCEEFF"/>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87"/>
              </w:rPr>
              <w:t>%</w:t>
            </w: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00"/>
          </w:cols>
          <w:pgMar w:left="240" w:top="125" w:right="359" w:bottom="0" w:gutter="0" w:footer="0" w:header="0"/>
        </w:sectPr>
      </w:pPr>
    </w:p>
    <w:bookmarkStart w:id="30" w:name="page31"/>
    <w:bookmarkEnd w:id="30"/>
    <w:p>
      <w:pPr>
        <w:ind w:left="660" w:hanging="652"/>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shows the portfolio composition by industry grouping of Saratoga CLO at fair value at November 30, 2013 and February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2013.</w:t>
      </w:r>
    </w:p>
    <w:p>
      <w:pPr>
        <w:spacing w:after="0" w:line="211"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17"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12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At November 30, 2013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6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Investments</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68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680" w:type="dxa"/>
            <w:vAlign w:val="bottom"/>
            <w:gridSpan w:val="2"/>
          </w:tcPr>
          <w:p>
            <w:pPr>
              <w:jc w:val="center"/>
              <w:ind w:right="230"/>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680" w:type="dxa"/>
            <w:vAlign w:val="bottom"/>
            <w:gridSpan w:val="2"/>
          </w:tcPr>
          <w:p>
            <w:pPr>
              <w:jc w:val="center"/>
              <w:ind w:right="210"/>
              <w:spacing w:after="0"/>
              <w:rPr>
                <w:sz w:val="20"/>
                <w:szCs w:val="20"/>
                <w:color w:val="auto"/>
              </w:rPr>
            </w:pPr>
            <w:r>
              <w:rPr>
                <w:rFonts w:ascii="Arial" w:cs="Arial" w:eastAsia="Arial" w:hAnsi="Arial"/>
                <w:sz w:val="14"/>
                <w:szCs w:val="14"/>
                <w:b w:val="1"/>
                <w:bCs w:val="1"/>
                <w:color w:val="auto"/>
                <w:w w:val="93"/>
              </w:rPr>
              <w:t>Portfolio</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30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2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6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35,971</w:t>
            </w:r>
          </w:p>
        </w:tc>
        <w:tc>
          <w:tcPr>
            <w:tcW w:w="16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12.0%</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40,502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Business Equipment and Services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28,492</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9.5</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28,300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Conglomerate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25,360</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29,888</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Chemicals/Plastics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24,037</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8.0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28,817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21,776</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7.3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21,864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Aerospace and Defense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20,142</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6.7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20,914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Drugs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17,688</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5.9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18,226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Food Products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17,110</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21,016</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Electronics/Electric</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13,193</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4.4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26,321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Retailers (Except Food and Drugs)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10,699</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3.6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19,050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10,298</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10,625</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Leisure Goods/Activities/Movies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9,154</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8,879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Financial Intermediaries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9,151</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20,199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Brokers/Dealers/Investment Houses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6,752</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3,311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6,414</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2.1</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10,951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Utilities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5,859</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9,932</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Food Services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5,650</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5,491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Insurance</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5,613</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6,648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Nonferrous Metals/Minerals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5,334</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Publishing</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3,156</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1.1</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5,657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Telecommunications/Cellular</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3,037</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3,076</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Home Furnishings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2,874</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2,984</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2,741</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0.9</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Cable and Satellite Television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2,650</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0.9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4,058</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Food/Drug Retailers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2,461</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0.8</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4,329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Containers/Glass Products</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1,903</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2,009</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Ecological Services and Equipment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1,245</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753</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Broadcast Radio and Television</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1,004</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0.3</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1,010</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Lodging and Casinos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7,400</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Beverage and Tobacco</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3,037</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Building and Development</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2,124</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Steel</w:t>
            </w: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1,001</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Clothing/Textiles</w:t>
            </w:r>
          </w:p>
        </w:tc>
        <w:tc>
          <w:tcPr>
            <w:tcW w:w="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861</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00" w:type="dxa"/>
            <w:vAlign w:val="bottom"/>
          </w:tcPr>
          <w:p>
            <w:pPr>
              <w:spacing w:after="0"/>
              <w:rPr>
                <w:sz w:val="20"/>
                <w:szCs w:val="20"/>
                <w:color w:val="auto"/>
              </w:rPr>
            </w:pPr>
            <w:r>
              <w:rPr>
                <w:rFonts w:ascii="Arial" w:cs="Arial" w:eastAsia="Arial" w:hAnsi="Arial"/>
                <w:sz w:val="18"/>
                <w:szCs w:val="18"/>
                <w:color w:val="auto"/>
              </w:rPr>
              <w:t>Total</w:t>
            </w:r>
          </w:p>
        </w:tc>
        <w:tc>
          <w:tcPr>
            <w:tcW w:w="4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299,764</w:t>
            </w:r>
          </w:p>
        </w:tc>
        <w:tc>
          <w:tcPr>
            <w:tcW w:w="280" w:type="dxa"/>
            <w:vAlign w:val="bottom"/>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374,420</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The following table shows the portfolio composition by geographic location at fair value at November 30, 2013 and February 28, 2013. The geographic composition is determined by the location of the corporate headquarters of the portfolio company.</w:t>
      </w:r>
    </w:p>
    <w:p>
      <w:pPr>
        <w:spacing w:after="0" w:line="162" w:lineRule="exact"/>
        <w:rPr>
          <w:sz w:val="20"/>
          <w:szCs w:val="20"/>
          <w:color w:val="auto"/>
        </w:rPr>
      </w:pPr>
    </w:p>
    <w:tbl>
      <w:tblPr>
        <w:tblLayout w:type="fixed"/>
        <w:tblInd w:w="66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4"/>
          </w:tcPr>
          <w:p>
            <w:pPr>
              <w:jc w:val="right"/>
              <w:ind w:right="1050"/>
              <w:spacing w:after="0"/>
              <w:rPr>
                <w:sz w:val="20"/>
                <w:szCs w:val="20"/>
                <w:color w:val="auto"/>
              </w:rPr>
            </w:pPr>
            <w:r>
              <w:rPr>
                <w:rFonts w:ascii="Arial" w:cs="Arial" w:eastAsia="Arial" w:hAnsi="Arial"/>
                <w:sz w:val="14"/>
                <w:szCs w:val="14"/>
                <w:b w:val="1"/>
                <w:bCs w:val="1"/>
                <w:color w:val="auto"/>
              </w:rPr>
              <w:t>At November 30, 2013</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At February 28, 2013</w:t>
            </w: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4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0"/>
              </w:rPr>
              <w:t>Investments</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vMerge w:val="restart"/>
          </w:tcPr>
          <w:p>
            <w:pPr>
              <w:jc w:val="center"/>
              <w:ind w:right="460"/>
              <w:spacing w:after="0"/>
              <w:rPr>
                <w:sz w:val="20"/>
                <w:szCs w:val="20"/>
                <w:color w:val="auto"/>
              </w:rPr>
            </w:pPr>
            <w:r>
              <w:rPr>
                <w:rFonts w:ascii="Arial" w:cs="Arial" w:eastAsia="Arial" w:hAnsi="Arial"/>
                <w:sz w:val="14"/>
                <w:szCs w:val="14"/>
                <w:b w:val="1"/>
                <w:bCs w:val="1"/>
                <w:color w:val="auto"/>
                <w:w w:val="92"/>
              </w:rPr>
              <w:t>Investments</w:t>
            </w:r>
          </w:p>
        </w:tc>
        <w:tc>
          <w:tcPr>
            <w:tcW w:w="13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4"/>
              </w:rPr>
              <w:t>Percentage</w:t>
            </w:r>
          </w:p>
        </w:tc>
        <w:tc>
          <w:tcPr>
            <w:tcW w:w="16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70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54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3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6"/>
              </w:rPr>
              <w:t>at</w:t>
            </w:r>
          </w:p>
        </w:tc>
        <w:tc>
          <w:tcPr>
            <w:tcW w:w="1700" w:type="dxa"/>
            <w:vAlign w:val="bottom"/>
            <w:gridSpan w:val="2"/>
          </w:tcPr>
          <w:p>
            <w:pPr>
              <w:jc w:val="center"/>
              <w:ind w:right="210"/>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6"/>
              </w:rPr>
              <w:t>at</w:t>
            </w:r>
          </w:p>
        </w:tc>
        <w:tc>
          <w:tcPr>
            <w:tcW w:w="15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Fair Value</w:t>
            </w:r>
          </w:p>
        </w:tc>
        <w:tc>
          <w:tcPr>
            <w:tcW w:w="1700" w:type="dxa"/>
            <w:vAlign w:val="bottom"/>
            <w:gridSpan w:val="2"/>
          </w:tcPr>
          <w:p>
            <w:pPr>
              <w:jc w:val="center"/>
              <w:ind w:right="230"/>
              <w:spacing w:after="0"/>
              <w:rPr>
                <w:sz w:val="20"/>
                <w:szCs w:val="20"/>
                <w:color w:val="auto"/>
              </w:rPr>
            </w:pPr>
            <w:r>
              <w:rPr>
                <w:rFonts w:ascii="Arial" w:cs="Arial" w:eastAsia="Arial" w:hAnsi="Arial"/>
                <w:sz w:val="14"/>
                <w:szCs w:val="14"/>
                <w:b w:val="1"/>
                <w:bCs w:val="1"/>
                <w:color w:val="auto"/>
                <w:w w:val="93"/>
              </w:rPr>
              <w:t>Portfolio</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Fair Value</w:t>
            </w:r>
          </w:p>
        </w:tc>
        <w:tc>
          <w:tcPr>
            <w:tcW w:w="15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34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0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9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Southeast</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76,308</w:t>
            </w:r>
          </w:p>
        </w:tc>
        <w:tc>
          <w:tcPr>
            <w:tcW w:w="170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38.4%</w:t>
            </w:r>
          </w:p>
        </w:tc>
        <w:tc>
          <w:tcPr>
            <w:tcW w:w="34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70,476</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West</w:t>
            </w: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43,507</w:t>
            </w:r>
          </w:p>
        </w:tc>
        <w:tc>
          <w:tcPr>
            <w:tcW w:w="1700" w:type="dxa"/>
            <w:vAlign w:val="bottom"/>
            <w:gridSpan w:val="2"/>
          </w:tcPr>
          <w:p>
            <w:pPr>
              <w:jc w:val="right"/>
              <w:ind w:right="230"/>
              <w:spacing w:after="0"/>
              <w:rPr>
                <w:sz w:val="20"/>
                <w:szCs w:val="20"/>
                <w:color w:val="auto"/>
              </w:rPr>
            </w:pPr>
            <w:r>
              <w:rPr>
                <w:rFonts w:ascii="Arial" w:cs="Arial" w:eastAsia="Arial" w:hAnsi="Arial"/>
                <w:sz w:val="18"/>
                <w:szCs w:val="18"/>
                <w:color w:val="auto"/>
              </w:rPr>
              <w:t>21.9</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26,573</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Midwest</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38,379</w:t>
            </w:r>
          </w:p>
        </w:tc>
        <w:tc>
          <w:tcPr>
            <w:tcW w:w="17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19.3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18,469</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Northeast</w:t>
            </w:r>
          </w:p>
        </w:tc>
        <w:tc>
          <w:tcPr>
            <w:tcW w:w="180" w:type="dxa"/>
            <w:vAlign w:val="bottom"/>
          </w:tcPr>
          <w:p>
            <w:pPr>
              <w:spacing w:after="0"/>
              <w:rPr>
                <w:sz w:val="18"/>
                <w:szCs w:val="18"/>
                <w:color w:val="auto"/>
              </w:rPr>
            </w:pP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21,566</w:t>
            </w:r>
          </w:p>
        </w:tc>
        <w:tc>
          <w:tcPr>
            <w:tcW w:w="1700" w:type="dxa"/>
            <w:vAlign w:val="bottom"/>
            <w:gridSpan w:val="2"/>
          </w:tcPr>
          <w:p>
            <w:pPr>
              <w:jc w:val="right"/>
              <w:ind w:right="230"/>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14,045</w:t>
            </w:r>
          </w:p>
        </w:tc>
        <w:tc>
          <w:tcPr>
            <w:tcW w:w="14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Other(1)</w:t>
            </w:r>
          </w:p>
        </w:tc>
        <w:tc>
          <w:tcPr>
            <w:tcW w:w="1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19,019</w:t>
            </w:r>
          </w:p>
        </w:tc>
        <w:tc>
          <w:tcPr>
            <w:tcW w:w="1700" w:type="dxa"/>
            <w:vAlign w:val="bottom"/>
            <w:gridSpan w:val="2"/>
            <w:shd w:val="clear" w:color="auto" w:fill="CCEEFF"/>
          </w:tcPr>
          <w:p>
            <w:pPr>
              <w:jc w:val="right"/>
              <w:ind w:right="230"/>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25,517</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42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198,779</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w w:val="87"/>
              </w:rPr>
              <w:t>%</w:t>
            </w:r>
          </w:p>
        </w:tc>
        <w:tc>
          <w:tcPr>
            <w:tcW w:w="160" w:type="dxa"/>
            <w:vAlign w:val="bottom"/>
          </w:tcPr>
          <w:p>
            <w:pPr>
              <w:spacing w:after="0"/>
              <w:rPr>
                <w:sz w:val="19"/>
                <w:szCs w:val="19"/>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155,080</w:t>
            </w:r>
          </w:p>
        </w:tc>
        <w:tc>
          <w:tcPr>
            <w:tcW w:w="280" w:type="dxa"/>
            <w:vAlign w:val="bottom"/>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87"/>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5620" w:right="5160" w:hanging="5612"/>
        <w:spacing w:after="0" w:line="624" w:lineRule="auto"/>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-119380</wp:posOffset>
            </wp:positionV>
            <wp:extent cx="726757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7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ectPr>
          <w:pgSz w:w="11900" w:h="16838" w:orient="portrait"/>
          <w:cols w:equalWidth="0" w:num="1">
            <w:col w:w="11100"/>
          </w:cols>
          <w:pgMar w:left="240" w:top="125" w:right="559" w:bottom="0" w:gutter="0" w:footer="0" w:header="0"/>
        </w:sectPr>
      </w:pPr>
    </w:p>
    <w:bookmarkStart w:id="31" w:name="page32"/>
    <w:bookmarkEnd w:id="31"/>
    <w:p>
      <w:pPr>
        <w:spacing w:after="0" w:line="6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results for the three and nine months ended November 30, 2013 and 2012 are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19"/>
        </w:trPr>
        <w:tc>
          <w:tcPr>
            <w:tcW w:w="6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November 30,</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5"/>
              <w:spacing w:after="0" w:line="119" w:lineRule="exact"/>
              <w:rPr>
                <w:sz w:val="20"/>
                <w:szCs w:val="20"/>
                <w:color w:val="auto"/>
              </w:rPr>
            </w:pPr>
            <w:r>
              <w:rPr>
                <w:rFonts w:ascii="Arial" w:cs="Arial" w:eastAsia="Arial" w:hAnsi="Arial"/>
                <w:sz w:val="13"/>
                <w:szCs w:val="13"/>
                <w:b w:val="1"/>
                <w:bCs w:val="1"/>
                <w:color w:val="auto"/>
                <w:w w:val="98"/>
              </w:rPr>
              <w:t>November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1"/>
        </w:trPr>
        <w:tc>
          <w:tcPr>
            <w:tcW w:w="6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gridSpan w:val="4"/>
          </w:tcPr>
          <w:p>
            <w:pPr>
              <w:jc w:val="center"/>
              <w:ind w:right="95"/>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5,801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4,034</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Total expenses, net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2,903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1,545</w:t>
            </w:r>
          </w:p>
        </w:tc>
        <w:tc>
          <w:tcPr>
            <w:tcW w:w="80" w:type="dxa"/>
            <w:vAlign w:val="bottom"/>
          </w:tcPr>
          <w:p>
            <w:pPr>
              <w:spacing w:after="0"/>
              <w:rPr>
                <w:sz w:val="18"/>
                <w:szCs w:val="18"/>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2,898</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2,489</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realized gains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83</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95</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losses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(1,713)</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(1,839)</w:t>
            </w:r>
          </w:p>
        </w:tc>
      </w:tr>
      <w:tr>
        <w:trPr>
          <w:trHeight w:val="210"/>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1,268</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58"/>
        </w:trPr>
        <w:tc>
          <w:tcPr>
            <w:tcW w:w="600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19"/>
        </w:trPr>
        <w:tc>
          <w:tcPr>
            <w:tcW w:w="600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November 30,</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5"/>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gridSpan w:val="2"/>
          </w:tcPr>
          <w:p>
            <w:pPr>
              <w:spacing w:after="0"/>
              <w:rPr>
                <w:sz w:val="10"/>
                <w:szCs w:val="10"/>
                <w:color w:val="auto"/>
              </w:rPr>
            </w:pPr>
          </w:p>
        </w:tc>
      </w:tr>
      <w:tr>
        <w:trPr>
          <w:trHeight w:val="171"/>
        </w:trPr>
        <w:tc>
          <w:tcPr>
            <w:tcW w:w="600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000" w:type="dxa"/>
            <w:vAlign w:val="bottom"/>
          </w:tcPr>
          <w:p>
            <w:pPr>
              <w:spacing w:after="0"/>
              <w:rPr>
                <w:sz w:val="12"/>
                <w:szCs w:val="12"/>
                <w:color w:val="auto"/>
              </w:rPr>
            </w:pPr>
          </w:p>
        </w:tc>
        <w:tc>
          <w:tcPr>
            <w:tcW w:w="2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gridSpan w:val="4"/>
          </w:tcPr>
          <w:p>
            <w:pPr>
              <w:jc w:val="center"/>
              <w:ind w:right="95"/>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 w:type="dxa"/>
            <w:vAlign w:val="bottom"/>
            <w:gridSpan w:val="2"/>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17,206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11,816</w:t>
            </w:r>
          </w:p>
        </w:tc>
        <w:tc>
          <w:tcPr>
            <w:tcW w:w="80" w:type="dxa"/>
            <w:vAlign w:val="bottom"/>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Total expenses, net</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9,567</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6,740</w:t>
            </w:r>
          </w:p>
        </w:tc>
        <w:tc>
          <w:tcPr>
            <w:tcW w:w="80" w:type="dxa"/>
            <w:vAlign w:val="bottom"/>
          </w:tcPr>
          <w:p>
            <w:pPr>
              <w:spacing w:after="0"/>
              <w:rPr>
                <w:sz w:val="18"/>
                <w:szCs w:val="18"/>
                <w:color w:val="auto"/>
              </w:rPr>
            </w:pPr>
          </w:p>
        </w:tc>
      </w:tr>
      <w:tr>
        <w:trPr>
          <w:trHeight w:val="210"/>
        </w:trPr>
        <w:tc>
          <w:tcPr>
            <w:tcW w:w="6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7,639</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5,076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Net realized gains</w:t>
            </w:r>
          </w:p>
        </w:tc>
        <w:tc>
          <w:tcPr>
            <w:tcW w:w="2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1,158</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412</w:t>
            </w:r>
          </w:p>
        </w:tc>
        <w:tc>
          <w:tcPr>
            <w:tcW w:w="80" w:type="dxa"/>
            <w:vAlign w:val="bottom"/>
          </w:tcPr>
          <w:p>
            <w:pPr>
              <w:spacing w:after="0"/>
              <w:rPr>
                <w:sz w:val="18"/>
                <w:szCs w:val="18"/>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2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(3,771)</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3,319</w:t>
            </w:r>
          </w:p>
        </w:tc>
        <w:tc>
          <w:tcPr>
            <w:tcW w:w="80" w:type="dxa"/>
            <w:vAlign w:val="bottom"/>
            <w:shd w:val="clear" w:color="auto" w:fill="CCEEFF"/>
          </w:tcPr>
          <w:p>
            <w:pPr>
              <w:spacing w:after="0"/>
              <w:rPr>
                <w:sz w:val="18"/>
                <w:szCs w:val="18"/>
                <w:color w:val="auto"/>
              </w:rPr>
            </w:pPr>
          </w:p>
        </w:tc>
      </w:tr>
      <w:tr>
        <w:trPr>
          <w:trHeight w:val="210"/>
        </w:trPr>
        <w:tc>
          <w:tcPr>
            <w:tcW w:w="6000" w:type="dxa"/>
            <w:vAlign w:val="bottom"/>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23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5,026</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investment income for the three and nine months ended November 30, 2013 and 2012 was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19"/>
        </w:trPr>
        <w:tc>
          <w:tcPr>
            <w:tcW w:w="62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November 30,</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7"/>
              <w:spacing w:after="0" w:line="119" w:lineRule="exact"/>
              <w:rPr>
                <w:sz w:val="20"/>
                <w:szCs w:val="20"/>
                <w:color w:val="auto"/>
              </w:rPr>
            </w:pPr>
            <w:r>
              <w:rPr>
                <w:rFonts w:ascii="Arial" w:cs="Arial" w:eastAsia="Arial" w:hAnsi="Arial"/>
                <w:sz w:val="13"/>
                <w:szCs w:val="13"/>
                <w:b w:val="1"/>
                <w:bCs w:val="1"/>
                <w:color w:val="auto"/>
                <w:w w:val="98"/>
              </w:rPr>
              <w:t>November 30,</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r>
      <w:tr>
        <w:trPr>
          <w:trHeight w:val="171"/>
        </w:trPr>
        <w:tc>
          <w:tcPr>
            <w:tcW w:w="6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gridSpan w:val="4"/>
          </w:tcPr>
          <w:p>
            <w:pPr>
              <w:jc w:val="center"/>
              <w:ind w:right="97"/>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4,997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3,513</w:t>
            </w: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Management fee income from Saratoga CLO</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421</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500</w:t>
            </w: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5,801</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4,034</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358"/>
        </w:trPr>
        <w:tc>
          <w:tcPr>
            <w:tcW w:w="62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For the nine months ended</w:t>
            </w:r>
          </w:p>
        </w:tc>
      </w:tr>
      <w:tr>
        <w:trPr>
          <w:trHeight w:val="119"/>
        </w:trPr>
        <w:tc>
          <w:tcPr>
            <w:tcW w:w="622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rPr>
              <w:t>November 30,</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center"/>
              <w:ind w:right="97"/>
              <w:spacing w:after="0" w:line="119" w:lineRule="exact"/>
              <w:rPr>
                <w:sz w:val="20"/>
                <w:szCs w:val="20"/>
                <w:color w:val="auto"/>
              </w:rPr>
            </w:pPr>
            <w:r>
              <w:rPr>
                <w:rFonts w:ascii="Arial" w:cs="Arial" w:eastAsia="Arial" w:hAnsi="Arial"/>
                <w:sz w:val="13"/>
                <w:szCs w:val="13"/>
                <w:b w:val="1"/>
                <w:bCs w:val="1"/>
                <w:color w:val="auto"/>
                <w:w w:val="98"/>
              </w:rPr>
              <w:t>November 30,</w:t>
            </w:r>
          </w:p>
        </w:tc>
        <w:tc>
          <w:tcPr>
            <w:tcW w:w="100" w:type="dxa"/>
            <w:vAlign w:val="bottom"/>
            <w:gridSpan w:val="2"/>
          </w:tcPr>
          <w:p>
            <w:pPr>
              <w:spacing w:after="0"/>
              <w:rPr>
                <w:sz w:val="10"/>
                <w:szCs w:val="10"/>
                <w:color w:val="auto"/>
              </w:rPr>
            </w:pPr>
          </w:p>
        </w:tc>
      </w:tr>
      <w:tr>
        <w:trPr>
          <w:trHeight w:val="171"/>
        </w:trPr>
        <w:tc>
          <w:tcPr>
            <w:tcW w:w="6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6"/>
              </w:rPr>
              <w:t>2013</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2012</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6220" w:type="dxa"/>
            <w:vAlign w:val="bottom"/>
          </w:tcPr>
          <w:p>
            <w:pPr>
              <w:spacing w:after="0"/>
              <w:rPr>
                <w:sz w:val="12"/>
                <w:szCs w:val="12"/>
                <w:color w:val="auto"/>
              </w:rPr>
            </w:pPr>
          </w:p>
        </w:tc>
        <w:tc>
          <w:tcPr>
            <w:tcW w:w="2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gridSpan w:val="4"/>
          </w:tcPr>
          <w:p>
            <w:pPr>
              <w:jc w:val="center"/>
              <w:ind w:right="97"/>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100" w:type="dxa"/>
            <w:vAlign w:val="bottom"/>
            <w:gridSpan w:val="2"/>
          </w:tcPr>
          <w:p>
            <w:pPr>
              <w:spacing w:after="0"/>
              <w:rPr>
                <w:sz w:val="12"/>
                <w:szCs w:val="12"/>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14,961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10,138</w:t>
            </w:r>
          </w:p>
        </w:tc>
        <w:tc>
          <w:tcPr>
            <w:tcW w:w="80" w:type="dxa"/>
            <w:vAlign w:val="bottom"/>
            <w:shd w:val="clear" w:color="auto" w:fill="CCEEFF"/>
          </w:tcPr>
          <w:p>
            <w:pPr>
              <w:spacing w:after="0"/>
              <w:rPr>
                <w:sz w:val="18"/>
                <w:szCs w:val="18"/>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Management fee income from Saratoga CLO</w:t>
            </w:r>
          </w:p>
        </w:tc>
        <w:tc>
          <w:tcPr>
            <w:tcW w:w="2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1,400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1,501</w:t>
            </w:r>
          </w:p>
        </w:tc>
        <w:tc>
          <w:tcPr>
            <w:tcW w:w="80" w:type="dxa"/>
            <w:vAlign w:val="bottom"/>
          </w:tcPr>
          <w:p>
            <w:pPr>
              <w:spacing w:after="0"/>
              <w:rPr>
                <w:sz w:val="18"/>
                <w:szCs w:val="18"/>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2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845</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8"/>
                <w:szCs w:val="18"/>
                <w:color w:val="auto"/>
              </w:rPr>
            </w:pPr>
          </w:p>
        </w:tc>
      </w:tr>
      <w:tr>
        <w:trPr>
          <w:trHeight w:val="210"/>
        </w:trPr>
        <w:tc>
          <w:tcPr>
            <w:tcW w:w="6220" w:type="dxa"/>
            <w:vAlign w:val="bottom"/>
          </w:tcPr>
          <w:p>
            <w:pPr>
              <w:spacing w:after="0"/>
              <w:rPr>
                <w:sz w:val="20"/>
                <w:szCs w:val="20"/>
                <w:color w:val="auto"/>
              </w:rPr>
            </w:pPr>
            <w:r>
              <w:rPr>
                <w:rFonts w:ascii="Arial" w:cs="Arial" w:eastAsia="Arial" w:hAnsi="Arial"/>
                <w:sz w:val="18"/>
                <w:szCs w:val="18"/>
                <w:color w:val="auto"/>
              </w:rPr>
              <w:t>Total</w:t>
            </w:r>
          </w:p>
        </w:tc>
        <w:tc>
          <w:tcPr>
            <w:tcW w:w="20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17,206</w:t>
            </w:r>
          </w:p>
        </w:tc>
        <w:tc>
          <w:tcPr>
            <w:tcW w:w="2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260" w:firstLine="648"/>
        <w:spacing w:after="0" w:line="264" w:lineRule="auto"/>
        <w:rPr>
          <w:sz w:val="20"/>
          <w:szCs w:val="20"/>
          <w:color w:val="auto"/>
        </w:rPr>
      </w:pPr>
      <w:r>
        <w:rPr>
          <w:rFonts w:ascii="Arial" w:cs="Arial" w:eastAsia="Arial" w:hAnsi="Arial"/>
          <w:sz w:val="18"/>
          <w:szCs w:val="18"/>
          <w:color w:val="auto"/>
        </w:rPr>
        <w:t>For the three months ended November 30, 2013, total investment income increased $1.8 million, or 43.8% compared to the three months ended November 30, 2012. The increase in total investment income for the three months ended November 30, 2013 versus the three months ended November 30, 2012 was the result of a higher average portfolio for the three months ended November 30, 2013.</w:t>
      </w:r>
    </w:p>
    <w:p>
      <w:pPr>
        <w:spacing w:after="0" w:line="181" w:lineRule="exact"/>
        <w:rPr>
          <w:sz w:val="20"/>
          <w:szCs w:val="20"/>
          <w:color w:val="auto"/>
        </w:rPr>
      </w:pPr>
    </w:p>
    <w:p>
      <w:pPr>
        <w:ind w:right="360" w:firstLine="648"/>
        <w:spacing w:after="0" w:line="286" w:lineRule="auto"/>
        <w:rPr>
          <w:sz w:val="20"/>
          <w:szCs w:val="20"/>
          <w:color w:val="auto"/>
        </w:rPr>
      </w:pPr>
      <w:r>
        <w:rPr>
          <w:rFonts w:ascii="Arial" w:cs="Arial" w:eastAsia="Arial" w:hAnsi="Arial"/>
          <w:sz w:val="17"/>
          <w:szCs w:val="17"/>
          <w:color w:val="auto"/>
        </w:rPr>
        <w:t>For the nine months ended November 30, 2013, total investment income increased $5.4 million, or 45.6% compared to the nine months ended November 30, 2012. The increase in total investment income for the nine months ended November 30, 2013 versus the nine months ended November 30, 2012 was the result of a higher average portfolio for the three and nine months ended November 30, 2013.</w:t>
      </w:r>
    </w:p>
    <w:p>
      <w:pPr>
        <w:spacing w:after="0" w:line="166"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the three and nine months ended November 30, 2013 and 2012, total PIK income was $0.2 million and $0.6 million, and $0.3 million and $0.8 million, respectively.</w:t>
      </w:r>
    </w:p>
    <w:p>
      <w:pPr>
        <w:spacing w:after="0" w:line="170" w:lineRule="exact"/>
        <w:rPr>
          <w:sz w:val="20"/>
          <w:szCs w:val="20"/>
          <w:color w:val="auto"/>
        </w:rPr>
      </w:pPr>
    </w:p>
    <w:p>
      <w:pPr>
        <w:jc w:val="both"/>
        <w:ind w:right="160" w:firstLine="648"/>
        <w:spacing w:after="0" w:line="264" w:lineRule="auto"/>
        <w:rPr>
          <w:sz w:val="20"/>
          <w:szCs w:val="20"/>
          <w:color w:val="auto"/>
        </w:rPr>
      </w:pPr>
      <w:r>
        <w:rPr>
          <w:rFonts w:ascii="Arial" w:cs="Arial" w:eastAsia="Arial" w:hAnsi="Arial"/>
          <w:sz w:val="18"/>
          <w:szCs w:val="18"/>
          <w:color w:val="auto"/>
        </w:rPr>
        <w:t>The Saratoga CLO was refinanced in October 2013. As a result, proceeds from principal payments in the loan portfolio of Saratoga CLO must now be used to paydown its outstanding notes. Thus, the management fee income and investment income that we will receive from Saratoga CLO will decline in future periods.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composition of our expenses for the three and nine months ended November 30, 2013 and 2012 was as follows: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9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rPr>
              <w:t>For the three months ended</w:t>
            </w:r>
          </w:p>
        </w:tc>
      </w:tr>
      <w:tr>
        <w:trPr>
          <w:trHeight w:val="119"/>
        </w:trPr>
        <w:tc>
          <w:tcPr>
            <w:tcW w:w="5460" w:type="dxa"/>
            <w:vAlign w:val="bottom"/>
          </w:tcPr>
          <w:p>
            <w:pPr>
              <w:spacing w:after="0"/>
              <w:rPr>
                <w:sz w:val="10"/>
                <w:szCs w:val="10"/>
                <w:color w:val="auto"/>
              </w:rPr>
            </w:pPr>
          </w:p>
        </w:tc>
        <w:tc>
          <w:tcPr>
            <w:tcW w:w="284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360" w:type="dxa"/>
            <w:vAlign w:val="bottom"/>
            <w:tcBorders>
              <w:top w:val="single" w:sz="8" w:color="auto"/>
            </w:tcBorders>
          </w:tcPr>
          <w:p>
            <w:pPr>
              <w:jc w:val="right"/>
              <w:ind w:right="340"/>
              <w:spacing w:after="0" w:line="119" w:lineRule="exact"/>
              <w:rPr>
                <w:sz w:val="20"/>
                <w:szCs w:val="20"/>
                <w:color w:val="auto"/>
              </w:rPr>
            </w:pPr>
            <w:r>
              <w:rPr>
                <w:rFonts w:ascii="Arial" w:cs="Arial" w:eastAsia="Arial" w:hAnsi="Arial"/>
                <w:sz w:val="13"/>
                <w:szCs w:val="13"/>
                <w:b w:val="1"/>
                <w:bCs w:val="1"/>
                <w:color w:val="auto"/>
              </w:rPr>
              <w:t>November 30,</w:t>
            </w:r>
          </w:p>
        </w:tc>
        <w:tc>
          <w:tcPr>
            <w:tcW w:w="30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77"/>
              <w:spacing w:after="0" w:line="119" w:lineRule="exact"/>
              <w:rPr>
                <w:sz w:val="20"/>
                <w:szCs w:val="20"/>
                <w:color w:val="auto"/>
              </w:rPr>
            </w:pPr>
            <w:r>
              <w:rPr>
                <w:rFonts w:ascii="Arial" w:cs="Arial" w:eastAsia="Arial" w:hAnsi="Arial"/>
                <w:sz w:val="13"/>
                <w:szCs w:val="13"/>
                <w:b w:val="1"/>
                <w:bCs w:val="1"/>
                <w:color w:val="auto"/>
              </w:rPr>
              <w:t>November 30,</w:t>
            </w:r>
          </w:p>
        </w:tc>
        <w:tc>
          <w:tcPr>
            <w:tcW w:w="100" w:type="dxa"/>
            <w:vAlign w:val="bottom"/>
          </w:tcPr>
          <w:p>
            <w:pPr>
              <w:spacing w:after="0"/>
              <w:rPr>
                <w:sz w:val="10"/>
                <w:szCs w:val="10"/>
                <w:color w:val="auto"/>
              </w:rPr>
            </w:pPr>
          </w:p>
        </w:tc>
      </w:tr>
      <w:tr>
        <w:trPr>
          <w:trHeight w:val="171"/>
        </w:trPr>
        <w:tc>
          <w:tcPr>
            <w:tcW w:w="5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20"/>
              <w:spacing w:after="0"/>
              <w:rPr>
                <w:sz w:val="20"/>
                <w:szCs w:val="20"/>
                <w:color w:val="auto"/>
              </w:rPr>
            </w:pPr>
            <w:r>
              <w:rPr>
                <w:rFonts w:ascii="Arial" w:cs="Arial" w:eastAsia="Arial" w:hAnsi="Arial"/>
                <w:sz w:val="14"/>
                <w:szCs w:val="14"/>
                <w:b w:val="1"/>
                <w:bCs w:val="1"/>
                <w:color w:val="auto"/>
              </w:rPr>
              <w:t>2013</w:t>
            </w:r>
          </w:p>
        </w:tc>
        <w:tc>
          <w:tcPr>
            <w:tcW w:w="3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54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gridSpan w:val="3"/>
          </w:tcPr>
          <w:p>
            <w:pPr>
              <w:jc w:val="right"/>
              <w:ind w:right="937"/>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3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1,611</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Base management fees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80"/>
              <w:spacing w:after="0"/>
              <w:rPr>
                <w:sz w:val="20"/>
                <w:szCs w:val="20"/>
                <w:color w:val="auto"/>
              </w:rPr>
            </w:pPr>
            <w:r>
              <w:rPr>
                <w:rFonts w:ascii="Arial" w:cs="Arial" w:eastAsia="Arial" w:hAnsi="Arial"/>
                <w:sz w:val="18"/>
                <w:szCs w:val="18"/>
                <w:color w:val="auto"/>
              </w:rPr>
              <w:t>876</w:t>
            </w: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529</w:t>
            </w:r>
          </w:p>
        </w:tc>
      </w:tr>
      <w:tr>
        <w:trPr>
          <w:trHeight w:val="216"/>
        </w:trPr>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80"/>
              <w:spacing w:after="0"/>
              <w:rPr>
                <w:sz w:val="20"/>
                <w:szCs w:val="20"/>
                <w:color w:val="auto"/>
              </w:rPr>
            </w:pPr>
            <w:r>
              <w:rPr>
                <w:rFonts w:ascii="Arial" w:cs="Arial" w:eastAsia="Arial" w:hAnsi="Arial"/>
                <w:sz w:val="18"/>
                <w:szCs w:val="18"/>
                <w:color w:val="auto"/>
              </w:rPr>
              <w:t>313</w:t>
            </w: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347</w:t>
            </w:r>
          </w:p>
        </w:tc>
      </w:tr>
      <w:tr>
        <w:trPr>
          <w:trHeight w:val="216"/>
        </w:trPr>
        <w:tc>
          <w:tcPr>
            <w:tcW w:w="546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20"/>
              <w:spacing w:after="0"/>
              <w:rPr>
                <w:sz w:val="20"/>
                <w:szCs w:val="20"/>
                <w:color w:val="auto"/>
              </w:rPr>
            </w:pPr>
            <w:r>
              <w:rPr>
                <w:rFonts w:ascii="Arial" w:cs="Arial" w:eastAsia="Arial" w:hAnsi="Arial"/>
                <w:sz w:val="18"/>
                <w:szCs w:val="18"/>
                <w:color w:val="auto"/>
              </w:rPr>
              <w:t>(561)</w:t>
            </w:r>
          </w:p>
        </w:tc>
        <w:tc>
          <w:tcPr>
            <w:tcW w:w="300" w:type="dxa"/>
            <w:vAlign w:val="bottom"/>
          </w:tcPr>
          <w:p>
            <w:pPr>
              <w:spacing w:after="0"/>
              <w:rPr>
                <w:sz w:val="18"/>
                <w:szCs w:val="18"/>
                <w:color w:val="auto"/>
              </w:rPr>
            </w:pP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(413)</w:t>
            </w:r>
          </w:p>
        </w:tc>
      </w:tr>
      <w:tr>
        <w:trPr>
          <w:trHeight w:val="70"/>
        </w:trPr>
        <w:tc>
          <w:tcPr>
            <w:tcW w:w="5460" w:type="dxa"/>
            <w:vAlign w:val="bottom"/>
            <w:shd w:val="clear" w:color="auto" w:fill="CCEEFF"/>
          </w:tcPr>
          <w:p>
            <w:pPr>
              <w:spacing w:after="0"/>
              <w:rPr>
                <w:sz w:val="6"/>
                <w:szCs w:val="6"/>
                <w:color w:val="auto"/>
              </w:rPr>
            </w:pPr>
          </w:p>
        </w:tc>
        <w:tc>
          <w:tcPr>
            <w:tcW w:w="284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360" w:type="dxa"/>
            <w:vAlign w:val="bottom"/>
            <w:shd w:val="clear" w:color="auto" w:fill="CCEEFF"/>
          </w:tcPr>
          <w:p>
            <w:pPr>
              <w:spacing w:after="0"/>
              <w:rPr>
                <w:sz w:val="6"/>
                <w:szCs w:val="6"/>
                <w:color w:val="auto"/>
              </w:rPr>
            </w:pPr>
          </w:p>
        </w:tc>
        <w:tc>
          <w:tcPr>
            <w:tcW w:w="300" w:type="dxa"/>
            <w:vAlign w:val="bottom"/>
            <w:shd w:val="clear" w:color="auto" w:fill="CCEEFF"/>
          </w:tcPr>
          <w:p>
            <w:pPr>
              <w:spacing w:after="0"/>
              <w:rPr>
                <w:sz w:val="6"/>
                <w:szCs w:val="6"/>
                <w:color w:val="auto"/>
              </w:rPr>
            </w:pPr>
          </w:p>
        </w:tc>
        <w:tc>
          <w:tcPr>
            <w:tcW w:w="118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341" w:right="239" w:bottom="0" w:gutter="0" w:footer="0" w:header="0"/>
        </w:sectPr>
      </w:pPr>
    </w:p>
    <w:bookmarkStart w:id="32" w:name="page33"/>
    <w:bookmarkEnd w:id="3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Insurance expenses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118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129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and other expenses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260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119</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2,903</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100" w:type="dxa"/>
            <w:vAlign w:val="bottom"/>
            <w:tcBorders>
              <w:top w:val="single" w:sz="8" w:color="CCEEFF"/>
            </w:tcBorders>
            <w:shd w:val="clear" w:color="auto" w:fill="CCEEFF"/>
          </w:tcPr>
          <w:p>
            <w:pPr>
              <w:spacing w:after="0"/>
              <w:rPr>
                <w:sz w:val="18"/>
                <w:szCs w:val="18"/>
                <w:color w:val="auto"/>
              </w:rPr>
            </w:pPr>
          </w:p>
        </w:tc>
      </w:tr>
      <w:tr>
        <w:trPr>
          <w:trHeight w:val="358"/>
        </w:trPr>
        <w:tc>
          <w:tcPr>
            <w:tcW w:w="584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940" w:type="dxa"/>
            <w:vAlign w:val="bottom"/>
            <w:gridSpan w:val="5"/>
          </w:tcPr>
          <w:p>
            <w:pPr>
              <w:ind w:left="500"/>
              <w:spacing w:after="0"/>
              <w:rPr>
                <w:sz w:val="20"/>
                <w:szCs w:val="20"/>
                <w:color w:val="auto"/>
              </w:rPr>
            </w:pPr>
            <w:r>
              <w:rPr>
                <w:rFonts w:ascii="Arial" w:cs="Arial" w:eastAsia="Arial" w:hAnsi="Arial"/>
                <w:sz w:val="14"/>
                <w:szCs w:val="14"/>
                <w:b w:val="1"/>
                <w:bCs w:val="1"/>
                <w:color w:val="auto"/>
              </w:rPr>
              <w:t>For the nine months ended</w:t>
            </w:r>
          </w:p>
        </w:tc>
      </w:tr>
      <w:tr>
        <w:trPr>
          <w:trHeight w:val="119"/>
        </w:trPr>
        <w:tc>
          <w:tcPr>
            <w:tcW w:w="5840" w:type="dxa"/>
            <w:vAlign w:val="bottom"/>
          </w:tcPr>
          <w:p>
            <w:pPr>
              <w:spacing w:after="0"/>
              <w:rPr>
                <w:sz w:val="10"/>
                <w:szCs w:val="10"/>
                <w:color w:val="auto"/>
              </w:rPr>
            </w:pPr>
          </w:p>
        </w:tc>
        <w:tc>
          <w:tcPr>
            <w:tcW w:w="24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480" w:type="dxa"/>
            <w:vAlign w:val="bottom"/>
            <w:tcBorders>
              <w:top w:val="single" w:sz="8" w:color="auto"/>
            </w:tcBorders>
            <w:gridSpan w:val="2"/>
          </w:tcPr>
          <w:p>
            <w:pPr>
              <w:ind w:left="80"/>
              <w:spacing w:after="0" w:line="119" w:lineRule="exact"/>
              <w:rPr>
                <w:sz w:val="20"/>
                <w:szCs w:val="20"/>
                <w:color w:val="auto"/>
              </w:rPr>
            </w:pPr>
            <w:r>
              <w:rPr>
                <w:rFonts w:ascii="Arial" w:cs="Arial" w:eastAsia="Arial" w:hAnsi="Arial"/>
                <w:sz w:val="13"/>
                <w:szCs w:val="13"/>
                <w:b w:val="1"/>
                <w:bCs w:val="1"/>
                <w:color w:val="auto"/>
              </w:rPr>
              <w:t>November 30,</w:t>
            </w:r>
          </w:p>
        </w:tc>
        <w:tc>
          <w:tcPr>
            <w:tcW w:w="18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tcPr>
          <w:p>
            <w:pPr>
              <w:jc w:val="right"/>
              <w:ind w:right="173"/>
              <w:spacing w:after="0" w:line="119" w:lineRule="exact"/>
              <w:rPr>
                <w:sz w:val="20"/>
                <w:szCs w:val="20"/>
                <w:color w:val="auto"/>
              </w:rPr>
            </w:pPr>
            <w:r>
              <w:rPr>
                <w:rFonts w:ascii="Arial" w:cs="Arial" w:eastAsia="Arial" w:hAnsi="Arial"/>
                <w:sz w:val="13"/>
                <w:szCs w:val="13"/>
                <w:b w:val="1"/>
                <w:bCs w:val="1"/>
                <w:color w:val="auto"/>
              </w:rPr>
              <w:t>November 30,</w:t>
            </w:r>
          </w:p>
        </w:tc>
        <w:tc>
          <w:tcPr>
            <w:tcW w:w="100" w:type="dxa"/>
            <w:vAlign w:val="bottom"/>
          </w:tcPr>
          <w:p>
            <w:pPr>
              <w:spacing w:after="0"/>
              <w:rPr>
                <w:sz w:val="10"/>
                <w:szCs w:val="10"/>
                <w:color w:val="auto"/>
              </w:rPr>
            </w:pPr>
          </w:p>
        </w:tc>
      </w:tr>
      <w:tr>
        <w:trPr>
          <w:trHeight w:val="171"/>
        </w:trPr>
        <w:tc>
          <w:tcPr>
            <w:tcW w:w="584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14"/>
                <w:szCs w:val="14"/>
                <w:color w:val="auto"/>
              </w:rPr>
            </w:pPr>
          </w:p>
        </w:tc>
      </w:tr>
      <w:tr>
        <w:trPr>
          <w:trHeight w:val="142"/>
        </w:trPr>
        <w:tc>
          <w:tcPr>
            <w:tcW w:w="584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40" w:type="dxa"/>
            <w:vAlign w:val="bottom"/>
            <w:gridSpan w:val="4"/>
          </w:tcPr>
          <w:p>
            <w:pPr>
              <w:jc w:val="right"/>
              <w:ind w:right="933"/>
              <w:spacing w:after="0" w:line="142" w:lineRule="exact"/>
              <w:rPr>
                <w:sz w:val="20"/>
                <w:szCs w:val="20"/>
                <w:color w:val="auto"/>
              </w:rPr>
            </w:pPr>
            <w:r>
              <w:rPr>
                <w:rFonts w:ascii="Arial" w:cs="Arial" w:eastAsia="Arial" w:hAnsi="Arial"/>
                <w:sz w:val="14"/>
                <w:szCs w:val="14"/>
                <w:b w:val="1"/>
                <w:bCs w:val="1"/>
                <w:color w:val="auto"/>
              </w:rPr>
              <w:t>($ in thousands)</w:t>
            </w:r>
          </w:p>
        </w:tc>
        <w:tc>
          <w:tcPr>
            <w:tcW w:w="100" w:type="dxa"/>
            <w:vAlign w:val="bottom"/>
          </w:tcPr>
          <w:p>
            <w:pPr>
              <w:spacing w:after="0"/>
              <w:rPr>
                <w:sz w:val="12"/>
                <w:szCs w:val="12"/>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2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Base management fees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2,424</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1,492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879</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220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887</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Insurance expenses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357</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390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Directors fees</w:t>
            </w:r>
          </w:p>
        </w:tc>
        <w:tc>
          <w:tcPr>
            <w:tcW w:w="24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General and administrative and other expenses</w:t>
            </w:r>
          </w:p>
        </w:tc>
        <w:tc>
          <w:tcPr>
            <w:tcW w:w="2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color w:val="auto"/>
              </w:rPr>
              <w:t>462</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270</w:t>
            </w: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9,567</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6,740</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40" w:firstLine="648"/>
        <w:spacing w:after="0" w:line="291" w:lineRule="auto"/>
        <w:rPr>
          <w:sz w:val="20"/>
          <w:szCs w:val="20"/>
          <w:color w:val="auto"/>
        </w:rPr>
      </w:pPr>
      <w:r>
        <w:rPr>
          <w:rFonts w:ascii="Arial" w:cs="Arial" w:eastAsia="Arial" w:hAnsi="Arial"/>
          <w:sz w:val="16"/>
          <w:szCs w:val="16"/>
          <w:color w:val="auto"/>
        </w:rPr>
        <w:t>For the three months ended November 30, 2013, total expenses increased $1.4 million, or 87.9%, compared to the three months ended November 30, 2012. For the nine months ended November 30, 2013, total expenses increased $2.8 million, or 41.9%, compared to the nine months ended November 30,</w:t>
      </w:r>
    </w:p>
    <w:p>
      <w:pPr>
        <w:ind w:right="320"/>
        <w:spacing w:after="0" w:line="261" w:lineRule="auto"/>
        <w:rPr>
          <w:sz w:val="20"/>
          <w:szCs w:val="20"/>
          <w:color w:val="auto"/>
        </w:rPr>
      </w:pPr>
      <w:r>
        <w:rPr>
          <w:rFonts w:ascii="Arial" w:cs="Arial" w:eastAsia="Arial" w:hAnsi="Arial"/>
          <w:sz w:val="18"/>
          <w:szCs w:val="18"/>
          <w:color w:val="auto"/>
        </w:rPr>
        <w:t>2012. The increase is primarily related an increase in interest and credit facility expense, base management fees and incentive management fees due to the growth in our portfolio and amount of our outstanding debt.</w:t>
      </w:r>
    </w:p>
    <w:p>
      <w:pPr>
        <w:spacing w:after="0" w:line="184" w:lineRule="exact"/>
        <w:rPr>
          <w:sz w:val="20"/>
          <w:szCs w:val="20"/>
          <w:color w:val="auto"/>
        </w:rPr>
      </w:pPr>
    </w:p>
    <w:p>
      <w:pPr>
        <w:ind w:right="200" w:firstLine="648"/>
        <w:spacing w:after="0" w:line="276" w:lineRule="auto"/>
        <w:rPr>
          <w:sz w:val="20"/>
          <w:szCs w:val="20"/>
          <w:color w:val="auto"/>
        </w:rPr>
      </w:pPr>
      <w:r>
        <w:rPr>
          <w:rFonts w:ascii="Arial" w:cs="Arial" w:eastAsia="Arial" w:hAnsi="Arial"/>
          <w:sz w:val="17"/>
          <w:szCs w:val="17"/>
          <w:color w:val="auto"/>
        </w:rPr>
        <w:t>As discussed above, the increase in interest and debt financing expenses for the three and nine months ended November 30, 2013 is primarily attributable to an increase in the amount of outstanding debt as compared to the prior periods. For the nine months ended November 30, 2013 and 2012, the weighted average interest rate on the outstanding borrowings under the Replacement Facility was 7.50% and 7.50%, respectively. The weighted average interest rate during the nine months ended November 30, 2013 on the outstanding borrowings of the SBA debentures was 2.99%. The weighted average interest rate during the nine months ended November 30, 2013 on the Notes was 7.50%.</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For the three months ended November 30, 2013, the Company had $9.9 million of sales, repayments, exits or restructurings resulting in $0.1 million of net realized gains.</w:t>
      </w:r>
    </w:p>
    <w:p>
      <w:pPr>
        <w:spacing w:after="0" w:line="170"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For the nine months ended November 30, 2013, the Company had $65.0 million of sales, repayments, exits or restructurings resulting in $1.2 million of net realized gains.</w:t>
      </w:r>
    </w:p>
    <w:p>
      <w:pPr>
        <w:spacing w:after="0" w:line="170"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For the three months ended November 30, 2012, we had $1.5 million of sales, repayments, exits and restructurings, resulting in $0.1 million of net realized gains.</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For the nine months ended November 30, 2012, we had $16.0 million of sales, repayments, exits and restructurings, resulting in $0.5 million of net realized gains.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225"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For the three months ended November 30, 2013, our investments had a decrease in net unrealized depreciation of $1.7 million versus a decrease in net unrealized depreciation of $1.8 million for the three months ended November 30, 2012. For the nine months ended November 30, 2013, our investments had a decrease in net unrealized depreciation of $3.8 million versus an increase in net unrealized appreciation of $3.2 million for the nine months ended November 30, 2012. The most significant cumulative changes in unrealized appreciation and depreciation for the nine months ended November 30, 2013, were the following:</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November 30, 2013</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5"/>
              </w:rPr>
              <w:t>Total</w:t>
            </w:r>
          </w:p>
        </w:tc>
        <w:tc>
          <w:tcPr>
            <w:tcW w:w="2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27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vMerge w:val="restart"/>
          </w:tcPr>
          <w:p>
            <w:pPr>
              <w:jc w:val="right"/>
              <w:ind w:right="379"/>
              <w:spacing w:after="0"/>
              <w:rPr>
                <w:sz w:val="20"/>
                <w:szCs w:val="20"/>
                <w:color w:val="auto"/>
              </w:rPr>
            </w:pPr>
            <w:r>
              <w:rPr>
                <w:rFonts w:ascii="Arial" w:cs="Arial" w:eastAsia="Arial" w:hAnsi="Arial"/>
                <w:sz w:val="14"/>
                <w:szCs w:val="14"/>
                <w:b w:val="1"/>
                <w:bCs w:val="1"/>
                <w:color w:val="auto"/>
              </w:rPr>
              <w:t>Fair</w:t>
            </w:r>
          </w:p>
        </w:tc>
        <w:tc>
          <w:tcPr>
            <w:tcW w:w="28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Issuer</w:t>
            </w:r>
          </w:p>
        </w:tc>
        <w:tc>
          <w:tcPr>
            <w:tcW w:w="300" w:type="dxa"/>
            <w:vAlign w:val="bottom"/>
          </w:tcPr>
          <w:p>
            <w:pPr>
              <w:spacing w:after="0"/>
              <w:rPr>
                <w:sz w:val="12"/>
                <w:szCs w:val="12"/>
                <w:color w:val="auto"/>
              </w:rPr>
            </w:pPr>
          </w:p>
        </w:tc>
        <w:tc>
          <w:tcPr>
            <w:tcW w:w="338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Asset Type</w:t>
            </w:r>
          </w:p>
        </w:tc>
        <w:tc>
          <w:tcPr>
            <w:tcW w:w="200" w:type="dxa"/>
            <w:vAlign w:val="bottom"/>
          </w:tcPr>
          <w:p>
            <w:pPr>
              <w:spacing w:after="0"/>
              <w:rPr>
                <w:sz w:val="12"/>
                <w:szCs w:val="12"/>
                <w:color w:val="auto"/>
              </w:rPr>
            </w:pPr>
          </w:p>
        </w:tc>
        <w:tc>
          <w:tcPr>
            <w:tcW w:w="8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Cost</w:t>
            </w:r>
          </w:p>
        </w:tc>
        <w:tc>
          <w:tcPr>
            <w:tcW w:w="3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Unrealized</w:t>
            </w:r>
          </w:p>
        </w:tc>
        <w:tc>
          <w:tcPr>
            <w:tcW w:w="260" w:type="dxa"/>
            <w:vAlign w:val="bottom"/>
          </w:tcPr>
          <w:p>
            <w:pPr>
              <w:spacing w:after="0"/>
              <w:rPr>
                <w:sz w:val="12"/>
                <w:szCs w:val="12"/>
                <w:color w:val="auto"/>
              </w:rPr>
            </w:pPr>
          </w:p>
        </w:tc>
        <w:tc>
          <w:tcPr>
            <w:tcW w:w="11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Appreciation/</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860" w:type="dxa"/>
            <w:vAlign w:val="bottom"/>
          </w:tcPr>
          <w:p>
            <w:pPr>
              <w:jc w:val="right"/>
              <w:ind w:right="339"/>
              <w:spacing w:after="0"/>
              <w:rPr>
                <w:sz w:val="20"/>
                <w:szCs w:val="20"/>
                <w:color w:val="auto"/>
              </w:rPr>
            </w:pPr>
            <w:r>
              <w:rPr>
                <w:rFonts w:ascii="Arial" w:cs="Arial" w:eastAsia="Arial" w:hAnsi="Arial"/>
                <w:sz w:val="14"/>
                <w:szCs w:val="14"/>
                <w:b w:val="1"/>
                <w:bCs w:val="1"/>
                <w:color w:val="auto"/>
              </w:rPr>
              <w:t>Value</w:t>
            </w:r>
          </w:p>
        </w:tc>
        <w:tc>
          <w:tcPr>
            <w:tcW w:w="280" w:type="dxa"/>
            <w:vAlign w:val="bottom"/>
          </w:tcPr>
          <w:p>
            <w:pPr>
              <w:spacing w:after="0"/>
              <w:rPr>
                <w:sz w:val="14"/>
                <w:szCs w:val="14"/>
                <w:color w:val="auto"/>
              </w:rPr>
            </w:pPr>
          </w:p>
        </w:tc>
        <w:tc>
          <w:tcPr>
            <w:tcW w:w="1120" w:type="dxa"/>
            <w:vAlign w:val="bottom"/>
          </w:tcPr>
          <w:p>
            <w:pPr>
              <w:jc w:val="center"/>
              <w:ind w:right="199"/>
              <w:spacing w:after="0"/>
              <w:rPr>
                <w:sz w:val="20"/>
                <w:szCs w:val="20"/>
                <w:color w:val="auto"/>
              </w:rPr>
            </w:pPr>
            <w:r>
              <w:rPr>
                <w:rFonts w:ascii="Arial" w:cs="Arial" w:eastAsia="Arial" w:hAnsi="Arial"/>
                <w:sz w:val="14"/>
                <w:szCs w:val="14"/>
                <w:b w:val="1"/>
                <w:bCs w:val="1"/>
                <w:color w:val="auto"/>
                <w:w w:val="93"/>
              </w:rPr>
              <w:t>Appreciation</w:t>
            </w:r>
          </w:p>
        </w:tc>
        <w:tc>
          <w:tcPr>
            <w:tcW w:w="260" w:type="dxa"/>
            <w:vAlign w:val="bottom"/>
          </w:tcPr>
          <w:p>
            <w:pPr>
              <w:spacing w:after="0"/>
              <w:rPr>
                <w:sz w:val="14"/>
                <w:szCs w:val="1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(Depreciation)</w:t>
            </w: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2260" w:type="dxa"/>
            <w:vAlign w:val="bottom"/>
            <w:tcBorders>
              <w:top w:val="single" w:sz="8" w:color="auto"/>
            </w:tcBorders>
            <w:gridSpan w:val="3"/>
          </w:tcPr>
          <w:p>
            <w:pPr>
              <w:jc w:val="center"/>
              <w:ind w:right="39"/>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2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Elyria Foundry Company, LLC</w:t>
            </w:r>
          </w:p>
        </w:tc>
        <w:tc>
          <w:tcPr>
            <w:tcW w:w="3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Senior Secured Note</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8,860</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6,685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2,175</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(2,174)</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Saratoga CLO</w:t>
            </w:r>
          </w:p>
        </w:tc>
        <w:tc>
          <w:tcPr>
            <w:tcW w:w="3680" w:type="dxa"/>
            <w:vAlign w:val="bottom"/>
            <w:gridSpan w:val="3"/>
          </w:tcPr>
          <w:p>
            <w:pPr>
              <w:ind w:left="300"/>
              <w:spacing w:after="0"/>
              <w:rPr>
                <w:sz w:val="20"/>
                <w:szCs w:val="20"/>
                <w:color w:val="auto"/>
              </w:rPr>
            </w:pPr>
            <w:r>
              <w:rPr>
                <w:rFonts w:ascii="Arial" w:cs="Arial" w:eastAsia="Arial" w:hAnsi="Arial"/>
                <w:sz w:val="18"/>
                <w:szCs w:val="18"/>
                <w:color w:val="auto"/>
              </w:rPr>
              <w:t>Other/ Structured Finance Securities</w:t>
            </w:r>
          </w:p>
        </w:tc>
        <w:tc>
          <w:tcPr>
            <w:tcW w:w="20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16,555</w:t>
            </w:r>
          </w:p>
        </w:tc>
        <w:tc>
          <w:tcPr>
            <w:tcW w:w="340" w:type="dxa"/>
            <w:vAlign w:val="bottom"/>
          </w:tcPr>
          <w:p>
            <w:pPr>
              <w:spacing w:after="0"/>
              <w:rPr>
                <w:sz w:val="18"/>
                <w:szCs w:val="18"/>
                <w:color w:val="auto"/>
              </w:rPr>
            </w:pPr>
          </w:p>
        </w:tc>
        <w:tc>
          <w:tcPr>
            <w:tcW w:w="860" w:type="dxa"/>
            <w:vAlign w:val="bottom"/>
          </w:tcPr>
          <w:p>
            <w:pPr>
              <w:jc w:val="right"/>
              <w:ind w:right="59"/>
              <w:spacing w:after="0"/>
              <w:rPr>
                <w:sz w:val="20"/>
                <w:szCs w:val="20"/>
                <w:color w:val="auto"/>
              </w:rPr>
            </w:pPr>
            <w:r>
              <w:rPr>
                <w:rFonts w:ascii="Arial" w:cs="Arial" w:eastAsia="Arial" w:hAnsi="Arial"/>
                <w:sz w:val="18"/>
                <w:szCs w:val="18"/>
                <w:color w:val="auto"/>
              </w:rPr>
              <w:t>19,019</w:t>
            </w:r>
          </w:p>
        </w:tc>
        <w:tc>
          <w:tcPr>
            <w:tcW w:w="280" w:type="dxa"/>
            <w:vAlign w:val="bottom"/>
          </w:tcPr>
          <w:p>
            <w:pPr>
              <w:spacing w:after="0"/>
              <w:rPr>
                <w:sz w:val="18"/>
                <w:szCs w:val="18"/>
                <w:color w:val="auto"/>
              </w:rPr>
            </w:pPr>
          </w:p>
        </w:tc>
        <w:tc>
          <w:tcPr>
            <w:tcW w:w="1120" w:type="dxa"/>
            <w:vAlign w:val="bottom"/>
          </w:tcPr>
          <w:p>
            <w:pPr>
              <w:jc w:val="right"/>
              <w:ind w:right="59"/>
              <w:spacing w:after="0"/>
              <w:rPr>
                <w:sz w:val="20"/>
                <w:szCs w:val="20"/>
                <w:color w:val="auto"/>
              </w:rPr>
            </w:pPr>
            <w:r>
              <w:rPr>
                <w:rFonts w:ascii="Arial" w:cs="Arial" w:eastAsia="Arial" w:hAnsi="Arial"/>
                <w:sz w:val="18"/>
                <w:szCs w:val="18"/>
                <w:color w:val="auto"/>
              </w:rPr>
              <w:t>2,464</w:t>
            </w:r>
          </w:p>
        </w:tc>
        <w:tc>
          <w:tcPr>
            <w:tcW w:w="26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(4,109)</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3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Voting Common Stock</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3,026</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4,381</w:t>
            </w: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59"/>
              <w:spacing w:after="0"/>
              <w:rPr>
                <w:sz w:val="20"/>
                <w:szCs w:val="20"/>
                <w:color w:val="auto"/>
              </w:rPr>
            </w:pPr>
            <w:r>
              <w:rPr>
                <w:rFonts w:ascii="Arial" w:cs="Arial" w:eastAsia="Arial" w:hAnsi="Arial"/>
                <w:sz w:val="18"/>
                <w:szCs w:val="18"/>
                <w:color w:val="auto"/>
              </w:rPr>
              <w:t>1,355</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$2.2 million of unrealized depreciation in our investment in Elyria Foundry Company, LLC was due to a weakened demand in oil and gas end-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markets.</w:t>
      </w:r>
    </w:p>
    <w:p>
      <w:pPr>
        <w:spacing w:after="0" w:line="211" w:lineRule="exact"/>
        <w:rPr>
          <w:sz w:val="20"/>
          <w:szCs w:val="20"/>
          <w:color w:val="auto"/>
        </w:rPr>
      </w:pPr>
    </w:p>
    <w:p>
      <w:pPr>
        <w:ind w:right="680" w:firstLine="648"/>
        <w:spacing w:after="0" w:line="277" w:lineRule="auto"/>
        <w:rPr>
          <w:sz w:val="20"/>
          <w:szCs w:val="20"/>
          <w:color w:val="auto"/>
        </w:rPr>
      </w:pPr>
      <w:r>
        <w:rPr>
          <w:rFonts w:ascii="Arial" w:cs="Arial" w:eastAsia="Arial" w:hAnsi="Arial"/>
          <w:sz w:val="18"/>
          <w:szCs w:val="18"/>
          <w:color w:val="auto"/>
        </w:rPr>
        <w:t>The $4.1 million of unrealized depreciation in our investment in the Saratoga CLO subordinated notes was due to lower net present value of projected future cash flows due to a smaller total portfolio and higher financing costs.</w:t>
      </w:r>
    </w:p>
    <w:p>
      <w:pPr>
        <w:spacing w:after="0" w:line="17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The $1.5 million of unrealized appreciation in our investment in the common stock of USS Parent Holding Corp. was due to improved operating performance.</w:t>
      </w:r>
    </w:p>
    <w:p>
      <w:pPr>
        <w:sectPr>
          <w:pgSz w:w="11900" w:h="16838" w:orient="portrait"/>
          <w:cols w:equalWidth="0" w:num="1">
            <w:col w:w="11420"/>
          </w:cols>
          <w:pgMar w:left="240" w:top="140" w:right="239" w:bottom="0" w:gutter="0" w:footer="0" w:header="0"/>
        </w:sectPr>
      </w:pPr>
    </w:p>
    <w:bookmarkStart w:id="33" w:name="page34"/>
    <w:bookmarkEnd w:id="33"/>
    <w:p>
      <w:pPr>
        <w:ind w:left="660"/>
        <w:spacing w:after="0"/>
        <w:rPr>
          <w:sz w:val="20"/>
          <w:szCs w:val="20"/>
          <w:color w:val="auto"/>
        </w:rPr>
      </w:pPr>
      <w:r>
        <w:rPr>
          <w:rFonts w:ascii="Arial" w:cs="Arial" w:eastAsia="Arial" w:hAnsi="Arial"/>
          <w:sz w:val="18"/>
          <w:szCs w:val="18"/>
          <w:color w:val="auto"/>
        </w:rPr>
        <w:t>The most significant cumulative changes in unrealized appreciation for the nine months ended November 30, 2012 were the following:</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Nine months ended November 30, 2012</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Total Unrealized</w:t>
            </w:r>
          </w:p>
        </w:tc>
        <w:tc>
          <w:tcPr>
            <w:tcW w:w="13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8"/>
              </w:rPr>
              <w:t>YTD Change in</w:t>
            </w:r>
          </w:p>
        </w:tc>
        <w:tc>
          <w:tcPr>
            <w:tcW w:w="0" w:type="dxa"/>
            <w:vAlign w:val="bottom"/>
          </w:tcPr>
          <w:p>
            <w:pPr>
              <w:spacing w:after="0"/>
              <w:rPr>
                <w:sz w:val="1"/>
                <w:szCs w:val="1"/>
                <w:color w:val="auto"/>
              </w:rPr>
            </w:pPr>
          </w:p>
        </w:tc>
      </w:tr>
      <w:tr>
        <w:trPr>
          <w:trHeight w:val="149"/>
        </w:trPr>
        <w:tc>
          <w:tcPr>
            <w:tcW w:w="2700" w:type="dxa"/>
            <w:vAlign w:val="bottom"/>
            <w:vMerge w:val="restart"/>
          </w:tcPr>
          <w:p>
            <w:pPr>
              <w:spacing w:after="0"/>
              <w:rPr>
                <w:sz w:val="20"/>
                <w:szCs w:val="20"/>
                <w:color w:val="auto"/>
              </w:rPr>
            </w:pPr>
            <w:r>
              <w:rPr>
                <w:rFonts w:ascii="Arial" w:cs="Arial" w:eastAsia="Arial" w:hAnsi="Arial"/>
                <w:sz w:val="14"/>
                <w:szCs w:val="14"/>
                <w:b w:val="1"/>
                <w:bCs w:val="1"/>
                <w:color w:val="auto"/>
              </w:rPr>
              <w:t>Issuer</w:t>
            </w:r>
          </w:p>
        </w:tc>
        <w:tc>
          <w:tcPr>
            <w:tcW w:w="300" w:type="dxa"/>
            <w:vAlign w:val="bottom"/>
          </w:tcPr>
          <w:p>
            <w:pPr>
              <w:spacing w:after="0"/>
              <w:rPr>
                <w:sz w:val="12"/>
                <w:szCs w:val="12"/>
                <w:color w:val="auto"/>
              </w:rPr>
            </w:pPr>
          </w:p>
        </w:tc>
        <w:tc>
          <w:tcPr>
            <w:tcW w:w="3380" w:type="dxa"/>
            <w:vAlign w:val="bottom"/>
            <w:gridSpan w:val="2"/>
            <w:vMerge w:val="restart"/>
          </w:tcPr>
          <w:p>
            <w:pPr>
              <w:ind w:left="1200"/>
              <w:spacing w:after="0"/>
              <w:rPr>
                <w:sz w:val="20"/>
                <w:szCs w:val="20"/>
                <w:color w:val="auto"/>
              </w:rPr>
            </w:pPr>
            <w:r>
              <w:rPr>
                <w:rFonts w:ascii="Arial" w:cs="Arial" w:eastAsia="Arial" w:hAnsi="Arial"/>
                <w:sz w:val="14"/>
                <w:szCs w:val="14"/>
                <w:b w:val="1"/>
                <w:bCs w:val="1"/>
                <w:color w:val="auto"/>
              </w:rPr>
              <w:t>Asset Type</w:t>
            </w:r>
          </w:p>
        </w:tc>
        <w:tc>
          <w:tcPr>
            <w:tcW w:w="200" w:type="dxa"/>
            <w:vAlign w:val="bottom"/>
          </w:tcPr>
          <w:p>
            <w:pPr>
              <w:spacing w:after="0"/>
              <w:rPr>
                <w:sz w:val="12"/>
                <w:szCs w:val="12"/>
                <w:color w:val="auto"/>
              </w:rPr>
            </w:pPr>
          </w:p>
        </w:tc>
        <w:tc>
          <w:tcPr>
            <w:tcW w:w="860" w:type="dxa"/>
            <w:vAlign w:val="bottom"/>
            <w:vMerge w:val="restart"/>
          </w:tcPr>
          <w:p>
            <w:pPr>
              <w:jc w:val="right"/>
              <w:ind w:right="374"/>
              <w:spacing w:after="0"/>
              <w:rPr>
                <w:sz w:val="20"/>
                <w:szCs w:val="20"/>
                <w:color w:val="auto"/>
              </w:rPr>
            </w:pPr>
            <w:r>
              <w:rPr>
                <w:rFonts w:ascii="Arial" w:cs="Arial" w:eastAsia="Arial" w:hAnsi="Arial"/>
                <w:sz w:val="14"/>
                <w:szCs w:val="14"/>
                <w:b w:val="1"/>
                <w:bCs w:val="1"/>
                <w:color w:val="auto"/>
              </w:rPr>
              <w:t>Cost</w:t>
            </w:r>
          </w:p>
        </w:tc>
        <w:tc>
          <w:tcPr>
            <w:tcW w:w="260" w:type="dxa"/>
            <w:vAlign w:val="bottom"/>
          </w:tcPr>
          <w:p>
            <w:pPr>
              <w:spacing w:after="0"/>
              <w:rPr>
                <w:sz w:val="12"/>
                <w:szCs w:val="12"/>
                <w:color w:val="auto"/>
              </w:rPr>
            </w:pPr>
          </w:p>
        </w:tc>
        <w:tc>
          <w:tcPr>
            <w:tcW w:w="940" w:type="dxa"/>
            <w:vAlign w:val="bottom"/>
            <w:vMerge w:val="restart"/>
          </w:tcPr>
          <w:p>
            <w:pPr>
              <w:jc w:val="right"/>
              <w:ind w:right="177"/>
              <w:spacing w:after="0"/>
              <w:rPr>
                <w:sz w:val="20"/>
                <w:szCs w:val="20"/>
                <w:color w:val="auto"/>
              </w:rPr>
            </w:pPr>
            <w:r>
              <w:rPr>
                <w:rFonts w:ascii="Arial" w:cs="Arial" w:eastAsia="Arial" w:hAnsi="Arial"/>
                <w:sz w:val="14"/>
                <w:szCs w:val="14"/>
                <w:b w:val="1"/>
                <w:bCs w:val="1"/>
                <w:color w:val="auto"/>
                <w:w w:val="98"/>
              </w:rPr>
              <w:t>Fair Value</w:t>
            </w:r>
          </w:p>
        </w:tc>
        <w:tc>
          <w:tcPr>
            <w:tcW w:w="260" w:type="dxa"/>
            <w:vAlign w:val="bottom"/>
          </w:tcPr>
          <w:p>
            <w:pPr>
              <w:spacing w:after="0"/>
              <w:rPr>
                <w:sz w:val="12"/>
                <w:szCs w:val="12"/>
                <w:color w:val="auto"/>
              </w:rPr>
            </w:pPr>
          </w:p>
        </w:tc>
        <w:tc>
          <w:tcPr>
            <w:tcW w:w="1180" w:type="dxa"/>
            <w:vAlign w:val="bottom"/>
          </w:tcPr>
          <w:p>
            <w:pPr>
              <w:jc w:val="center"/>
              <w:ind w:right="217"/>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2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0" w:type="dxa"/>
            <w:vAlign w:val="bottom"/>
          </w:tcPr>
          <w:p>
            <w:pPr>
              <w:spacing w:after="0"/>
              <w:rPr>
                <w:sz w:val="1"/>
                <w:szCs w:val="1"/>
                <w:color w:val="auto"/>
              </w:rPr>
            </w:pPr>
          </w:p>
        </w:tc>
      </w:tr>
      <w:tr>
        <w:trPr>
          <w:trHeight w:val="171"/>
        </w:trPr>
        <w:tc>
          <w:tcPr>
            <w:tcW w:w="27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33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tcPr>
          <w:p>
            <w:pPr>
              <w:jc w:val="center"/>
              <w:ind w:right="217"/>
              <w:spacing w:after="0"/>
              <w:rPr>
                <w:sz w:val="20"/>
                <w:szCs w:val="20"/>
                <w:color w:val="auto"/>
              </w:rPr>
            </w:pPr>
            <w:r>
              <w:rPr>
                <w:rFonts w:ascii="Arial" w:cs="Arial" w:eastAsia="Arial" w:hAnsi="Arial"/>
                <w:sz w:val="14"/>
                <w:szCs w:val="14"/>
                <w:b w:val="1"/>
                <w:bCs w:val="1"/>
                <w:color w:val="auto"/>
                <w:w w:val="93"/>
              </w:rPr>
              <w:t>(Depreciation)</w:t>
            </w:r>
          </w:p>
        </w:tc>
        <w:tc>
          <w:tcPr>
            <w:tcW w:w="24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Appreciation</w:t>
            </w:r>
          </w:p>
        </w:tc>
        <w:tc>
          <w:tcPr>
            <w:tcW w:w="0" w:type="dxa"/>
            <w:vAlign w:val="bottom"/>
          </w:tcPr>
          <w:p>
            <w:pPr>
              <w:spacing w:after="0"/>
              <w:rPr>
                <w:sz w:val="1"/>
                <w:szCs w:val="1"/>
                <w:color w:val="auto"/>
              </w:rPr>
            </w:pPr>
          </w:p>
        </w:tc>
      </w:tr>
      <w:tr>
        <w:trPr>
          <w:trHeight w:val="142"/>
        </w:trPr>
        <w:tc>
          <w:tcPr>
            <w:tcW w:w="270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30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38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Targus Holdings, Inc.</w:t>
            </w:r>
          </w:p>
        </w:tc>
        <w:tc>
          <w:tcPr>
            <w:tcW w:w="3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Common Stock</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567</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3,732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3,165</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1,056</w:t>
            </w:r>
          </w:p>
        </w:tc>
        <w:tc>
          <w:tcPr>
            <w:tcW w:w="0" w:type="dxa"/>
            <w:vAlign w:val="bottom"/>
          </w:tcPr>
          <w:p>
            <w:pPr>
              <w:spacing w:after="0"/>
              <w:rPr>
                <w:sz w:val="1"/>
                <w:szCs w:val="1"/>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Penton Media</w:t>
            </w:r>
          </w:p>
        </w:tc>
        <w:tc>
          <w:tcPr>
            <w:tcW w:w="3680" w:type="dxa"/>
            <w:vAlign w:val="bottom"/>
            <w:gridSpan w:val="3"/>
          </w:tcPr>
          <w:p>
            <w:pPr>
              <w:ind w:left="300"/>
              <w:spacing w:after="0"/>
              <w:rPr>
                <w:sz w:val="20"/>
                <w:szCs w:val="20"/>
                <w:color w:val="auto"/>
              </w:rPr>
            </w:pPr>
            <w:r>
              <w:rPr>
                <w:rFonts w:ascii="Arial" w:cs="Arial" w:eastAsia="Arial" w:hAnsi="Arial"/>
                <w:sz w:val="18"/>
                <w:szCs w:val="18"/>
                <w:color w:val="auto"/>
              </w:rPr>
              <w:t>First Lien Term Loan</w:t>
            </w:r>
          </w:p>
        </w:tc>
        <w:tc>
          <w:tcPr>
            <w:tcW w:w="200" w:type="dxa"/>
            <w:vAlign w:val="bottom"/>
          </w:tcPr>
          <w:p>
            <w:pPr>
              <w:spacing w:after="0"/>
              <w:rPr>
                <w:sz w:val="18"/>
                <w:szCs w:val="18"/>
                <w:color w:val="auto"/>
              </w:rPr>
            </w:pPr>
          </w:p>
        </w:tc>
        <w:tc>
          <w:tcPr>
            <w:tcW w:w="860" w:type="dxa"/>
            <w:vAlign w:val="bottom"/>
          </w:tcPr>
          <w:p>
            <w:pPr>
              <w:jc w:val="right"/>
              <w:ind w:right="54"/>
              <w:spacing w:after="0"/>
              <w:rPr>
                <w:sz w:val="20"/>
                <w:szCs w:val="20"/>
                <w:color w:val="auto"/>
              </w:rPr>
            </w:pPr>
            <w:r>
              <w:rPr>
                <w:rFonts w:ascii="Arial" w:cs="Arial" w:eastAsia="Arial" w:hAnsi="Arial"/>
                <w:sz w:val="18"/>
                <w:szCs w:val="18"/>
                <w:color w:val="auto"/>
              </w:rPr>
              <w:t>4,442</w:t>
            </w:r>
          </w:p>
        </w:tc>
        <w:tc>
          <w:tcPr>
            <w:tcW w:w="260" w:type="dxa"/>
            <w:vAlign w:val="bottom"/>
          </w:tcPr>
          <w:p>
            <w:pPr>
              <w:spacing w:after="0"/>
              <w:rPr>
                <w:sz w:val="18"/>
                <w:szCs w:val="18"/>
                <w:color w:val="auto"/>
              </w:rPr>
            </w:pPr>
          </w:p>
        </w:tc>
        <w:tc>
          <w:tcPr>
            <w:tcW w:w="940" w:type="dxa"/>
            <w:vAlign w:val="bottom"/>
          </w:tcPr>
          <w:p>
            <w:pPr>
              <w:jc w:val="right"/>
              <w:ind w:right="57"/>
              <w:spacing w:after="0"/>
              <w:rPr>
                <w:sz w:val="20"/>
                <w:szCs w:val="20"/>
                <w:color w:val="auto"/>
              </w:rPr>
            </w:pPr>
            <w:r>
              <w:rPr>
                <w:rFonts w:ascii="Arial" w:cs="Arial" w:eastAsia="Arial" w:hAnsi="Arial"/>
                <w:sz w:val="18"/>
                <w:szCs w:val="18"/>
                <w:color w:val="auto"/>
              </w:rPr>
              <w:t>4,285</w:t>
            </w:r>
          </w:p>
        </w:tc>
        <w:tc>
          <w:tcPr>
            <w:tcW w:w="26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468</w:t>
            </w:r>
          </w:p>
        </w:tc>
        <w:tc>
          <w:tcPr>
            <w:tcW w:w="0" w:type="dxa"/>
            <w:vAlign w:val="bottom"/>
          </w:tcPr>
          <w:p>
            <w:pPr>
              <w:spacing w:after="0"/>
              <w:rPr>
                <w:sz w:val="1"/>
                <w:szCs w:val="1"/>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Saratoga CLO</w:t>
            </w:r>
          </w:p>
        </w:tc>
        <w:tc>
          <w:tcPr>
            <w:tcW w:w="3680" w:type="dxa"/>
            <w:vAlign w:val="bottom"/>
            <w:gridSpan w:val="3"/>
            <w:shd w:val="clear" w:color="auto" w:fill="CCEEFF"/>
          </w:tcPr>
          <w:p>
            <w:pPr>
              <w:ind w:left="300"/>
              <w:spacing w:after="0"/>
              <w:rPr>
                <w:sz w:val="20"/>
                <w:szCs w:val="20"/>
                <w:color w:val="auto"/>
              </w:rPr>
            </w:pPr>
            <w:r>
              <w:rPr>
                <w:rFonts w:ascii="Arial" w:cs="Arial" w:eastAsia="Arial" w:hAnsi="Arial"/>
                <w:sz w:val="18"/>
                <w:szCs w:val="18"/>
                <w:color w:val="auto"/>
              </w:rPr>
              <w:t>Other/Structured Finance Securities</w:t>
            </w: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20,362</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24,641</w:t>
            </w:r>
          </w:p>
        </w:tc>
        <w:tc>
          <w:tcPr>
            <w:tcW w:w="26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97"/>
              <w:spacing w:after="0"/>
              <w:rPr>
                <w:sz w:val="20"/>
                <w:szCs w:val="20"/>
                <w:color w:val="auto"/>
              </w:rPr>
            </w:pPr>
            <w:r>
              <w:rPr>
                <w:rFonts w:ascii="Arial" w:cs="Arial" w:eastAsia="Arial" w:hAnsi="Arial"/>
                <w:sz w:val="18"/>
                <w:szCs w:val="18"/>
                <w:color w:val="auto"/>
              </w:rPr>
              <w:t>4,279</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The $1.1 million of unrealized appreciation on our investment in Targus Holdings, Inc. resulted from its improved operating performance and improved trading multiples of comparable publicly traded companies. In addition, the $0.5 million of unrealized appreciation on our investment in Penton Media resulted from its improved operating performance.</w:t>
      </w:r>
    </w:p>
    <w:p>
      <w:pPr>
        <w:spacing w:after="0" w:line="181"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The $2.0 million of net unrealized appreciation in our investment in the Saratoga CLO subordinated notes was due to higher relative cash flow projections (based on an improvement in the overall portfolio, a decrease in the assumed portfolio default rate and a reduction in the CLO’s cost basis due to distributions during the year) offset by a higher discount rate used to present value the cash flows based on current market conditions.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225" w:lineRule="exact"/>
        <w:rPr>
          <w:sz w:val="20"/>
          <w:szCs w:val="20"/>
          <w:color w:val="auto"/>
        </w:rPr>
      </w:pPr>
    </w:p>
    <w:p>
      <w:pPr>
        <w:ind w:right="180" w:firstLine="648"/>
        <w:spacing w:after="0" w:line="257" w:lineRule="auto"/>
        <w:rPr>
          <w:sz w:val="20"/>
          <w:szCs w:val="20"/>
          <w:color w:val="auto"/>
        </w:rPr>
      </w:pPr>
      <w:r>
        <w:rPr>
          <w:rFonts w:ascii="Arial" w:cs="Arial" w:eastAsia="Arial" w:hAnsi="Arial"/>
          <w:sz w:val="18"/>
          <w:szCs w:val="18"/>
          <w:color w:val="auto"/>
        </w:rPr>
        <w:t>For the three months ended November 30, 2013, we recorded a net increase in net assets resulting from operations of $1.3 million versus a net increase in net assets resulting from operations of $0.7 million for the three months ended November 30, 2012. Based on 4,851,451 and 3,970,447 weighted average common shares outstanding for the three months ended November 30, 2013 and November 30, 2012, respectively, our per share net increase in net assets resulting from operations was $0.26 for the three months ended November 30, 2013 versus a per share net increase in net assets from operations of $0.19 for the three months ended November 30, 2012.</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285"/>
        <w:spacing w:after="0" w:line="257" w:lineRule="auto"/>
        <w:rPr>
          <w:sz w:val="20"/>
          <w:szCs w:val="20"/>
          <w:color w:val="auto"/>
        </w:rPr>
      </w:pPr>
      <w:r>
        <w:rPr>
          <w:rFonts w:ascii="Arial" w:cs="Arial" w:eastAsia="Arial" w:hAnsi="Arial"/>
          <w:sz w:val="18"/>
          <w:szCs w:val="18"/>
          <w:color w:val="auto"/>
        </w:rPr>
        <w:t>For the nine months ended November 30, 2013, we recorded a net increase in net assets resulting from operations of $5.0 million versus a net increase in net assets resulting from operations of $8.8 million for the nine months ended November 30, 2012. Based on 4,770,267 and 3,907,696 weighted average common shares outstanding for the nine months ended November 30, 2013 and November 30, 2012, respectively, our per share net increase in net assets resulting from operations was $1.05 for the nine months ended November 30, 2013 versus a per share net increase in net assets from operations of $2.25 for the nine months ended November 30, 2012.</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160" w:firstLine="648"/>
        <w:spacing w:after="0" w:line="342" w:lineRule="auto"/>
        <w:rPr>
          <w:sz w:val="20"/>
          <w:szCs w:val="20"/>
          <w:color w:val="auto"/>
        </w:rPr>
      </w:pPr>
      <w:r>
        <w:rPr>
          <w:rFonts w:ascii="Arial" w:cs="Arial" w:eastAsia="Arial" w:hAnsi="Arial"/>
          <w:sz w:val="16"/>
          <w:szCs w:val="16"/>
          <w:color w:val="auto"/>
        </w:rPr>
        <w:t>We intend to continue to generate cash primarily from cash flows from operations, including interest earned from the temporary investment of cash in U.S. government securities and other high-quality debt investments that mature in one year or less, future borrowings and future offerings of securities.</w:t>
      </w:r>
    </w:p>
    <w:p>
      <w:pPr>
        <w:spacing w:after="0" w:line="124" w:lineRule="exact"/>
        <w:rPr>
          <w:sz w:val="20"/>
          <w:szCs w:val="20"/>
          <w:color w:val="auto"/>
        </w:rPr>
      </w:pPr>
    </w:p>
    <w:p>
      <w:pPr>
        <w:ind w:right="40" w:firstLine="648"/>
        <w:spacing w:after="0" w:line="290" w:lineRule="auto"/>
        <w:rPr>
          <w:sz w:val="20"/>
          <w:szCs w:val="20"/>
          <w:color w:val="auto"/>
        </w:rPr>
      </w:pPr>
      <w:r>
        <w:rPr>
          <w:rFonts w:ascii="Arial" w:cs="Arial" w:eastAsia="Arial" w:hAnsi="Arial"/>
          <w:sz w:val="16"/>
          <w:szCs w:val="16"/>
          <w:color w:val="auto"/>
        </w:rPr>
        <w:t>Although we expect to fund the growth of our investment portfolio through the net proceeds from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 Our stockholders approved a proposal at our annual meeting of stockholders held on September 26, 2013 that authorizes us to sell shares of our common stock at an offering price per share to investors that is not less than 85% of our then current net asset value per share in one or more offerings for a period ending on the earlier of September 26, 2014 or the date of our next annual meeting of stockholders. We would need stockholder approval of a similar proposal to issue shares below net asset value per share at any time after the earlier of September 26, 2014 or our next annual meeting of stockholders.</w:t>
      </w:r>
    </w:p>
    <w:p>
      <w:pPr>
        <w:spacing w:after="0" w:line="166"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93"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312.6% as of November 30, 2013 and 547.3% as of February 28, 2013.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7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166" w:lineRule="exact"/>
        <w:rPr>
          <w:sz w:val="20"/>
          <w:szCs w:val="20"/>
          <w:color w:val="auto"/>
        </w:rPr>
      </w:pPr>
    </w:p>
    <w:p>
      <w:pPr>
        <w:ind w:right="300" w:firstLine="648"/>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(the “Replacement Facility”) on June 30, 2010.</w:t>
      </w:r>
    </w:p>
    <w:p>
      <w:pPr>
        <w:spacing w:after="0" w:line="170" w:lineRule="exact"/>
        <w:rPr>
          <w:sz w:val="20"/>
          <w:szCs w:val="20"/>
          <w:color w:val="auto"/>
        </w:rPr>
      </w:pPr>
    </w:p>
    <w:p>
      <w:pPr>
        <w:ind w:right="20" w:firstLine="648"/>
        <w:spacing w:after="0" w:line="302" w:lineRule="auto"/>
        <w:rPr>
          <w:sz w:val="20"/>
          <w:szCs w:val="20"/>
          <w:color w:val="auto"/>
        </w:rPr>
      </w:pPr>
      <w:r>
        <w:rPr>
          <w:rFonts w:ascii="Arial" w:cs="Arial" w:eastAsia="Arial" w:hAnsi="Arial"/>
          <w:sz w:val="16"/>
          <w:szCs w:val="16"/>
          <w:i w:val="1"/>
          <w:iCs w:val="1"/>
          <w:color w:val="auto"/>
        </w:rPr>
        <w:t xml:space="preserve">Availability. </w:t>
      </w:r>
      <w:r>
        <w:rPr>
          <w:rFonts w:ascii="Arial" w:cs="Arial" w:eastAsia="Arial" w:hAnsi="Arial"/>
          <w:sz w:val="16"/>
          <w:szCs w:val="16"/>
          <w:color w:val="auto"/>
        </w:rPr>
        <w:t>The Company can draw up to the lesser of (i) $40.0 million (the “Facility Amount”) and (ii) the product of the applicable advance rate</w:t>
      </w:r>
      <w:r>
        <w:rPr>
          <w:rFonts w:ascii="Arial" w:cs="Arial" w:eastAsia="Arial" w:hAnsi="Arial"/>
          <w:sz w:val="16"/>
          <w:szCs w:val="16"/>
          <w:i w:val="1"/>
          <w:iCs w:val="1"/>
          <w:color w:val="auto"/>
        </w:rPr>
        <w:t xml:space="preserve"> </w:t>
      </w:r>
      <w:r>
        <w:rPr>
          <w:rFonts w:ascii="Arial" w:cs="Arial" w:eastAsia="Arial" w:hAnsi="Arial"/>
          <w:sz w:val="16"/>
          <w:szCs w:val="16"/>
          <w:color w:val="auto"/>
        </w:rPr>
        <w:t>(which varies from 50.0% to 75.0% depending on the type of loan asset) and the value, determined in accordance with the Replacement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w:t>
      </w:r>
    </w:p>
    <w:p>
      <w:pPr>
        <w:sectPr>
          <w:pgSz w:w="11900" w:h="16838" w:orient="portrait"/>
          <w:cols w:equalWidth="0" w:num="1">
            <w:col w:w="11420"/>
          </w:cols>
          <w:pgMar w:left="240" w:top="125" w:right="239" w:bottom="0" w:gutter="0" w:footer="0" w:header="0"/>
        </w:sectPr>
      </w:pPr>
    </w:p>
    <w:bookmarkStart w:id="34" w:name="page35"/>
    <w:bookmarkEnd w:id="34"/>
    <w:p>
      <w:pPr>
        <w:spacing w:after="0" w:line="13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to below (the “Unfunded Exposure Amount”) and (b) outstanding borrowings. Each loan asset held by the Company as of the date on which the Replacement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48"/>
        <w:spacing w:after="0" w:line="276" w:lineRule="auto"/>
        <w:rPr>
          <w:sz w:val="20"/>
          <w:szCs w:val="20"/>
          <w:color w:val="auto"/>
        </w:rPr>
      </w:pPr>
      <w:r>
        <w:rPr>
          <w:rFonts w:ascii="Arial" w:cs="Arial" w:eastAsia="Arial" w:hAnsi="Arial"/>
          <w:sz w:val="17"/>
          <w:szCs w:val="17"/>
          <w:color w:val="auto"/>
        </w:rPr>
        <w:t>The Replacement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73" w:lineRule="exact"/>
        <w:rPr>
          <w:sz w:val="20"/>
          <w:szCs w:val="20"/>
          <w:color w:val="auto"/>
        </w:rPr>
      </w:pPr>
    </w:p>
    <w:p>
      <w:pPr>
        <w:jc w:val="both"/>
        <w:ind w:right="180" w:firstLine="648"/>
        <w:spacing w:after="0" w:line="264" w:lineRule="auto"/>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The Replacement Facility is secured by substantially all of the assets of the Company (other than assets held by our SBIC subsidiary)</w:t>
      </w:r>
      <w:r>
        <w:rPr>
          <w:rFonts w:ascii="Arial" w:cs="Arial" w:eastAsia="Arial" w:hAnsi="Arial"/>
          <w:sz w:val="18"/>
          <w:szCs w:val="18"/>
          <w:i w:val="1"/>
          <w:iCs w:val="1"/>
          <w:color w:val="auto"/>
        </w:rPr>
        <w:t xml:space="preserve"> </w:t>
      </w:r>
      <w:r>
        <w:rPr>
          <w:rFonts w:ascii="Arial" w:cs="Arial" w:eastAsia="Arial" w:hAnsi="Arial"/>
          <w:sz w:val="18"/>
          <w:szCs w:val="18"/>
          <w:color w:val="auto"/>
        </w:rPr>
        <w:t>and includes the subordinated notes (“CLO Notes”) issued by Saratoga CLO and the Company’s rights under the CLO Management Agreement (as defined below).</w:t>
      </w:r>
    </w:p>
    <w:p>
      <w:pPr>
        <w:spacing w:after="0" w:line="181"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i w:val="1"/>
          <w:iCs w:val="1"/>
          <w:color w:val="auto"/>
        </w:rPr>
        <w:t xml:space="preserve">Interest Rate and Fees. </w:t>
      </w:r>
      <w:r>
        <w:rPr>
          <w:rFonts w:ascii="Arial" w:cs="Arial" w:eastAsia="Arial" w:hAnsi="Arial"/>
          <w:sz w:val="18"/>
          <w:szCs w:val="18"/>
          <w:color w:val="auto"/>
        </w:rPr>
        <w:t>Under the Replacement Facility, funds are borrowed from or through certain lenders at the greater of the prevailing LIBOR</w:t>
      </w:r>
      <w:r>
        <w:rPr>
          <w:rFonts w:ascii="Arial" w:cs="Arial" w:eastAsia="Arial" w:hAnsi="Arial"/>
          <w:sz w:val="18"/>
          <w:szCs w:val="18"/>
          <w:i w:val="1"/>
          <w:iCs w:val="1"/>
          <w:color w:val="auto"/>
        </w:rPr>
        <w:t xml:space="preserve"> </w:t>
      </w:r>
      <w:r>
        <w:rPr>
          <w:rFonts w:ascii="Arial" w:cs="Arial" w:eastAsia="Arial" w:hAnsi="Arial"/>
          <w:sz w:val="18"/>
          <w:szCs w:val="18"/>
          <w:color w:val="auto"/>
        </w:rPr>
        <w:t>rate and 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 0.75% per year on the unused amount of the Replacement Facility for the duration of the Revolving Period (defined below). Accrued interest and commitment fees are payable monthly. The Company was also obligated to pay certain other fees to the lenders in connection with the closing of the Replacement Facility.</w:t>
      </w:r>
    </w:p>
    <w:p>
      <w:pPr>
        <w:spacing w:after="0" w:line="193"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Replacement Facility for a period of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closing of the Replacement Facility (the “Revolving Period”). The Revolving Period may be terminated at an earlier time by the Company or, upon the occurrence of an event of default, by action of the lenders or automatically. All borrowings and other amounts payable under the Replacement Facility are due and payable in full five years after the end of the Revolving Period.</w:t>
      </w:r>
    </w:p>
    <w:p>
      <w:pPr>
        <w:spacing w:after="0" w:line="187"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i w:val="1"/>
          <w:iCs w:val="1"/>
          <w:color w:val="auto"/>
        </w:rPr>
        <w:t xml:space="preserve">Collateral Tests. </w:t>
      </w:r>
      <w:r>
        <w:rPr>
          <w:rFonts w:ascii="Arial" w:cs="Arial" w:eastAsia="Arial" w:hAnsi="Arial"/>
          <w:sz w:val="18"/>
          <w:szCs w:val="18"/>
          <w:color w:val="auto"/>
        </w:rPr>
        <w:t>It is a condition precedent to any borrowing under the Replacement Facility that the principal amount outstanding under the</w:t>
      </w:r>
      <w:r>
        <w:rPr>
          <w:rFonts w:ascii="Arial" w:cs="Arial" w:eastAsia="Arial" w:hAnsi="Arial"/>
          <w:sz w:val="18"/>
          <w:szCs w:val="18"/>
          <w:i w:val="1"/>
          <w:iCs w:val="1"/>
          <w:color w:val="auto"/>
        </w:rPr>
        <w:t xml:space="preserve"> </w:t>
      </w:r>
      <w:r>
        <w:rPr>
          <w:rFonts w:ascii="Arial" w:cs="Arial" w:eastAsia="Arial" w:hAnsi="Arial"/>
          <w:sz w:val="18"/>
          <w:szCs w:val="18"/>
          <w:color w:val="auto"/>
        </w:rPr>
        <w:t>Replacement Facility, 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187" w:lineRule="exact"/>
        <w:rPr>
          <w:sz w:val="20"/>
          <w:szCs w:val="20"/>
          <w:color w:val="auto"/>
        </w:rPr>
      </w:pPr>
    </w:p>
    <w:p>
      <w:pPr>
        <w:ind w:left="980" w:right="100" w:hanging="324"/>
        <w:spacing w:after="0" w:line="264" w:lineRule="auto"/>
        <w:tabs>
          <w:tab w:leader="none" w:pos="944" w:val="left"/>
        </w:tabs>
        <w:numPr>
          <w:ilvl w:val="0"/>
          <w:numId w:val="32"/>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Replacement Facility, to accrued interest and commitment fees and any breakage costs payable to the lenders under the Replacement Facility for the last 6 payment periods must equal at least 175.0%.</w:t>
      </w:r>
    </w:p>
    <w:p>
      <w:pPr>
        <w:spacing w:after="0" w:line="181" w:lineRule="exact"/>
        <w:rPr>
          <w:rFonts w:ascii="Arial" w:cs="Arial" w:eastAsia="Arial" w:hAnsi="Arial"/>
          <w:sz w:val="18"/>
          <w:szCs w:val="18"/>
          <w:color w:val="auto"/>
        </w:rPr>
      </w:pPr>
    </w:p>
    <w:p>
      <w:pPr>
        <w:ind w:left="980" w:right="120" w:hanging="324"/>
        <w:spacing w:after="0" w:line="286" w:lineRule="auto"/>
        <w:tabs>
          <w:tab w:leader="none" w:pos="944"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Replacement Facility plus the Unfunded Exposure Amount must equal at least 200.0%.</w:t>
      </w:r>
    </w:p>
    <w:p>
      <w:pPr>
        <w:spacing w:after="0" w:line="165" w:lineRule="exact"/>
        <w:rPr>
          <w:rFonts w:ascii="Arial" w:cs="Arial" w:eastAsia="Arial" w:hAnsi="Arial"/>
          <w:sz w:val="17"/>
          <w:szCs w:val="17"/>
          <w:color w:val="auto"/>
        </w:rPr>
      </w:pPr>
    </w:p>
    <w:p>
      <w:pPr>
        <w:ind w:left="980" w:right="240" w:hanging="324"/>
        <w:spacing w:after="0" w:line="286" w:lineRule="auto"/>
        <w:tabs>
          <w:tab w:leader="none" w:pos="944" w:val="left"/>
        </w:tabs>
        <w:numPr>
          <w:ilvl w:val="0"/>
          <w:numId w:val="32"/>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Replacement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Replacement Facility require, after payment of</w:t>
      </w:r>
      <w:r>
        <w:rPr>
          <w:rFonts w:ascii="Arial" w:cs="Arial" w:eastAsia="Arial" w:hAnsi="Arial"/>
          <w:sz w:val="17"/>
          <w:szCs w:val="17"/>
          <w:i w:val="1"/>
          <w:iCs w:val="1"/>
          <w:color w:val="auto"/>
        </w:rPr>
        <w:t xml:space="preserve"> </w:t>
      </w:r>
      <w:r>
        <w:rPr>
          <w:rFonts w:ascii="Arial" w:cs="Arial" w:eastAsia="Arial" w:hAnsi="Arial"/>
          <w:sz w:val="17"/>
          <w:szCs w:val="17"/>
          <w:color w:val="auto"/>
        </w:rPr>
        <w:t>specified fees 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48"/>
        <w:spacing w:after="0" w:line="293" w:lineRule="auto"/>
        <w:rPr>
          <w:sz w:val="20"/>
          <w:szCs w:val="20"/>
          <w:color w:val="auto"/>
        </w:rPr>
      </w:pPr>
      <w:r>
        <w:rPr>
          <w:rFonts w:ascii="Arial" w:cs="Arial" w:eastAsia="Arial" w:hAnsi="Arial"/>
          <w:sz w:val="16"/>
          <w:szCs w:val="16"/>
          <w:i w:val="1"/>
          <w:iCs w:val="1"/>
          <w:color w:val="auto"/>
        </w:rPr>
        <w:t xml:space="preserve">Reserve Account. </w:t>
      </w:r>
      <w:r>
        <w:rPr>
          <w:rFonts w:ascii="Arial" w:cs="Arial" w:eastAsia="Arial" w:hAnsi="Arial"/>
          <w:sz w:val="16"/>
          <w:szCs w:val="16"/>
          <w:color w:val="auto"/>
        </w:rPr>
        <w:t>The Replacement Facility requires the Company to set aside an amount equal to the sum of accrued interest, commitment fees and</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65"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i w:val="1"/>
          <w:iCs w:val="1"/>
          <w:color w:val="auto"/>
        </w:rPr>
        <w:t xml:space="preserve">Unfunded Exposure Account. </w:t>
      </w:r>
      <w:r>
        <w:rPr>
          <w:rFonts w:ascii="Arial" w:cs="Arial" w:eastAsia="Arial" w:hAnsi="Arial"/>
          <w:sz w:val="16"/>
          <w:szCs w:val="16"/>
          <w:color w:val="auto"/>
        </w:rPr>
        <w:t>With respect to revolver or delayed draw loan assets, the Company is required to set aside in a designated account (the</w:t>
      </w:r>
      <w:r>
        <w:rPr>
          <w:rFonts w:ascii="Arial" w:cs="Arial" w:eastAsia="Arial" w:hAnsi="Arial"/>
          <w:sz w:val="16"/>
          <w:szCs w:val="16"/>
          <w:i w:val="1"/>
          <w:iCs w:val="1"/>
          <w:color w:val="auto"/>
        </w:rPr>
        <w:t xml:space="preserve"> </w:t>
      </w:r>
      <w:r>
        <w:rPr>
          <w:rFonts w:ascii="Arial" w:cs="Arial" w:eastAsia="Arial" w:hAnsi="Arial"/>
          <w:sz w:val="16"/>
          <w:szCs w:val="16"/>
          <w:color w:val="auto"/>
        </w:rPr>
        <w:t>“Unfunded Exposure Account”) 100.0% of its outstanding and undrawn funding commitments with respect to such loan assets. The Unfunded Exposure</w:t>
      </w:r>
    </w:p>
    <w:p>
      <w:pPr>
        <w:sectPr>
          <w:pgSz w:w="11900" w:h="16975" w:orient="portrait"/>
          <w:cols w:equalWidth="0" w:num="1">
            <w:col w:w="11400"/>
          </w:cols>
          <w:pgMar w:left="240" w:top="125" w:right="259" w:bottom="0" w:gutter="0" w:footer="0" w:header="0"/>
        </w:sectPr>
      </w:pPr>
    </w:p>
    <w:bookmarkStart w:id="35" w:name="page36"/>
    <w:bookmarkEnd w:id="35"/>
    <w:p>
      <w:pPr>
        <w:spacing w:after="0" w:line="22" w:lineRule="exact"/>
        <w:rPr>
          <w:sz w:val="20"/>
          <w:szCs w:val="20"/>
          <w:color w:val="auto"/>
        </w:rPr>
      </w:pPr>
    </w:p>
    <w:p>
      <w:pPr>
        <w:jc w:val="both"/>
        <w:ind w:right="160"/>
        <w:spacing w:after="0" w:line="286" w:lineRule="auto"/>
        <w:rPr>
          <w:sz w:val="20"/>
          <w:szCs w:val="20"/>
          <w:color w:val="auto"/>
        </w:rPr>
      </w:pPr>
      <w:r>
        <w:rPr>
          <w:rFonts w:ascii="Arial" w:cs="Arial" w:eastAsia="Arial" w:hAnsi="Arial"/>
          <w:sz w:val="17"/>
          <w:szCs w:val="17"/>
          <w:color w:val="auto"/>
        </w:rPr>
        <w:t>Account is funded at the time the Company acquires a revolver or delayed draw loan asset and requests a related borrowing under the Replacement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66"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Replacement Facility provides for the payment of certain operating expenses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out of collections on principal and interest during the Revolving Period and out of collections on interest following the termination of the Revolving Period in accordance with the priority established in such provision. The operating expenses payable pursuant to the priority of payment provisions is limited to $350,000 for each monthly payment date or $2.5 million for the immediately preceding period of twelve consecutive monthly payment dates. This ceiling can be increased by the lesser of 5.0% or the percentage increase in the fair market value of all the Company’s assets only on the first monthly payment date to occur after each one-year anniversary following the closing of the Replacement Facility. Upon the occurrence of a Manager Event (described below), the consent of the administrative agent is required in order to pay operating expenses through the priority of payments provision.</w:t>
      </w:r>
    </w:p>
    <w:p>
      <w:pPr>
        <w:spacing w:after="0" w:line="167" w:lineRule="exact"/>
        <w:rPr>
          <w:sz w:val="20"/>
          <w:szCs w:val="20"/>
          <w:color w:val="auto"/>
        </w:rPr>
      </w:pPr>
    </w:p>
    <w:p>
      <w:pPr>
        <w:ind w:right="20" w:firstLine="648"/>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Replacement Facility contains certain negative covenants, customary representations and warranties and affirmative</w:t>
      </w:r>
      <w:r>
        <w:rPr>
          <w:rFonts w:ascii="Arial" w:cs="Arial" w:eastAsia="Arial" w:hAnsi="Arial"/>
          <w:sz w:val="17"/>
          <w:szCs w:val="17"/>
          <w:i w:val="1"/>
          <w:iCs w:val="1"/>
          <w:color w:val="auto"/>
        </w:rPr>
        <w:t xml:space="preserve"> </w:t>
      </w:r>
      <w:r>
        <w:rPr>
          <w:rFonts w:ascii="Arial" w:cs="Arial" w:eastAsia="Arial" w:hAnsi="Arial"/>
          <w:sz w:val="17"/>
          <w:szCs w:val="17"/>
          <w:color w:val="auto"/>
        </w:rPr>
        <w:t>covenants and events of default. The Replacement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Replacement Facility include, among other things, the following:</w:t>
      </w:r>
    </w:p>
    <w:p>
      <w:pPr>
        <w:spacing w:after="0" w:line="171" w:lineRule="exact"/>
        <w:rPr>
          <w:sz w:val="20"/>
          <w:szCs w:val="20"/>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225" w:lineRule="exact"/>
        <w:rPr>
          <w:rFonts w:ascii="Arial" w:cs="Arial" w:eastAsia="Arial" w:hAnsi="Arial"/>
          <w:sz w:val="18"/>
          <w:szCs w:val="18"/>
          <w:color w:val="auto"/>
        </w:rPr>
      </w:pPr>
    </w:p>
    <w:p>
      <w:pPr>
        <w:ind w:left="1620" w:right="100" w:hanging="315"/>
        <w:spacing w:after="0" w:line="308" w:lineRule="auto"/>
        <w:tabs>
          <w:tab w:leader="none" w:pos="1584" w:val="left"/>
        </w:tabs>
        <w:numPr>
          <w:ilvl w:val="1"/>
          <w:numId w:val="33"/>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146" w:lineRule="exact"/>
        <w:rPr>
          <w:rFonts w:ascii="Arial" w:cs="Arial" w:eastAsia="Arial" w:hAnsi="Arial"/>
          <w:sz w:val="17"/>
          <w:szCs w:val="17"/>
          <w:color w:val="auto"/>
        </w:rPr>
      </w:pPr>
    </w:p>
    <w:p>
      <w:pPr>
        <w:ind w:left="1600" w:hanging="295"/>
        <w:spacing w:after="0"/>
        <w:tabs>
          <w:tab w:leader="none" w:pos="1600" w:val="left"/>
        </w:tabs>
        <w:numPr>
          <w:ilvl w:val="1"/>
          <w:numId w:val="33"/>
        </w:numPr>
        <w:rPr>
          <w:rFonts w:ascii="Arial" w:cs="Arial" w:eastAsia="Arial" w:hAnsi="Arial"/>
          <w:sz w:val="17"/>
          <w:szCs w:val="17"/>
          <w:color w:val="auto"/>
        </w:rPr>
      </w:pPr>
      <w:r>
        <w:rPr>
          <w:rFonts w:ascii="Arial" w:cs="Arial" w:eastAsia="Arial" w:hAnsi="Arial"/>
          <w:sz w:val="17"/>
          <w:szCs w:val="17"/>
          <w:color w:val="auto"/>
        </w:rPr>
        <w:t>failure of the management agreement between Saratoga Investment Advisors and the Company to be in full force and effect;</w:t>
      </w:r>
    </w:p>
    <w:p>
      <w:pPr>
        <w:spacing w:after="0" w:line="236" w:lineRule="exact"/>
        <w:rPr>
          <w:rFonts w:ascii="Arial" w:cs="Arial" w:eastAsia="Arial" w:hAnsi="Arial"/>
          <w:sz w:val="17"/>
          <w:szCs w:val="17"/>
          <w:color w:val="auto"/>
        </w:rPr>
      </w:pPr>
    </w:p>
    <w:p>
      <w:pPr>
        <w:ind w:left="1620" w:right="40" w:hanging="315"/>
        <w:spacing w:after="0" w:line="312" w:lineRule="auto"/>
        <w:tabs>
          <w:tab w:leader="none" w:pos="1584" w:val="left"/>
        </w:tabs>
        <w:numPr>
          <w:ilvl w:val="1"/>
          <w:numId w:val="33"/>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146" w:lineRule="exact"/>
        <w:rPr>
          <w:rFonts w:ascii="Arial" w:cs="Arial" w:eastAsia="Arial" w:hAnsi="Arial"/>
          <w:sz w:val="16"/>
          <w:szCs w:val="16"/>
          <w:color w:val="auto"/>
        </w:rPr>
      </w:pPr>
    </w:p>
    <w:p>
      <w:pPr>
        <w:ind w:left="1620" w:right="120" w:hanging="315"/>
        <w:spacing w:after="0" w:line="264" w:lineRule="auto"/>
        <w:tabs>
          <w:tab w:leader="none" w:pos="15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181" w:lineRule="exact"/>
        <w:rPr>
          <w:rFonts w:ascii="Arial" w:cs="Arial" w:eastAsia="Arial" w:hAnsi="Arial"/>
          <w:sz w:val="18"/>
          <w:szCs w:val="18"/>
          <w:color w:val="auto"/>
        </w:rPr>
      </w:pPr>
    </w:p>
    <w:p>
      <w:pPr>
        <w:ind w:left="1620" w:right="240" w:hanging="315"/>
        <w:spacing w:after="0" w:line="277" w:lineRule="auto"/>
        <w:tabs>
          <w:tab w:leader="none" w:pos="1584" w:val="left"/>
        </w:tabs>
        <w:numPr>
          <w:ilvl w:val="1"/>
          <w:numId w:val="33"/>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20" w:right="180"/>
        <w:spacing w:after="0" w:line="277" w:lineRule="auto"/>
        <w:rPr>
          <w:sz w:val="20"/>
          <w:szCs w:val="20"/>
          <w:color w:val="auto"/>
        </w:rPr>
      </w:pPr>
      <w:r>
        <w:rPr>
          <w:rFonts w:ascii="Arial" w:cs="Arial" w:eastAsia="Arial" w:hAnsi="Arial"/>
          <w:sz w:val="18"/>
          <w:szCs w:val="18"/>
          <w:color w:val="auto"/>
        </w:rPr>
        <w:t>the CLO Management Agreement with respect to the removal of the Company as collateral manager or the Company ceases to act as collateral manager under the CLO Management Agreement.</w:t>
      </w:r>
    </w:p>
    <w:p>
      <w:pPr>
        <w:spacing w:after="0" w:line="170"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Replacement Facility imposes certain additional conditions to the acquisition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pledge of 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Replacement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225" w:lineRule="exact"/>
        <w:rPr>
          <w:sz w:val="20"/>
          <w:szCs w:val="20"/>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extend the Revolving Period from July 30, 2013 to February 24, 2015; and</w:t>
      </w:r>
    </w:p>
    <w:p>
      <w:pPr>
        <w:spacing w:after="0" w:line="225" w:lineRule="exact"/>
        <w:rPr>
          <w:rFonts w:ascii="Arial" w:cs="Arial" w:eastAsia="Arial" w:hAnsi="Arial"/>
          <w:sz w:val="18"/>
          <w:szCs w:val="18"/>
          <w:color w:val="auto"/>
        </w:rPr>
      </w:pPr>
    </w:p>
    <w:p>
      <w:pPr>
        <w:ind w:left="940" w:hanging="284"/>
        <w:spacing w:after="0"/>
        <w:tabs>
          <w:tab w:leader="none" w:pos="9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right="900" w:firstLine="648"/>
        <w:spacing w:after="0" w:line="277" w:lineRule="auto"/>
        <w:rPr>
          <w:sz w:val="20"/>
          <w:szCs w:val="20"/>
          <w:color w:val="auto"/>
        </w:rPr>
      </w:pPr>
      <w:r>
        <w:rPr>
          <w:rFonts w:ascii="Arial" w:cs="Arial" w:eastAsia="Arial" w:hAnsi="Arial"/>
          <w:sz w:val="18"/>
          <w:szCs w:val="18"/>
          <w:color w:val="auto"/>
        </w:rPr>
        <w:t>As of November 30, 2013, we had $4.0 million of outstanding balance under the Replacement Facility and our borrowing base under the Replacement Facility was $48.2 million.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asset coverage ratio, as defined in the 1940 Act, was 312.6% as of November 30, 2013 and 547.3% as of February 28, 2013.</w:t>
      </w:r>
    </w:p>
    <w:p>
      <w:pPr>
        <w:spacing w:after="0" w:line="225" w:lineRule="exact"/>
        <w:rPr>
          <w:sz w:val="20"/>
          <w:szCs w:val="20"/>
          <w:color w:val="auto"/>
        </w:rPr>
      </w:pPr>
    </w:p>
    <w:p>
      <w:pPr>
        <w:ind w:right="60" w:firstLine="648"/>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ectPr>
          <w:pgSz w:w="11900" w:h="16860" w:orient="portrait"/>
          <w:cols w:equalWidth="0" w:num="1">
            <w:col w:w="11400"/>
          </w:cols>
          <w:pgMar w:left="240" w:top="125" w:right="259" w:bottom="0" w:gutter="0" w:footer="0" w:header="0"/>
        </w:sectPr>
      </w:pPr>
    </w:p>
    <w:bookmarkStart w:id="36" w:name="page37"/>
    <w:bookmarkEnd w:id="36"/>
    <w:p>
      <w:pPr>
        <w:ind w:right="220" w:firstLine="648"/>
        <w:spacing w:after="0" w:line="279" w:lineRule="auto"/>
        <w:rPr>
          <w:sz w:val="20"/>
          <w:szCs w:val="20"/>
          <w:color w:val="auto"/>
        </w:rPr>
      </w:pPr>
      <w:r>
        <w:rPr>
          <w:rFonts w:ascii="Arial" w:cs="Arial" w:eastAsia="Arial" w:hAnsi="Arial"/>
          <w:sz w:val="17"/>
          <w:szCs w:val="17"/>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71" w:lineRule="exact"/>
        <w:rPr>
          <w:sz w:val="20"/>
          <w:szCs w:val="20"/>
          <w:color w:val="auto"/>
        </w:rPr>
      </w:pPr>
    </w:p>
    <w:p>
      <w:pPr>
        <w:ind w:right="160" w:firstLine="648"/>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 million when it has at least $75 million in regulatory capital, receives a capital commitment from the SBA and has been through an examination by the SBA subsequent to licensing. As of November 30, 2013, our SBIC subsidiary had $32 million in regulatory capital and $40.0 million SBA-guaranteed debentures outstanding.</w:t>
      </w:r>
    </w:p>
    <w:p>
      <w:pPr>
        <w:spacing w:after="0" w:line="166" w:lineRule="exact"/>
        <w:rPr>
          <w:sz w:val="20"/>
          <w:szCs w:val="20"/>
          <w:color w:val="auto"/>
        </w:rPr>
      </w:pPr>
    </w:p>
    <w:p>
      <w:pPr>
        <w:jc w:val="both"/>
        <w:ind w:right="60" w:firstLine="648"/>
        <w:spacing w:after="0" w:line="312" w:lineRule="auto"/>
        <w:rPr>
          <w:sz w:val="20"/>
          <w:szCs w:val="20"/>
          <w:color w:val="auto"/>
        </w:rPr>
      </w:pPr>
      <w:r>
        <w:rPr>
          <w:rFonts w:ascii="Arial" w:cs="Arial" w:eastAsia="Arial" w:hAnsi="Arial"/>
          <w:sz w:val="16"/>
          <w:szCs w:val="16"/>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 million more than we would otherwise be able to absent the receipt of this exemptive relief.</w:t>
      </w:r>
    </w:p>
    <w:p>
      <w:pPr>
        <w:spacing w:after="0" w:line="147"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100" w:right="160" w:hanging="327"/>
        <w:spacing w:after="0" w:line="259" w:lineRule="auto"/>
        <w:tabs>
          <w:tab w:leader="none" w:pos="1064"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186" w:lineRule="exact"/>
        <w:rPr>
          <w:rFonts w:ascii="Arial" w:cs="Arial" w:eastAsia="Arial" w:hAnsi="Arial"/>
          <w:sz w:val="18"/>
          <w:szCs w:val="18"/>
          <w:color w:val="auto"/>
        </w:rPr>
      </w:pPr>
    </w:p>
    <w:p>
      <w:pPr>
        <w:ind w:left="1100" w:right="60" w:hanging="327"/>
        <w:spacing w:after="0" w:line="271" w:lineRule="auto"/>
        <w:tabs>
          <w:tab w:leader="none" w:pos="1064" w:val="left"/>
        </w:tabs>
        <w:numPr>
          <w:ilvl w:val="0"/>
          <w:numId w:val="35"/>
        </w:numPr>
        <w:rPr>
          <w:rFonts w:ascii="Arial" w:cs="Arial" w:eastAsia="Arial" w:hAnsi="Arial"/>
          <w:sz w:val="17"/>
          <w:szCs w:val="17"/>
          <w:color w:val="auto"/>
        </w:rPr>
      </w:pPr>
      <w:r>
        <w:rPr>
          <w:rFonts w:ascii="Arial" w:cs="Arial" w:eastAsia="Arial" w:hAnsi="Arial"/>
          <w:sz w:val="17"/>
          <w:szCs w:val="17"/>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November 30, 2013:</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3"/>
          </w:tcPr>
          <w:p>
            <w:pPr>
              <w:jc w:val="right"/>
              <w:ind w:right="208"/>
              <w:spacing w:after="0"/>
              <w:rPr>
                <w:sz w:val="20"/>
                <w:szCs w:val="20"/>
                <w:color w:val="auto"/>
              </w:rPr>
            </w:pPr>
            <w:r>
              <w:rPr>
                <w:rFonts w:ascii="Arial" w:cs="Arial" w:eastAsia="Arial" w:hAnsi="Arial"/>
                <w:sz w:val="14"/>
                <w:szCs w:val="14"/>
                <w:b w:val="1"/>
                <w:bCs w:val="1"/>
                <w:color w:val="auto"/>
              </w:rPr>
              <w:t>Payment Due by Period</w:t>
            </w:r>
          </w:p>
        </w:tc>
        <w:tc>
          <w:tcPr>
            <w:tcW w:w="2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5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0"/>
                <w:szCs w:val="10"/>
                <w:color w:val="auto"/>
              </w:rPr>
            </w:pPr>
          </w:p>
        </w:tc>
        <w:tc>
          <w:tcPr>
            <w:tcW w:w="1260" w:type="dxa"/>
            <w:vAlign w:val="bottom"/>
            <w:gridSpan w:val="2"/>
          </w:tcPr>
          <w:p>
            <w:pPr>
              <w:jc w:val="center"/>
              <w:ind w:right="460"/>
              <w:spacing w:after="0" w:line="119" w:lineRule="exact"/>
              <w:rPr>
                <w:sz w:val="20"/>
                <w:szCs w:val="20"/>
                <w:color w:val="auto"/>
              </w:rPr>
            </w:pPr>
            <w:r>
              <w:rPr>
                <w:rFonts w:ascii="Arial" w:cs="Arial" w:eastAsia="Arial" w:hAnsi="Arial"/>
                <w:sz w:val="13"/>
                <w:szCs w:val="13"/>
                <w:b w:val="1"/>
                <w:bCs w:val="1"/>
                <w:color w:val="auto"/>
                <w:w w:val="99"/>
              </w:rPr>
              <w:t>Less Than</w:t>
            </w:r>
          </w:p>
        </w:tc>
        <w:tc>
          <w:tcPr>
            <w:tcW w:w="260" w:type="dxa"/>
            <w:vAlign w:val="bottom"/>
          </w:tcPr>
          <w:p>
            <w:pPr>
              <w:spacing w:after="0"/>
              <w:rPr>
                <w:sz w:val="10"/>
                <w:szCs w:val="10"/>
                <w:color w:val="auto"/>
              </w:rPr>
            </w:pPr>
          </w:p>
        </w:tc>
        <w:tc>
          <w:tcPr>
            <w:tcW w:w="880" w:type="dxa"/>
            <w:vAlign w:val="bottom"/>
          </w:tcPr>
          <w:p>
            <w:pPr>
              <w:jc w:val="right"/>
              <w:ind w:right="365"/>
              <w:spacing w:after="0" w:line="119" w:lineRule="exact"/>
              <w:rPr>
                <w:sz w:val="20"/>
                <w:szCs w:val="20"/>
                <w:color w:val="auto"/>
              </w:rPr>
            </w:pPr>
            <w:r>
              <w:rPr>
                <w:rFonts w:ascii="Arial" w:cs="Arial" w:eastAsia="Arial" w:hAnsi="Arial"/>
                <w:sz w:val="13"/>
                <w:szCs w:val="13"/>
                <w:b w:val="1"/>
                <w:bCs w:val="1"/>
                <w:color w:val="auto"/>
              </w:rPr>
              <w:t>1 - 3</w:t>
            </w:r>
          </w:p>
        </w:tc>
        <w:tc>
          <w:tcPr>
            <w:tcW w:w="1120" w:type="dxa"/>
            <w:vAlign w:val="bottom"/>
            <w:gridSpan w:val="2"/>
          </w:tcPr>
          <w:p>
            <w:pPr>
              <w:jc w:val="right"/>
              <w:ind w:right="68"/>
              <w:spacing w:after="0" w:line="119" w:lineRule="exact"/>
              <w:rPr>
                <w:sz w:val="20"/>
                <w:szCs w:val="20"/>
                <w:color w:val="auto"/>
              </w:rPr>
            </w:pPr>
            <w:r>
              <w:rPr>
                <w:rFonts w:ascii="Arial" w:cs="Arial" w:eastAsia="Arial" w:hAnsi="Arial"/>
                <w:sz w:val="13"/>
                <w:szCs w:val="13"/>
                <w:b w:val="1"/>
                <w:bCs w:val="1"/>
                <w:color w:val="auto"/>
              </w:rPr>
              <w:t>3 - 5</w:t>
            </w:r>
          </w:p>
        </w:tc>
        <w:tc>
          <w:tcPr>
            <w:tcW w:w="2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tcPr>
          <w:p>
            <w:pPr>
              <w:jc w:val="center"/>
              <w:ind w:right="84"/>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5"/>
              </w:rPr>
              <w:t>1 Year</w:t>
            </w:r>
          </w:p>
        </w:tc>
        <w:tc>
          <w:tcPr>
            <w:tcW w:w="260" w:type="dxa"/>
            <w:vAlign w:val="bottom"/>
          </w:tcPr>
          <w:p>
            <w:pPr>
              <w:spacing w:after="0"/>
              <w:rPr>
                <w:sz w:val="14"/>
                <w:szCs w:val="14"/>
                <w:color w:val="auto"/>
              </w:rPr>
            </w:pPr>
          </w:p>
        </w:tc>
        <w:tc>
          <w:tcPr>
            <w:tcW w:w="880" w:type="dxa"/>
            <w:vAlign w:val="bottom"/>
          </w:tcPr>
          <w:p>
            <w:pPr>
              <w:jc w:val="center"/>
              <w:ind w:right="185"/>
              <w:spacing w:after="0"/>
              <w:rPr>
                <w:sz w:val="20"/>
                <w:szCs w:val="20"/>
                <w:color w:val="auto"/>
              </w:rPr>
            </w:pPr>
            <w:r>
              <w:rPr>
                <w:rFonts w:ascii="Arial" w:cs="Arial" w:eastAsia="Arial" w:hAnsi="Arial"/>
                <w:sz w:val="14"/>
                <w:szCs w:val="14"/>
                <w:b w:val="1"/>
                <w:bCs w:val="1"/>
                <w:color w:val="auto"/>
                <w:w w:val="89"/>
              </w:rPr>
              <w:t>Years</w:t>
            </w:r>
          </w:p>
        </w:tc>
        <w:tc>
          <w:tcPr>
            <w:tcW w:w="280" w:type="dxa"/>
            <w:vAlign w:val="bottom"/>
          </w:tcPr>
          <w:p>
            <w:pPr>
              <w:spacing w:after="0"/>
              <w:rPr>
                <w:sz w:val="14"/>
                <w:szCs w:val="14"/>
                <w:color w:val="auto"/>
              </w:rPr>
            </w:pPr>
          </w:p>
        </w:tc>
        <w:tc>
          <w:tcPr>
            <w:tcW w:w="840" w:type="dxa"/>
            <w:vAlign w:val="bottom"/>
          </w:tcPr>
          <w:p>
            <w:pPr>
              <w:jc w:val="center"/>
              <w:ind w:left="228"/>
              <w:spacing w:after="0"/>
              <w:rPr>
                <w:sz w:val="20"/>
                <w:szCs w:val="20"/>
                <w:color w:val="auto"/>
              </w:rPr>
            </w:pPr>
            <w:r>
              <w:rPr>
                <w:rFonts w:ascii="Arial" w:cs="Arial" w:eastAsia="Arial" w:hAnsi="Arial"/>
                <w:sz w:val="14"/>
                <w:szCs w:val="14"/>
                <w:b w:val="1"/>
                <w:bCs w:val="1"/>
                <w:color w:val="auto"/>
                <w:w w:val="89"/>
              </w:rPr>
              <w:t>Years</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5 Years</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center"/>
              <w:ind w:right="82"/>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5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92,300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20" w:type="dxa"/>
            <w:vAlign w:val="bottom"/>
            <w:gridSpan w:val="2"/>
            <w:shd w:val="clear" w:color="auto" w:fill="CCEEFF"/>
          </w:tcPr>
          <w:p>
            <w:pPr>
              <w:jc w:val="right"/>
              <w:ind w:right="668"/>
              <w:spacing w:after="0"/>
              <w:rPr>
                <w:sz w:val="20"/>
                <w:szCs w:val="20"/>
                <w:color w:val="auto"/>
              </w:rPr>
            </w:pPr>
            <w:r>
              <w:rPr>
                <w:rFonts w:ascii="Arial" w:cs="Arial" w:eastAsia="Arial" w:hAnsi="Arial"/>
                <w:sz w:val="18"/>
                <w:szCs w:val="18"/>
                <w:color w:val="auto"/>
              </w:rPr>
              <w:t>$</w:t>
            </w:r>
          </w:p>
        </w:tc>
        <w:tc>
          <w:tcPr>
            <w:tcW w:w="5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88,300</w:t>
            </w: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40" w:firstLine="648"/>
        <w:spacing w:after="0" w:line="264" w:lineRule="auto"/>
        <w:rPr>
          <w:sz w:val="20"/>
          <w:szCs w:val="20"/>
          <w:color w:val="auto"/>
        </w:rPr>
      </w:pPr>
      <w:r>
        <w:rPr>
          <w:rFonts w:ascii="Arial" w:cs="Arial" w:eastAsia="Arial" w:hAnsi="Arial"/>
          <w:sz w:val="18"/>
          <w:szCs w:val="18"/>
          <w:color w:val="auto"/>
        </w:rPr>
        <w:t>At November 30, 2013 and February 28, 2013, we did not have any off-balance sheet arrangements that have or are reasonably likely to have a current or future effect on our financial condition, changes in financial condition, revenues or expenses, results of operations, liquidity, capital expenditures or capital resources that are material to investors.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Our market risks have not changed materially from the risks reported in our Form 10-K for the year ended February 28, 2013.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660" w:right="60" w:hanging="652"/>
        <w:spacing w:after="0" w:line="255" w:lineRule="auto"/>
        <w:tabs>
          <w:tab w:leader="none" w:pos="657" w:val="left"/>
        </w:tabs>
        <w:numPr>
          <w:ilvl w:val="0"/>
          <w:numId w:val="36"/>
        </w:numPr>
        <w:rPr>
          <w:rFonts w:ascii="Arial" w:cs="Arial" w:eastAsia="Arial" w:hAnsi="Arial"/>
          <w:sz w:val="18"/>
          <w:szCs w:val="18"/>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ectPr>
          <w:pgSz w:w="11900" w:h="16838" w:orient="portrait"/>
          <w:cols w:equalWidth="0" w:num="1">
            <w:col w:w="11420"/>
          </w:cols>
          <w:pgMar w:left="240" w:top="341" w:right="239" w:bottom="0" w:gutter="0" w:footer="0" w:header="0"/>
        </w:sectPr>
      </w:pPr>
    </w:p>
    <w:bookmarkStart w:id="37" w:name="page38"/>
    <w:bookmarkEnd w:id="37"/>
    <w:p>
      <w:pPr>
        <w:ind w:left="660" w:right="380" w:hanging="652"/>
        <w:spacing w:after="0" w:line="277" w:lineRule="auto"/>
        <w:tabs>
          <w:tab w:leader="none" w:pos="66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There have been no changes in our internal control over financial reporting that occurred during the quarter ended November 30, 2013 that have materially affected, or are reasonably likely to materially affect, our internal control over financial reporting.</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 OTHER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 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an investment advisory and management agreement with us, and that the termination of the investment advisory and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82"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20" w:firstLine="648"/>
        <w:spacing w:after="0" w:line="277" w:lineRule="auto"/>
        <w:rPr>
          <w:sz w:val="20"/>
          <w:szCs w:val="20"/>
          <w:color w:val="auto"/>
        </w:rPr>
      </w:pPr>
      <w:r>
        <w:rPr>
          <w:rFonts w:ascii="Arial" w:cs="Arial" w:eastAsia="Arial" w:hAnsi="Arial"/>
          <w:sz w:val="18"/>
          <w:szCs w:val="18"/>
          <w:color w:val="auto"/>
        </w:rPr>
        <w:t>Other than as set forth below, there have been no material changes from the risk factors set forth in our annual report on Form 10-K for the year ended February 28, 2013.</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Our independent auditors have not assessed our internal control over financial reporting. If our internal control over financial reporting is not effective, it could have a material adverse effect on our stock price and our ability to raise capital.</w:t>
      </w:r>
    </w:p>
    <w:p>
      <w:pPr>
        <w:spacing w:after="0" w:line="170" w:lineRule="exact"/>
        <w:rPr>
          <w:sz w:val="20"/>
          <w:szCs w:val="20"/>
          <w:color w:val="auto"/>
        </w:rPr>
      </w:pPr>
    </w:p>
    <w:p>
      <w:pPr>
        <w:ind w:right="80" w:firstLine="648"/>
        <w:spacing w:after="0" w:line="289" w:lineRule="auto"/>
        <w:rPr>
          <w:sz w:val="20"/>
          <w:szCs w:val="20"/>
          <w:color w:val="auto"/>
        </w:rPr>
      </w:pPr>
      <w:r>
        <w:rPr>
          <w:rFonts w:ascii="Arial" w:cs="Arial" w:eastAsia="Arial" w:hAnsi="Arial"/>
          <w:sz w:val="16"/>
          <w:szCs w:val="16"/>
          <w:color w:val="auto"/>
        </w:rPr>
        <w:t>Because we are a “non-accelerated filer” within the meaning of Rule 12b-2 under the Securities Exchange Act of 1934, our independent auditors are not required to assess our internal control over financial reporting or to provide a report thereon. Although our management determined that our internal control over financial reporting was effective at February 28, 2013 (the last dated that such determination was required to be made by us), there can be no assurance that our independent auditors would agree with our management’s conclusion. Furthermore, if our market capitalization, excluding affiliated stockholders, at August 31 of any fiscal year is greater than $75 million, then we will be required to obtain independent auditor certification on the adequacy of our internal control over financial reporting for that fiscal year. If our internal control over financial reporting is determined in the future to not be effective, whether by our management or by our independent auditors, there could be an adverse reaction in the financial markets due to a loss of confidence in the reliability of our financial statements, which could materially adversely affect our stock price and our ability to raise capital necessary to operate our business. In addition, we may be required to incur costs in improving our internal control system and hiring additional personnel.</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Listed below are the exhibits which are filed as part of this report (according to the number assigned to them in Item 601 of Regulation S-K):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Exhibit</w:t>
            </w:r>
          </w:p>
        </w:tc>
        <w:tc>
          <w:tcPr>
            <w:tcW w:w="9720" w:type="dxa"/>
            <w:vAlign w:val="bottom"/>
            <w:vMerge w:val="restart"/>
          </w:tcPr>
          <w:p>
            <w:pPr>
              <w:ind w:left="4100"/>
              <w:spacing w:after="0"/>
              <w:rPr>
                <w:sz w:val="20"/>
                <w:szCs w:val="20"/>
                <w:color w:val="auto"/>
              </w:rPr>
            </w:pPr>
            <w:r>
              <w:rPr>
                <w:rFonts w:ascii="Arial" w:cs="Arial" w:eastAsia="Arial" w:hAnsi="Arial"/>
                <w:sz w:val="14"/>
                <w:szCs w:val="14"/>
                <w:b w:val="1"/>
                <w:bCs w:val="1"/>
                <w:color w:val="auto"/>
              </w:rPr>
              <w:t>Description of Document</w:t>
            </w:r>
          </w:p>
        </w:tc>
        <w:tc>
          <w:tcPr>
            <w:tcW w:w="0" w:type="dxa"/>
            <w:vAlign w:val="bottom"/>
          </w:tcPr>
          <w:p>
            <w:pPr>
              <w:spacing w:after="0"/>
              <w:rPr>
                <w:sz w:val="1"/>
                <w:szCs w:val="1"/>
                <w:color w:val="auto"/>
              </w:rPr>
            </w:pPr>
          </w:p>
        </w:tc>
      </w:tr>
      <w:tr>
        <w:trPr>
          <w:trHeight w:val="171"/>
        </w:trPr>
        <w:tc>
          <w:tcPr>
            <w:tcW w:w="1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Number</w:t>
            </w:r>
          </w:p>
        </w:tc>
        <w:tc>
          <w:tcPr>
            <w:tcW w:w="260" w:type="dxa"/>
            <w:vAlign w:val="bottom"/>
          </w:tcPr>
          <w:p>
            <w:pPr>
              <w:spacing w:after="0"/>
              <w:rPr>
                <w:sz w:val="14"/>
                <w:szCs w:val="14"/>
                <w:color w:val="auto"/>
              </w:rPr>
            </w:pPr>
          </w:p>
        </w:tc>
        <w:tc>
          <w:tcPr>
            <w:tcW w:w="9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31.1*</w:t>
            </w:r>
          </w:p>
        </w:tc>
        <w:tc>
          <w:tcPr>
            <w:tcW w:w="972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c>
          <w:tcPr>
            <w:tcW w:w="0" w:type="dxa"/>
            <w:vAlign w:val="bottom"/>
          </w:tcPr>
          <w:p>
            <w:pPr>
              <w:spacing w:after="0"/>
              <w:rPr>
                <w:sz w:val="1"/>
                <w:szCs w:val="1"/>
                <w:color w:val="auto"/>
              </w:rPr>
            </w:pPr>
          </w:p>
        </w:tc>
      </w:tr>
      <w:tr>
        <w:trPr>
          <w:trHeight w:val="432"/>
        </w:trPr>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31.2*</w:t>
            </w:r>
          </w:p>
        </w:tc>
        <w:tc>
          <w:tcPr>
            <w:tcW w:w="972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c>
          <w:tcPr>
            <w:tcW w:w="0" w:type="dxa"/>
            <w:vAlign w:val="bottom"/>
          </w:tcPr>
          <w:p>
            <w:pPr>
              <w:spacing w:after="0"/>
              <w:rPr>
                <w:sz w:val="1"/>
                <w:szCs w:val="1"/>
                <w:color w:val="auto"/>
              </w:rPr>
            </w:pPr>
          </w:p>
        </w:tc>
      </w:tr>
      <w:tr>
        <w:trPr>
          <w:trHeight w:val="432"/>
        </w:trPr>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32.1*</w:t>
            </w:r>
          </w:p>
        </w:tc>
        <w:tc>
          <w:tcPr>
            <w:tcW w:w="9720" w:type="dxa"/>
            <w:vAlign w:val="bottom"/>
          </w:tcPr>
          <w:p>
            <w:pPr>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 (18 U.S.C. 1350)</w:t>
            </w:r>
          </w:p>
        </w:tc>
        <w:tc>
          <w:tcPr>
            <w:tcW w:w="0" w:type="dxa"/>
            <w:vAlign w:val="bottom"/>
          </w:tcPr>
          <w:p>
            <w:pPr>
              <w:spacing w:after="0"/>
              <w:rPr>
                <w:sz w:val="1"/>
                <w:szCs w:val="1"/>
                <w:color w:val="auto"/>
              </w:rPr>
            </w:pPr>
          </w:p>
        </w:tc>
      </w:tr>
      <w:tr>
        <w:trPr>
          <w:trHeight w:val="432"/>
        </w:trPr>
        <w:tc>
          <w:tcPr>
            <w:tcW w:w="1700" w:type="dxa"/>
            <w:vAlign w:val="bottom"/>
            <w:gridSpan w:val="2"/>
          </w:tcPr>
          <w:p>
            <w:pPr>
              <w:jc w:val="right"/>
              <w:ind w:right="260"/>
              <w:spacing w:after="0"/>
              <w:rPr>
                <w:sz w:val="20"/>
                <w:szCs w:val="20"/>
                <w:color w:val="auto"/>
              </w:rPr>
            </w:pPr>
            <w:r>
              <w:rPr>
                <w:rFonts w:ascii="Arial" w:cs="Arial" w:eastAsia="Arial" w:hAnsi="Arial"/>
                <w:sz w:val="18"/>
                <w:szCs w:val="18"/>
                <w:color w:val="auto"/>
              </w:rPr>
              <w:t>32.2*</w:t>
            </w:r>
          </w:p>
        </w:tc>
        <w:tc>
          <w:tcPr>
            <w:tcW w:w="9720" w:type="dxa"/>
            <w:vAlign w:val="bottom"/>
          </w:tcPr>
          <w:p>
            <w:pPr>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 (18 U.S.C. 1350)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sectPr>
      </w:pPr>
    </w:p>
    <w:p>
      <w:pPr>
        <w:spacing w:after="0" w:line="200" w:lineRule="exact"/>
        <w:rPr>
          <w:sz w:val="20"/>
          <w:szCs w:val="20"/>
          <w:color w:val="auto"/>
        </w:rPr>
      </w:pPr>
    </w:p>
    <w:p>
      <w:pPr>
        <w:spacing w:after="0" w:line="231" w:lineRule="exact"/>
        <w:rPr>
          <w:sz w:val="20"/>
          <w:szCs w:val="20"/>
          <w:color w:val="auto"/>
        </w:rPr>
      </w:pPr>
    </w:p>
    <w:p>
      <w:pPr>
        <w:ind w:left="440" w:hanging="432"/>
        <w:spacing w:after="0"/>
        <w:tabs>
          <w:tab w:leader="none" w:pos="4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Submitted herewith.</w:t>
      </w:r>
    </w:p>
    <w:p>
      <w:pPr>
        <w:sectPr>
          <w:pgSz w:w="11900" w:h="16838" w:orient="portrait"/>
          <w:cols w:equalWidth="0" w:num="1">
            <w:col w:w="11420"/>
          </w:cols>
          <w:pgMar w:left="240" w:top="125" w:right="239" w:bottom="0" w:gutter="0" w:footer="0" w:header="0"/>
          <w:type w:val="continuous"/>
        </w:sectPr>
      </w:pPr>
    </w:p>
    <w:bookmarkStart w:id="38" w:name="page39"/>
    <w:bookmarkEnd w:id="38"/>
    <w:p>
      <w:pPr>
        <w:jc w:val="center"/>
        <w:ind w:right="40"/>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95885</wp:posOffset>
            </wp:positionV>
            <wp:extent cx="726757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7760" w:type="dxa"/>
            <w:vAlign w:val="bottom"/>
            <w:gridSpan w:val="2"/>
          </w:tcPr>
          <w:p>
            <w:pPr>
              <w:ind w:left="2060"/>
              <w:spacing w:after="0"/>
              <w:rPr>
                <w:sz w:val="20"/>
                <w:szCs w:val="20"/>
                <w:color w:val="auto"/>
              </w:rPr>
            </w:pPr>
            <w:r>
              <w:rPr>
                <w:rFonts w:ascii="Arial" w:cs="Arial" w:eastAsia="Arial" w:hAnsi="Arial"/>
                <w:sz w:val="18"/>
                <w:szCs w:val="18"/>
                <w:color w:val="auto"/>
              </w:rPr>
              <w:t>SARATOGA INVESTMENT CORP.</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January 14, 2014</w:t>
            </w:r>
          </w:p>
        </w:tc>
        <w:tc>
          <w:tcPr>
            <w:tcW w:w="2500" w:type="dxa"/>
            <w:vAlign w:val="bottom"/>
          </w:tcPr>
          <w:p>
            <w:pPr>
              <w:ind w:left="20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Christian L. Oberbeck</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Christian L. Oberbeck</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500" w:type="dxa"/>
            <w:vAlign w:val="bottom"/>
          </w:tcPr>
          <w:p>
            <w:pPr>
              <w:ind w:left="2060"/>
              <w:spacing w:after="0"/>
              <w:rPr>
                <w:sz w:val="20"/>
                <w:szCs w:val="20"/>
                <w:color w:val="auto"/>
              </w:rPr>
            </w:pPr>
            <w:r>
              <w:rPr>
                <w:rFonts w:ascii="Arial" w:cs="Arial" w:eastAsia="Arial" w:hAnsi="Arial"/>
                <w:sz w:val="18"/>
                <w:szCs w:val="18"/>
                <w:color w:val="auto"/>
              </w:rPr>
              <w:t>By</w:t>
            </w:r>
          </w:p>
        </w:tc>
        <w:tc>
          <w:tcPr>
            <w:tcW w:w="5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A. Petrocelli</w:t>
            </w:r>
          </w:p>
        </w:tc>
        <w:tc>
          <w:tcPr>
            <w:tcW w:w="40" w:type="dxa"/>
            <w:vAlign w:val="bottom"/>
          </w:tcPr>
          <w:p>
            <w:pPr>
              <w:spacing w:after="0"/>
              <w:rPr>
                <w:sz w:val="24"/>
                <w:szCs w:val="24"/>
                <w:color w:val="auto"/>
              </w:rPr>
            </w:pPr>
          </w:p>
        </w:tc>
      </w:tr>
      <w:tr>
        <w:trPr>
          <w:trHeight w:val="195"/>
        </w:trPr>
        <w:tc>
          <w:tcPr>
            <w:tcW w:w="36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260" w:type="dxa"/>
            <w:vAlign w:val="bottom"/>
          </w:tcPr>
          <w:p>
            <w:pPr>
              <w:spacing w:after="0" w:line="195" w:lineRule="exact"/>
              <w:rPr>
                <w:sz w:val="20"/>
                <w:szCs w:val="20"/>
                <w:color w:val="auto"/>
              </w:rPr>
            </w:pPr>
            <w:r>
              <w:rPr>
                <w:rFonts w:ascii="Arial" w:cs="Arial" w:eastAsia="Arial" w:hAnsi="Arial"/>
                <w:sz w:val="18"/>
                <w:szCs w:val="18"/>
                <w:color w:val="auto"/>
              </w:rPr>
              <w:t>Richard A. Petrocelli</w:t>
            </w:r>
          </w:p>
        </w:tc>
        <w:tc>
          <w:tcPr>
            <w:tcW w:w="40" w:type="dxa"/>
            <w:vAlign w:val="bottom"/>
          </w:tcPr>
          <w:p>
            <w:pPr>
              <w:spacing w:after="0"/>
              <w:rPr>
                <w:sz w:val="16"/>
                <w:szCs w:val="16"/>
                <w:color w:val="auto"/>
              </w:rPr>
            </w:pPr>
          </w:p>
        </w:tc>
      </w:tr>
      <w:tr>
        <w:trPr>
          <w:trHeight w:val="230"/>
        </w:trPr>
        <w:tc>
          <w:tcPr>
            <w:tcW w:w="36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260" w:type="dxa"/>
            <w:vAlign w:val="bottom"/>
          </w:tcPr>
          <w:p>
            <w:pPr>
              <w:spacing w:after="0"/>
              <w:rPr>
                <w:sz w:val="20"/>
                <w:szCs w:val="20"/>
                <w:color w:val="auto"/>
              </w:rPr>
            </w:pPr>
            <w:r>
              <w:rPr>
                <w:rFonts w:ascii="Arial" w:cs="Arial" w:eastAsia="Arial" w:hAnsi="Arial"/>
                <w:sz w:val="18"/>
                <w:szCs w:val="18"/>
                <w:color w:val="auto"/>
              </w:rPr>
              <w:t>Chief Financial Officer, Chief Compliance Officer and Secretary</w:t>
            </w:r>
          </w:p>
        </w:tc>
        <w:tc>
          <w:tcPr>
            <w:tcW w:w="40" w:type="dxa"/>
            <w:vAlign w:val="bottom"/>
          </w:tcPr>
          <w:p>
            <w:pPr>
              <w:spacing w:after="0"/>
              <w:rPr>
                <w:sz w:val="20"/>
                <w:szCs w:val="20"/>
                <w:color w:val="auto"/>
              </w:rPr>
            </w:pPr>
          </w:p>
        </w:tc>
      </w:tr>
      <w:tr>
        <w:trPr>
          <w:trHeight w:val="432"/>
        </w:trPr>
        <w:tc>
          <w:tcPr>
            <w:tcW w:w="3660" w:type="dxa"/>
            <w:vAlign w:val="bottom"/>
          </w:tcPr>
          <w:p>
            <w:pPr>
              <w:spacing w:after="0"/>
              <w:rPr>
                <w:sz w:val="24"/>
                <w:szCs w:val="24"/>
                <w:color w:val="auto"/>
              </w:rPr>
            </w:pPr>
          </w:p>
        </w:tc>
        <w:tc>
          <w:tcPr>
            <w:tcW w:w="2500" w:type="dxa"/>
            <w:vAlign w:val="bottom"/>
          </w:tcPr>
          <w:p>
            <w:pPr>
              <w:jc w:val="right"/>
              <w:ind w:right="270"/>
              <w:spacing w:after="0"/>
              <w:rPr>
                <w:sz w:val="20"/>
                <w:szCs w:val="20"/>
                <w:color w:val="auto"/>
              </w:rPr>
            </w:pPr>
            <w:r>
              <w:rPr>
                <w:rFonts w:ascii="Arial" w:cs="Arial" w:eastAsia="Arial" w:hAnsi="Arial"/>
                <w:sz w:val="18"/>
                <w:szCs w:val="18"/>
                <w:color w:val="auto"/>
              </w:rPr>
              <w:t>55</w:t>
            </w:r>
          </w:p>
        </w:tc>
        <w:tc>
          <w:tcPr>
            <w:tcW w:w="52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3660" w:type="dxa"/>
            <w:vAlign w:val="bottom"/>
            <w:tcBorders>
              <w:bottom w:val="single" w:sz="8" w:color="010101"/>
            </w:tcBorders>
          </w:tcPr>
          <w:p>
            <w:pPr>
              <w:spacing w:after="0"/>
              <w:rPr>
                <w:sz w:val="11"/>
                <w:szCs w:val="11"/>
                <w:color w:val="auto"/>
              </w:rPr>
            </w:pPr>
          </w:p>
        </w:tc>
        <w:tc>
          <w:tcPr>
            <w:tcW w:w="2500" w:type="dxa"/>
            <w:vAlign w:val="bottom"/>
            <w:tcBorders>
              <w:bottom w:val="single" w:sz="8" w:color="010101"/>
            </w:tcBorders>
          </w:tcPr>
          <w:p>
            <w:pPr>
              <w:spacing w:after="0"/>
              <w:rPr>
                <w:sz w:val="11"/>
                <w:szCs w:val="11"/>
                <w:color w:val="auto"/>
              </w:rPr>
            </w:pPr>
          </w:p>
        </w:tc>
        <w:tc>
          <w:tcPr>
            <w:tcW w:w="52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type w:val="continuous"/>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1300" w:hanging="64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3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ind w:left="660" w:right="360" w:firstLine="645"/>
        <w:spacing w:after="0" w:line="286" w:lineRule="auto"/>
        <w:tabs>
          <w:tab w:leader="none" w:pos="1954" w:val="left"/>
        </w:tabs>
        <w:numPr>
          <w:ilvl w:val="1"/>
          <w:numId w:val="3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1967" w:val="left"/>
        </w:tabs>
        <w:numPr>
          <w:ilvl w:val="1"/>
          <w:numId w:val="39"/>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560" w:firstLine="656"/>
        <w:spacing w:after="0" w:line="342" w:lineRule="auto"/>
        <w:tabs>
          <w:tab w:leader="none" w:pos="1296"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54" w:val="left"/>
        </w:tabs>
        <w:numPr>
          <w:ilvl w:val="1"/>
          <w:numId w:val="3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64"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CHRISTIAN L. OBERBECK</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Richard A. Petrocelli, certify that:</w:t>
      </w:r>
    </w:p>
    <w:p>
      <w:pPr>
        <w:spacing w:after="0" w:line="225" w:lineRule="exact"/>
        <w:rPr>
          <w:sz w:val="20"/>
          <w:szCs w:val="20"/>
          <w:color w:val="auto"/>
        </w:rPr>
      </w:pPr>
    </w:p>
    <w:p>
      <w:pPr>
        <w:ind w:left="1300" w:hanging="64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260" w:firstLine="656"/>
        <w:spacing w:after="0" w:line="264" w:lineRule="auto"/>
        <w:tabs>
          <w:tab w:leader="none" w:pos="12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right="500" w:firstLine="656"/>
        <w:spacing w:after="0" w:line="308" w:lineRule="auto"/>
        <w:tabs>
          <w:tab w:leader="none" w:pos="1296" w:val="left"/>
        </w:tabs>
        <w:numPr>
          <w:ilvl w:val="0"/>
          <w:numId w:val="4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170" w:lineRule="exact"/>
        <w:rPr>
          <w:rFonts w:ascii="Arial" w:cs="Arial" w:eastAsia="Arial" w:hAnsi="Arial"/>
          <w:sz w:val="18"/>
          <w:szCs w:val="18"/>
          <w:color w:val="auto"/>
        </w:rPr>
      </w:pPr>
    </w:p>
    <w:p>
      <w:pPr>
        <w:ind w:left="660" w:right="360" w:firstLine="645"/>
        <w:spacing w:after="0" w:line="286" w:lineRule="auto"/>
        <w:tabs>
          <w:tab w:leader="none" w:pos="1954" w:val="left"/>
        </w:tabs>
        <w:numPr>
          <w:ilvl w:val="1"/>
          <w:numId w:val="4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7"/>
          <w:szCs w:val="17"/>
          <w:color w:val="auto"/>
        </w:rPr>
      </w:pPr>
    </w:p>
    <w:p>
      <w:pPr>
        <w:ind w:left="660" w:right="120" w:firstLine="645"/>
        <w:spacing w:after="0" w:line="264" w:lineRule="auto"/>
        <w:tabs>
          <w:tab w:leader="none" w:pos="196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40" w:firstLine="645"/>
        <w:spacing w:after="0" w:line="342" w:lineRule="auto"/>
        <w:tabs>
          <w:tab w:leader="none" w:pos="1967" w:val="left"/>
        </w:tabs>
        <w:numPr>
          <w:ilvl w:val="1"/>
          <w:numId w:val="40"/>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660" w:right="160" w:firstLine="645"/>
        <w:spacing w:after="0" w:line="264" w:lineRule="auto"/>
        <w:tabs>
          <w:tab w:leader="none" w:pos="1964" w:val="left"/>
        </w:tabs>
        <w:numPr>
          <w:ilvl w:val="1"/>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560" w:firstLine="656"/>
        <w:spacing w:after="0" w:line="342" w:lineRule="auto"/>
        <w:tabs>
          <w:tab w:leader="none" w:pos="1296"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3" w:lineRule="exact"/>
        <w:rPr>
          <w:rFonts w:ascii="Arial" w:cs="Arial" w:eastAsia="Arial" w:hAnsi="Arial"/>
          <w:sz w:val="16"/>
          <w:szCs w:val="16"/>
          <w:color w:val="auto"/>
        </w:rPr>
      </w:pPr>
    </w:p>
    <w:p>
      <w:pPr>
        <w:ind w:left="660" w:right="240" w:firstLine="645"/>
        <w:spacing w:after="0" w:line="308" w:lineRule="auto"/>
        <w:tabs>
          <w:tab w:leader="none" w:pos="1954" w:val="left"/>
        </w:tabs>
        <w:numPr>
          <w:ilvl w:val="1"/>
          <w:numId w:val="4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46" w:lineRule="exact"/>
        <w:rPr>
          <w:rFonts w:ascii="Arial" w:cs="Arial" w:eastAsia="Arial" w:hAnsi="Arial"/>
          <w:sz w:val="17"/>
          <w:szCs w:val="17"/>
          <w:color w:val="auto"/>
        </w:rPr>
      </w:pPr>
    </w:p>
    <w:p>
      <w:pPr>
        <w:ind w:left="660" w:right="260" w:firstLine="645"/>
        <w:spacing w:after="0" w:line="277" w:lineRule="auto"/>
        <w:tabs>
          <w:tab w:leader="none" w:pos="1964" w:val="left"/>
        </w:tabs>
        <w:numPr>
          <w:ilvl w:val="1"/>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2014</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RICHARD A. PETROCELLI</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Name: Richard A. Petrocelli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361886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Arial" w:cs="Arial" w:eastAsia="Arial" w:hAnsi="Arial"/>
          <w:sz w:val="18"/>
          <w:szCs w:val="18"/>
          <w:i w:val="1"/>
          <w:iCs w:val="1"/>
          <w:color w:val="auto"/>
        </w:rPr>
        <w:t>Chief Financial Officer,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Form 10-Q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Christian L. Oberbeck, the Chief Executive Officer, certifies that, to the best of his knowledge:</w:t>
      </w:r>
    </w:p>
    <w:p>
      <w:pPr>
        <w:spacing w:after="0" w:line="225" w:lineRule="exact"/>
        <w:rPr>
          <w:sz w:val="20"/>
          <w:szCs w:val="20"/>
          <w:color w:val="auto"/>
        </w:rPr>
      </w:pPr>
    </w:p>
    <w:p>
      <w:pPr>
        <w:ind w:left="660" w:hanging="652"/>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left="660" w:right="740" w:hanging="652"/>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2014</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CHRISTIAN L. OBERBECK</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Name: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-130810</wp:posOffset>
            </wp:positionV>
            <wp:extent cx="36017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601720" cy="8890"/>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i w:val="1"/>
          <w:i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w:t>
      </w:r>
    </w:p>
    <w:p>
      <w:pPr>
        <w:spacing w:after="0" w:line="23"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Form 10-Q (the “Report”) for the purpose of complying with Rule 13a-14(b) or Rule 15d-14(b) of the Securities Exchange Act of 1934 (the “Exchange Act”) and Section 1350 of Chapter 63 of Title 18 of the United States Code.</w:t>
      </w:r>
    </w:p>
    <w:p>
      <w:pPr>
        <w:spacing w:after="0" w:line="184"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Richard A. Petrocelli, the Chief Financial Officer, Chief Compliance Officer and Secretary of Saratoga Investment Corp., certifies that, to the best of his knowledge:</w:t>
      </w:r>
    </w:p>
    <w:p>
      <w:pPr>
        <w:spacing w:after="0" w:line="170" w:lineRule="exact"/>
        <w:rPr>
          <w:sz w:val="20"/>
          <w:szCs w:val="20"/>
          <w:color w:val="auto"/>
        </w:rPr>
      </w:pPr>
    </w:p>
    <w:p>
      <w:pPr>
        <w:ind w:left="660" w:hanging="652"/>
        <w:spacing w:after="0"/>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225" w:lineRule="exact"/>
        <w:rPr>
          <w:rFonts w:ascii="Arial" w:cs="Arial" w:eastAsia="Arial" w:hAnsi="Arial"/>
          <w:sz w:val="18"/>
          <w:szCs w:val="18"/>
          <w:color w:val="auto"/>
        </w:rPr>
      </w:pPr>
    </w:p>
    <w:p>
      <w:pPr>
        <w:ind w:left="660" w:right="740" w:hanging="652"/>
        <w:spacing w:after="0" w:line="277" w:lineRule="auto"/>
        <w:tabs>
          <w:tab w:leader="none" w:pos="6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January 14, 2014</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 RICHARD A. PETROCELLI</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Name: Richard A. Petrocelli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3667125</wp:posOffset>
            </wp:positionH>
            <wp:positionV relativeFrom="paragraph">
              <wp:posOffset>-130810</wp:posOffset>
            </wp:positionV>
            <wp:extent cx="35845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584575" cy="8890"/>
                    </a:xfrm>
                    <a:prstGeom prst="rect">
                      <a:avLst/>
                    </a:prstGeom>
                    <a:noFill/>
                  </pic:spPr>
                </pic:pic>
              </a:graphicData>
            </a:graphic>
          </wp:anchor>
        </w:drawing>
      </w:r>
    </w:p>
    <w:p>
      <w:pPr>
        <w:spacing w:after="0" w:line="3" w:lineRule="exact"/>
        <w:rPr>
          <w:sz w:val="20"/>
          <w:szCs w:val="20"/>
          <w:color w:val="auto"/>
        </w:rPr>
      </w:pPr>
    </w:p>
    <w:p>
      <w:pPr>
        <w:ind w:left="5780"/>
        <w:spacing w:after="0"/>
        <w:rPr>
          <w:sz w:val="20"/>
          <w:szCs w:val="20"/>
          <w:color w:val="auto"/>
        </w:rPr>
      </w:pPr>
      <w:r>
        <w:rPr>
          <w:rFonts w:ascii="Arial" w:cs="Arial" w:eastAsia="Arial" w:hAnsi="Arial"/>
          <w:sz w:val="18"/>
          <w:szCs w:val="18"/>
          <w:i w:val="1"/>
          <w:iCs w:val="1"/>
          <w:color w:val="auto"/>
        </w:rPr>
        <w:t>Chief Financial Officer, Chief Compliance Officer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33AB105"/>
    <w:multiLevelType w:val="hybridMultilevel"/>
    <w:lvl w:ilvl="0">
      <w:lvlJc w:val="left"/>
      <w:lvlText w:val="x"/>
      <w:numFmt w:val="bullet"/>
      <w:start w:val="1"/>
    </w:lvl>
  </w:abstractNum>
  <w:abstractNum w:abstractNumId="1">
    <w:nsid w:val="721DA317"/>
    <w:multiLevelType w:val="hybridMultilevel"/>
    <w:lvl w:ilvl="0">
      <w:lvlJc w:val="left"/>
      <w:lvlText w:val="o"/>
      <w:numFmt w:val="bullet"/>
      <w:start w:val="1"/>
    </w:lvl>
  </w:abstractNum>
  <w:abstractNum w:abstractNumId="2">
    <w:nsid w:val="2443A858"/>
    <w:multiLevelType w:val="hybridMultilevel"/>
    <w:lvl w:ilvl="0">
      <w:lvlJc w:val="left"/>
      <w:lvlText w:val="(%1)"/>
      <w:numFmt w:val="lowerLetter"/>
      <w:start w:val="1"/>
    </w:lvl>
  </w:abstractNum>
  <w:abstractNum w:abstractNumId="3">
    <w:nsid w:val="2D1D5AE9"/>
    <w:multiLevelType w:val="hybridMultilevel"/>
    <w:lvl w:ilvl="0">
      <w:lvlJc w:val="left"/>
      <w:lvlText w:val="(%1)"/>
      <w:numFmt w:val="lowerLetter"/>
      <w:start w:val="1"/>
    </w:lvl>
  </w:abstractNum>
  <w:abstractNum w:abstractNumId="4">
    <w:nsid w:val="6763845E"/>
    <w:multiLevelType w:val="hybridMultilevel"/>
    <w:lvl w:ilvl="0">
      <w:lvlJc w:val="left"/>
      <w:lvlText w:val="(%1)"/>
      <w:numFmt w:val="lowerLetter"/>
      <w:start w:val="7"/>
    </w:lvl>
  </w:abstractNum>
  <w:abstractNum w:abstractNumId="5">
    <w:nsid w:val="75A2A8D4"/>
    <w:multiLevelType w:val="hybridMultilevel"/>
    <w:lvl w:ilvl="0">
      <w:lvlJc w:val="left"/>
      <w:lvlText w:val="(%1)"/>
      <w:numFmt w:val="lowerLetter"/>
      <w:start w:val="8"/>
    </w:lvl>
  </w:abstractNum>
  <w:abstractNum w:abstractNumId="6">
    <w:nsid w:val="8EDBDAB"/>
    <w:multiLevelType w:val="hybridMultilevel"/>
    <w:lvl w:ilvl="0">
      <w:lvlJc w:val="left"/>
      <w:lvlText w:val="·"/>
      <w:numFmt w:val="bullet"/>
      <w:start w:val="1"/>
    </w:lvl>
  </w:abstractNum>
  <w:abstractNum w:abstractNumId="7">
    <w:nsid w:val="79838CB2"/>
    <w:multiLevelType w:val="hybridMultilevel"/>
    <w:lvl w:ilvl="0">
      <w:lvlJc w:val="left"/>
      <w:lvlText w:val="·"/>
      <w:numFmt w:val="bullet"/>
      <w:start w:val="1"/>
    </w:lvl>
  </w:abstractNum>
  <w:abstractNum w:abstractNumId="8">
    <w:nsid w:val="4353D0CD"/>
    <w:multiLevelType w:val="hybridMultilevel"/>
    <w:lvl w:ilvl="0">
      <w:lvlJc w:val="left"/>
      <w:lvlText w:val="·"/>
      <w:numFmt w:val="bullet"/>
      <w:start w:val="1"/>
    </w:lvl>
  </w:abstractNum>
  <w:abstractNum w:abstractNumId="9">
    <w:nsid w:val="B03E0C6"/>
    <w:multiLevelType w:val="hybridMultilevel"/>
    <w:lvl w:ilvl="0">
      <w:lvlJc w:val="left"/>
      <w:lvlText w:val="·"/>
      <w:numFmt w:val="bullet"/>
      <w:start w:val="1"/>
    </w:lvl>
  </w:abstractNum>
  <w:abstractNum w:abstractNumId="10">
    <w:nsid w:val="189A769B"/>
    <w:multiLevelType w:val="hybridMultilevel"/>
    <w:lvl w:ilvl="0">
      <w:lvlJc w:val="left"/>
      <w:lvlText w:val="·"/>
      <w:numFmt w:val="bullet"/>
      <w:start w:val="1"/>
    </w:lvl>
  </w:abstractNum>
  <w:abstractNum w:abstractNumId="11">
    <w:nsid w:val="54E49EB4"/>
    <w:multiLevelType w:val="hybridMultilevel"/>
    <w:lvl w:ilvl="0">
      <w:lvlJc w:val="left"/>
      <w:lvlText w:val="·"/>
      <w:numFmt w:val="bullet"/>
      <w:start w:val="1"/>
    </w:lvl>
  </w:abstractNum>
  <w:abstractNum w:abstractNumId="12">
    <w:nsid w:val="71F32454"/>
    <w:multiLevelType w:val="hybridMultilevel"/>
    <w:lvl w:ilvl="0">
      <w:lvlJc w:val="left"/>
      <w:lvlText w:val="·"/>
      <w:numFmt w:val="bullet"/>
      <w:start w:val="1"/>
    </w:lvl>
  </w:abstractNum>
  <w:abstractNum w:abstractNumId="13">
    <w:nsid w:val="2CA88611"/>
    <w:multiLevelType w:val="hybridMultilevel"/>
    <w:lvl w:ilvl="0">
      <w:lvlJc w:val="left"/>
      <w:lvlText w:val="·"/>
      <w:numFmt w:val="bullet"/>
      <w:start w:val="1"/>
    </w:lvl>
  </w:abstractNum>
  <w:abstractNum w:abstractNumId="14">
    <w:nsid w:val="836C40E"/>
    <w:multiLevelType w:val="hybridMultilevel"/>
    <w:lvl w:ilvl="0">
      <w:lvlJc w:val="left"/>
      <w:lvlText w:val="·"/>
      <w:numFmt w:val="bullet"/>
      <w:start w:val="1"/>
    </w:lvl>
  </w:abstractNum>
  <w:abstractNum w:abstractNumId="15">
    <w:nsid w:val="2901D82"/>
    <w:multiLevelType w:val="hybridMultilevel"/>
    <w:lvl w:ilvl="0">
      <w:lvlJc w:val="left"/>
      <w:lvlText w:val="(%1)"/>
      <w:numFmt w:val="decimal"/>
      <w:start w:val="1"/>
    </w:lvl>
  </w:abstractNum>
  <w:abstractNum w:abstractNumId="16">
    <w:nsid w:val="3A95F874"/>
    <w:multiLevelType w:val="hybridMultilevel"/>
    <w:lvl w:ilvl="0">
      <w:lvlJc w:val="left"/>
      <w:lvlText w:val="·"/>
      <w:numFmt w:val="bullet"/>
      <w:start w:val="1"/>
    </w:lvl>
  </w:abstractNum>
  <w:abstractNum w:abstractNumId="17">
    <w:nsid w:val="8138641"/>
    <w:multiLevelType w:val="hybridMultilevel"/>
    <w:lvl w:ilvl="0">
      <w:lvlJc w:val="left"/>
      <w:lvlText w:val="·"/>
      <w:numFmt w:val="bullet"/>
      <w:start w:val="1"/>
    </w:lvl>
  </w:abstractNum>
  <w:abstractNum w:abstractNumId="18">
    <w:nsid w:val="1E7FF521"/>
    <w:multiLevelType w:val="hybridMultilevel"/>
    <w:lvl w:ilvl="0">
      <w:lvlJc w:val="left"/>
      <w:lvlText w:val="·"/>
      <w:numFmt w:val="bullet"/>
      <w:start w:val="1"/>
    </w:lvl>
  </w:abstractNum>
  <w:abstractNum w:abstractNumId="19">
    <w:nsid w:val="7C3DBD3D"/>
    <w:multiLevelType w:val="hybridMultilevel"/>
    <w:lvl w:ilvl="0">
      <w:lvlJc w:val="left"/>
      <w:lvlText w:val="·"/>
      <w:numFmt w:val="bullet"/>
      <w:start w:val="1"/>
    </w:lvl>
  </w:abstractNum>
  <w:abstractNum w:abstractNumId="20">
    <w:nsid w:val="737B8DDC"/>
    <w:multiLevelType w:val="hybridMultilevel"/>
    <w:lvl w:ilvl="0">
      <w:lvlJc w:val="left"/>
      <w:lvlText w:val="·"/>
      <w:numFmt w:val="bullet"/>
      <w:start w:val="1"/>
    </w:lvl>
  </w:abstractNum>
  <w:abstractNum w:abstractNumId="21">
    <w:nsid w:val="6CEAF087"/>
    <w:multiLevelType w:val="hybridMultilevel"/>
    <w:lvl w:ilvl="0">
      <w:lvlJc w:val="left"/>
      <w:lvlText w:val="·"/>
      <w:numFmt w:val="bullet"/>
      <w:start w:val="1"/>
    </w:lvl>
  </w:abstractNum>
  <w:abstractNum w:abstractNumId="22">
    <w:nsid w:val="22221A70"/>
    <w:multiLevelType w:val="hybridMultilevel"/>
    <w:lvl w:ilvl="0">
      <w:lvlJc w:val="left"/>
      <w:lvlText w:val="·"/>
      <w:numFmt w:val="bullet"/>
      <w:start w:val="1"/>
    </w:lvl>
  </w:abstractNum>
  <w:abstractNum w:abstractNumId="23">
    <w:nsid w:val="4516DDE9"/>
    <w:multiLevelType w:val="hybridMultilevel"/>
    <w:lvl w:ilvl="0">
      <w:lvlJc w:val="left"/>
      <w:lvlText w:val="·"/>
      <w:numFmt w:val="bullet"/>
      <w:start w:val="1"/>
    </w:lvl>
  </w:abstractNum>
  <w:abstractNum w:abstractNumId="24">
    <w:nsid w:val="3006C83E"/>
    <w:multiLevelType w:val="hybridMultilevel"/>
    <w:lvl w:ilvl="0">
      <w:lvlJc w:val="left"/>
      <w:lvlText w:val="·"/>
      <w:numFmt w:val="bullet"/>
      <w:start w:val="1"/>
    </w:lvl>
  </w:abstractNum>
  <w:abstractNum w:abstractNumId="25">
    <w:nsid w:val="614FD4A1"/>
    <w:multiLevelType w:val="hybridMultilevel"/>
    <w:lvl w:ilvl="0">
      <w:lvlJc w:val="left"/>
      <w:lvlText w:val="·"/>
      <w:numFmt w:val="bullet"/>
      <w:start w:val="1"/>
    </w:lvl>
  </w:abstractNum>
  <w:abstractNum w:abstractNumId="26">
    <w:nsid w:val="419AC241"/>
    <w:multiLevelType w:val="hybridMultilevel"/>
    <w:lvl w:ilvl="0">
      <w:lvlJc w:val="left"/>
      <w:lvlText w:val="·"/>
      <w:numFmt w:val="bullet"/>
      <w:start w:val="1"/>
    </w:lvl>
  </w:abstractNum>
  <w:abstractNum w:abstractNumId="27">
    <w:nsid w:val="5577F8E1"/>
    <w:multiLevelType w:val="hybridMultilevel"/>
    <w:lvl w:ilvl="0">
      <w:lvlJc w:val="left"/>
      <w:lvlText w:val="(%1)"/>
      <w:numFmt w:val="decimal"/>
      <w:start w:val="1"/>
    </w:lvl>
  </w:abstractNum>
  <w:abstractNum w:abstractNumId="28">
    <w:nsid w:val="440BADFC"/>
    <w:multiLevelType w:val="hybridMultilevel"/>
    <w:lvl w:ilvl="0">
      <w:lvlJc w:val="left"/>
      <w:lvlText w:val="(%1)"/>
      <w:numFmt w:val="decimal"/>
      <w:start w:val="1"/>
    </w:lvl>
  </w:abstractNum>
  <w:abstractNum w:abstractNumId="29">
    <w:nsid w:val="5072367"/>
    <w:multiLevelType w:val="hybridMultilevel"/>
    <w:lvl w:ilvl="0">
      <w:lvlJc w:val="left"/>
      <w:lvlText w:val="(%1)"/>
      <w:numFmt w:val="decimal"/>
      <w:start w:val="1"/>
    </w:lvl>
  </w:abstractNum>
  <w:abstractNum w:abstractNumId="30">
    <w:nsid w:val="3804823E"/>
    <w:multiLevelType w:val="hybridMultilevel"/>
    <w:lvl w:ilvl="0">
      <w:lvlJc w:val="left"/>
      <w:lvlText w:val="(%1)"/>
      <w:numFmt w:val="decimal"/>
      <w:start w:val="1"/>
    </w:lvl>
  </w:abstractNum>
  <w:abstractNum w:abstractNumId="31">
    <w:nsid w:val="77465F01"/>
    <w:multiLevelType w:val="hybridMultilevel"/>
    <w:lvl w:ilvl="0">
      <w:lvlJc w:val="left"/>
      <w:lvlText w:val="·"/>
      <w:numFmt w:val="bullet"/>
      <w:start w:val="1"/>
    </w:lvl>
  </w:abstractNum>
  <w:abstractNum w:abstractNumId="32">
    <w:nsid w:val="7724C67E"/>
    <w:multiLevelType w:val="hybridMultilevel"/>
    <w:lvl w:ilvl="0">
      <w:lvlJc w:val="left"/>
      <w:lvlText w:val="·"/>
      <w:numFmt w:val="bullet"/>
      <w:start w:val="1"/>
    </w:lvl>
    <w:lvl w:ilvl="1">
      <w:lvlJc w:val="left"/>
      <w:lvlText w:val="·"/>
      <w:numFmt w:val="bullet"/>
      <w:start w:val="1"/>
    </w:lvl>
  </w:abstractNum>
  <w:abstractNum w:abstractNumId="33">
    <w:nsid w:val="5C482A97"/>
    <w:multiLevelType w:val="hybridMultilevel"/>
    <w:lvl w:ilvl="0">
      <w:lvlJc w:val="left"/>
      <w:lvlText w:val="·"/>
      <w:numFmt w:val="bullet"/>
      <w:start w:val="1"/>
    </w:lvl>
  </w:abstractNum>
  <w:abstractNum w:abstractNumId="34">
    <w:nsid w:val="2463B9EA"/>
    <w:multiLevelType w:val="hybridMultilevel"/>
    <w:lvl w:ilvl="0">
      <w:lvlJc w:val="left"/>
      <w:lvlText w:val="·"/>
      <w:numFmt w:val="bullet"/>
      <w:start w:val="1"/>
    </w:lvl>
  </w:abstractNum>
  <w:abstractNum w:abstractNumId="35">
    <w:nsid w:val="5E884ADC"/>
    <w:multiLevelType w:val="hybridMultilevel"/>
    <w:lvl w:ilvl="0">
      <w:lvlJc w:val="left"/>
      <w:lvlText w:val="(%1)"/>
      <w:numFmt w:val="lowerLetter"/>
      <w:start w:val="1"/>
    </w:lvl>
  </w:abstractNum>
  <w:abstractNum w:abstractNumId="36">
    <w:nsid w:val="51EAD36B"/>
    <w:multiLevelType w:val="hybridMultilevel"/>
    <w:lvl w:ilvl="0">
      <w:lvlJc w:val="left"/>
      <w:lvlText w:val="(%1)"/>
      <w:numFmt w:val="lowerLetter"/>
      <w:start w:val="2"/>
    </w:lvl>
  </w:abstractNum>
  <w:abstractNum w:abstractNumId="37">
    <w:nsid w:val="2D517796"/>
    <w:multiLevelType w:val="hybridMultilevel"/>
    <w:lvl w:ilvl="0">
      <w:lvlJc w:val="left"/>
      <w:lvlText w:val="*"/>
      <w:numFmt w:val="bullet"/>
      <w:start w:val="1"/>
    </w:lvl>
  </w:abstractNum>
  <w:abstractNum w:abstractNumId="38">
    <w:nsid w:val="580BD78F"/>
    <w:multiLevelType w:val="hybridMultilevel"/>
    <w:lvl w:ilvl="0">
      <w:lvlJc w:val="left"/>
      <w:lvlText w:val="%1."/>
      <w:numFmt w:val="decimal"/>
      <w:start w:val="1"/>
    </w:lvl>
    <w:lvl w:ilvl="1">
      <w:lvlJc w:val="left"/>
      <w:lvlText w:val="(%2)"/>
      <w:numFmt w:val="lowerLetter"/>
      <w:start w:val="1"/>
    </w:lvl>
  </w:abstractNum>
  <w:abstractNum w:abstractNumId="39">
    <w:nsid w:val="153EA438"/>
    <w:multiLevelType w:val="hybridMultilevel"/>
    <w:lvl w:ilvl="0">
      <w:lvlJc w:val="left"/>
      <w:lvlText w:val="%1."/>
      <w:numFmt w:val="decimal"/>
      <w:start w:val="1"/>
    </w:lvl>
    <w:lvl w:ilvl="1">
      <w:lvlJc w:val="left"/>
      <w:lvlText w:val="(%2)"/>
      <w:numFmt w:val="lowerLetter"/>
      <w:start w:val="1"/>
    </w:lvl>
  </w:abstractNum>
  <w:abstractNum w:abstractNumId="40">
    <w:nsid w:val="3855585C"/>
    <w:multiLevelType w:val="hybridMultilevel"/>
    <w:lvl w:ilvl="0">
      <w:lvlJc w:val="left"/>
      <w:lvlText w:val="%1."/>
      <w:numFmt w:val="decimal"/>
      <w:start w:val="1"/>
    </w:lvl>
  </w:abstractNum>
  <w:abstractNum w:abstractNumId="41">
    <w:nsid w:val="70A64E2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2019-12-07T14:31:02Z</dcterms:created>
  <dcterms:modified xsi:type="dcterms:W3CDTF">2019-12-07T14:31:02Z</dcterms:modified>
</cp:coreProperties>
</file>